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秦皇岛</w:t>
      </w:r>
      <w:r>
        <w:rPr>
          <w:rFonts w:hint="eastAsia" w:ascii="Times New Roman" w:hAnsi="Times New Roman" w:eastAsia="方正小标宋简体" w:cs="Times New Roman"/>
          <w:color w:val="auto"/>
          <w:sz w:val="44"/>
          <w:szCs w:val="44"/>
          <w:highlight w:val="none"/>
          <w:u w:val="none"/>
          <w:lang w:val="en-US" w:eastAsia="zh-CN"/>
        </w:rPr>
        <w:t>市</w:t>
      </w:r>
      <w:r>
        <w:rPr>
          <w:rFonts w:hint="default" w:ascii="Times New Roman" w:hAnsi="Times New Roman" w:eastAsia="方正小标宋简体" w:cs="Times New Roman"/>
          <w:color w:val="auto"/>
          <w:sz w:val="44"/>
          <w:szCs w:val="44"/>
          <w:highlight w:val="none"/>
          <w:u w:val="none"/>
          <w:lang w:val="en-US" w:eastAsia="zh-CN"/>
        </w:rPr>
        <w:t>美丽城市建设</w:t>
      </w:r>
      <w:r>
        <w:rPr>
          <w:rFonts w:hint="eastAsia" w:ascii="Times New Roman" w:hAnsi="Times New Roman" w:eastAsia="方正小标宋简体" w:cs="Times New Roman"/>
          <w:color w:val="auto"/>
          <w:sz w:val="44"/>
          <w:szCs w:val="44"/>
          <w:highlight w:val="none"/>
          <w:u w:val="none"/>
          <w:lang w:val="en-US" w:eastAsia="zh-CN"/>
        </w:rPr>
        <w:t>实施</w:t>
      </w:r>
      <w:r>
        <w:rPr>
          <w:rFonts w:hint="default" w:ascii="Times New Roman" w:hAnsi="Times New Roman" w:eastAsia="方正小标宋简体" w:cs="Times New Roman"/>
          <w:color w:val="auto"/>
          <w:sz w:val="44"/>
          <w:szCs w:val="44"/>
          <w:highlight w:val="none"/>
          <w:u w:val="none"/>
          <w:lang w:val="en-US" w:eastAsia="zh-CN"/>
        </w:rPr>
        <w:t>方案</w:t>
      </w:r>
    </w:p>
    <w:p>
      <w:pPr>
        <w:pageBreakBefore w:val="0"/>
        <w:kinsoku/>
        <w:wordWrap/>
        <w:overflowPunct/>
        <w:topLinePunct w:val="0"/>
        <w:autoSpaceDE/>
        <w:autoSpaceDN/>
        <w:bidi w:val="0"/>
        <w:adjustRightInd/>
        <w:snapToGrid w:val="0"/>
        <w:spacing w:line="560" w:lineRule="exact"/>
        <w:ind w:firstLine="0" w:firstLineChars="0"/>
        <w:jc w:val="center"/>
        <w:rPr>
          <w:rFonts w:hint="eastAsia" w:ascii="仿宋_GB2312" w:hAnsi="仿宋_GB2312" w:eastAsia="楷体_GB2312" w:cstheme="majorBidi"/>
          <w:color w:val="auto"/>
          <w:kern w:val="2"/>
          <w:sz w:val="32"/>
          <w:szCs w:val="40"/>
          <w:highlight w:val="none"/>
          <w:lang w:val="en-US" w:eastAsia="zh-CN" w:bidi="ar-SA"/>
        </w:rPr>
      </w:pPr>
      <w:r>
        <w:rPr>
          <w:rFonts w:hint="eastAsia" w:ascii="仿宋_GB2312" w:hAnsi="仿宋_GB2312" w:eastAsia="楷体_GB2312" w:cstheme="majorBidi"/>
          <w:color w:val="auto"/>
          <w:kern w:val="2"/>
          <w:sz w:val="32"/>
          <w:szCs w:val="40"/>
          <w:highlight w:val="none"/>
          <w:lang w:val="en-US" w:eastAsia="zh-CN" w:bidi="ar-SA"/>
        </w:rPr>
        <w:t>（草案）</w:t>
      </w:r>
    </w:p>
    <w:p>
      <w:pPr>
        <w:pageBreakBefore w:val="0"/>
        <w:kinsoku/>
        <w:wordWrap/>
        <w:overflowPunct/>
        <w:topLinePunct w:val="0"/>
        <w:autoSpaceDE/>
        <w:autoSpaceDN/>
        <w:bidi w:val="0"/>
        <w:adjustRightInd/>
        <w:snapToGrid w:val="0"/>
        <w:spacing w:line="560" w:lineRule="exact"/>
        <w:ind w:firstLine="0" w:firstLineChars="0"/>
        <w:jc w:val="center"/>
        <w:rPr>
          <w:rFonts w:hint="default" w:ascii="Times New Roman" w:hAnsi="Times New Roman" w:eastAsia="方正小标宋简体" w:cs="Times New Roman"/>
          <w:color w:val="auto"/>
          <w:sz w:val="40"/>
          <w:szCs w:val="40"/>
          <w:highlight w:val="none"/>
          <w:u w:val="none"/>
          <w:lang w:val="en-US" w:eastAsia="zh-CN"/>
        </w:rPr>
      </w:pPr>
    </w:p>
    <w:p>
      <w:pPr>
        <w:pStyle w:val="2"/>
        <w:pageBreakBefore w:val="0"/>
        <w:kinsoku/>
        <w:wordWrap/>
        <w:overflowPunct/>
        <w:topLinePunct w:val="0"/>
        <w:autoSpaceDE/>
        <w:autoSpaceDN/>
        <w:bidi w:val="0"/>
        <w:adjustRightInd/>
        <w:spacing w:before="0" w:after="0"/>
        <w:rPr>
          <w:rFonts w:hint="default"/>
          <w:color w:val="auto"/>
          <w:highlight w:val="none"/>
          <w:lang w:val="en-US" w:eastAsia="zh-CN"/>
        </w:rPr>
      </w:pPr>
      <w:bookmarkStart w:id="0" w:name="_Toc19722"/>
      <w:bookmarkStart w:id="1" w:name="_Toc29872"/>
      <w:bookmarkStart w:id="2" w:name="_Toc8624"/>
      <w:bookmarkStart w:id="3" w:name="_Toc4307"/>
      <w:bookmarkStart w:id="4" w:name="_Toc30476"/>
      <w:bookmarkStart w:id="5" w:name="_Toc6712"/>
      <w:bookmarkStart w:id="6" w:name="OLE_LINK1"/>
      <w:r>
        <w:rPr>
          <w:rFonts w:hint="eastAsia"/>
          <w:color w:val="auto"/>
          <w:highlight w:val="none"/>
          <w:lang w:val="en-US" w:eastAsia="zh-CN"/>
        </w:rPr>
        <w:t>一、总体要求</w:t>
      </w:r>
      <w:bookmarkEnd w:id="0"/>
      <w:bookmarkEnd w:id="1"/>
      <w:bookmarkEnd w:id="2"/>
      <w:bookmarkEnd w:id="3"/>
      <w:bookmarkEnd w:id="4"/>
      <w:bookmarkEnd w:id="5"/>
    </w:p>
    <w:p>
      <w:pPr>
        <w:pStyle w:val="3"/>
        <w:pageBreakBefore w:val="0"/>
        <w:kinsoku/>
        <w:wordWrap/>
        <w:overflowPunct/>
        <w:topLinePunct w:val="0"/>
        <w:autoSpaceDN/>
        <w:bidi w:val="0"/>
        <w:adjustRightInd/>
        <w:rPr>
          <w:rFonts w:hint="eastAsia"/>
          <w:color w:val="auto"/>
          <w:highlight w:val="none"/>
          <w:lang w:val="en-US" w:eastAsia="zh-CN"/>
        </w:rPr>
      </w:pPr>
      <w:bookmarkStart w:id="7" w:name="_Toc30174"/>
      <w:bookmarkStart w:id="8" w:name="_Toc17910"/>
      <w:bookmarkStart w:id="9" w:name="_Toc26653"/>
      <w:r>
        <w:rPr>
          <w:rFonts w:hint="eastAsia"/>
          <w:color w:val="auto"/>
          <w:highlight w:val="none"/>
          <w:lang w:val="en-US" w:eastAsia="zh-CN"/>
        </w:rPr>
        <w:t>（一）指导思想</w:t>
      </w:r>
      <w:bookmarkEnd w:id="7"/>
      <w:bookmarkEnd w:id="8"/>
      <w:bookmarkEnd w:id="9"/>
    </w:p>
    <w:p>
      <w:pPr>
        <w:pageBreakBefore w:val="0"/>
        <w:kinsoku/>
        <w:wordWrap/>
        <w:overflowPunct/>
        <w:topLinePunct w:val="0"/>
        <w:autoSpaceDE/>
        <w:autoSpaceDN/>
        <w:bidi w:val="0"/>
        <w:adjustRightInd/>
        <w:rPr>
          <w:rFonts w:hint="eastAsia"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以习近平新时代中国特色社会主义思想为指导，</w:t>
      </w:r>
      <w:r>
        <w:rPr>
          <w:rFonts w:hint="eastAsia"/>
          <w:color w:val="auto"/>
          <w:highlight w:val="none"/>
          <w:u w:val="none"/>
          <w:lang w:val="en-US" w:eastAsia="zh-CN"/>
        </w:rPr>
        <w:t>全面</w:t>
      </w:r>
      <w:r>
        <w:rPr>
          <w:rFonts w:hint="eastAsia" w:ascii="Times New Roman" w:hAnsi="Times New Roman"/>
          <w:color w:val="auto"/>
          <w:highlight w:val="none"/>
          <w:u w:val="none"/>
          <w:lang w:val="en-US" w:eastAsia="zh-CN"/>
        </w:rPr>
        <w:t>贯彻党的二十大和二十届历次全会精神，深入贯彻习近平生态文明思想和习</w:t>
      </w:r>
      <w:r>
        <w:rPr>
          <w:rFonts w:hint="default" w:ascii="仿宋_GB2312" w:hAnsi="Times New Roman" w:eastAsia="仿宋_GB2312" w:cs="仿宋_GB2312"/>
          <w:color w:val="auto"/>
          <w:kern w:val="2"/>
          <w:sz w:val="32"/>
          <w:szCs w:val="32"/>
          <w:highlight w:val="none"/>
        </w:rPr>
        <w:t>近平总书记</w:t>
      </w:r>
      <w:r>
        <w:rPr>
          <w:rFonts w:hint="eastAsia" w:ascii="Times New Roman" w:hAnsi="Times New Roman"/>
          <w:color w:val="auto"/>
          <w:highlight w:val="none"/>
          <w:u w:val="none"/>
          <w:lang w:val="en-US" w:eastAsia="zh-CN"/>
        </w:rPr>
        <w:t>视察河北</w:t>
      </w:r>
      <w:r>
        <w:rPr>
          <w:rFonts w:hint="default" w:ascii="仿宋_GB2312" w:hAnsi="Times New Roman" w:eastAsia="仿宋_GB2312" w:cs="仿宋_GB2312"/>
          <w:color w:val="auto"/>
          <w:kern w:val="2"/>
          <w:sz w:val="32"/>
          <w:szCs w:val="32"/>
          <w:highlight w:val="none"/>
        </w:rPr>
        <w:t>重要</w:t>
      </w:r>
      <w:r>
        <w:rPr>
          <w:rFonts w:hint="eastAsia" w:hAnsi="Times New Roman" w:cs="仿宋_GB2312"/>
          <w:color w:val="auto"/>
          <w:kern w:val="2"/>
          <w:sz w:val="32"/>
          <w:szCs w:val="32"/>
          <w:highlight w:val="none"/>
          <w:lang w:val="en-US" w:eastAsia="zh-CN"/>
        </w:rPr>
        <w:t>讲话</w:t>
      </w:r>
      <w:r>
        <w:rPr>
          <w:rFonts w:hint="default" w:ascii="仿宋_GB2312" w:hAnsi="Times New Roman" w:eastAsia="仿宋_GB2312" w:cs="仿宋_GB2312"/>
          <w:color w:val="auto"/>
          <w:kern w:val="2"/>
          <w:sz w:val="32"/>
          <w:szCs w:val="32"/>
          <w:highlight w:val="none"/>
        </w:rPr>
        <w:t>精神</w:t>
      </w:r>
      <w:r>
        <w:rPr>
          <w:rFonts w:hint="eastAsia" w:ascii="Times New Roman" w:hAnsi="Times New Roman"/>
          <w:color w:val="auto"/>
          <w:highlight w:val="none"/>
          <w:u w:val="none"/>
          <w:lang w:val="en-US" w:eastAsia="zh-CN"/>
        </w:rPr>
        <w:t>，牢固树立和践行“绿水青山就是金山银山”理念，</w:t>
      </w:r>
      <w:r>
        <w:rPr>
          <w:rFonts w:hint="eastAsia" w:ascii="Times New Roman" w:hAnsi="Times New Roman"/>
          <w:color w:val="auto"/>
          <w:highlight w:val="none"/>
          <w:u w:val="none"/>
          <w:lang w:val="en-US" w:eastAsia="zh"/>
        </w:rPr>
        <w:t>立足</w:t>
      </w:r>
      <w:r>
        <w:rPr>
          <w:rFonts w:hint="default" w:ascii="仿宋_GB2312" w:hAnsi="Times New Roman" w:eastAsia="仿宋_GB2312" w:cs="仿宋_GB2312"/>
          <w:color w:val="auto"/>
          <w:kern w:val="2"/>
          <w:sz w:val="32"/>
          <w:szCs w:val="32"/>
          <w:highlight w:val="none"/>
        </w:rPr>
        <w:t>“全国滨海旅游目的地”</w:t>
      </w:r>
      <w:r>
        <w:rPr>
          <w:rFonts w:hint="eastAsia" w:hAnsi="Times New Roman" w:cs="仿宋_GB2312"/>
          <w:color w:val="auto"/>
          <w:kern w:val="2"/>
          <w:sz w:val="32"/>
          <w:szCs w:val="32"/>
          <w:highlight w:val="none"/>
          <w:lang w:val="en-US" w:eastAsia="zh-CN"/>
        </w:rPr>
        <w:t>与“京津冀地区重要节点城市”</w:t>
      </w:r>
      <w:r>
        <w:rPr>
          <w:rFonts w:hint="default" w:ascii="仿宋_GB2312" w:hAnsi="Times New Roman" w:eastAsia="仿宋_GB2312" w:cs="仿宋_GB2312"/>
          <w:color w:val="auto"/>
          <w:kern w:val="2"/>
          <w:sz w:val="32"/>
          <w:szCs w:val="32"/>
          <w:highlight w:val="none"/>
        </w:rPr>
        <w:t>定位，聚焦绿色低碳、环境优美、生态宜居、安全健康、智慧高效，</w:t>
      </w:r>
      <w:r>
        <w:rPr>
          <w:rFonts w:hint="eastAsia" w:ascii="Times New Roman" w:hAnsi="Times New Roman"/>
          <w:color w:val="auto"/>
          <w:highlight w:val="none"/>
          <w:u w:val="none"/>
          <w:lang w:val="en-US" w:eastAsia="zh-CN"/>
        </w:rPr>
        <w:t>深入实施“六美之城”建设任务，</w:t>
      </w:r>
      <w:r>
        <w:rPr>
          <w:rFonts w:hint="eastAsia" w:ascii="Times New Roman" w:hAnsi="Times New Roman"/>
          <w:color w:val="auto"/>
          <w:highlight w:val="none"/>
          <w:u w:val="none"/>
          <w:lang w:val="en-US" w:eastAsia="zh"/>
        </w:rPr>
        <w:t>建设</w:t>
      </w:r>
      <w:r>
        <w:rPr>
          <w:rFonts w:hint="eastAsia" w:ascii="Times New Roman" w:hAnsi="Times New Roman"/>
          <w:color w:val="auto"/>
          <w:highlight w:val="none"/>
          <w:u w:val="none"/>
          <w:lang w:val="en-US" w:eastAsia="zh-CN"/>
        </w:rPr>
        <w:t>山青水秀、天蓝地绿、碧海银沙、人与自然和谐共生的</w:t>
      </w:r>
      <w:r>
        <w:rPr>
          <w:rFonts w:hint="eastAsia" w:ascii="Times New Roman" w:hAnsi="Times New Roman"/>
          <w:color w:val="auto"/>
          <w:highlight w:val="none"/>
          <w:u w:val="none"/>
          <w:lang w:val="en-US" w:eastAsia="zh"/>
        </w:rPr>
        <w:t>现代海洋</w:t>
      </w:r>
      <w:r>
        <w:rPr>
          <w:rFonts w:hint="eastAsia" w:ascii="Times New Roman" w:hAnsi="Times New Roman"/>
          <w:color w:val="auto"/>
          <w:highlight w:val="none"/>
          <w:u w:val="none"/>
          <w:lang w:val="en-US" w:eastAsia="zh-CN"/>
        </w:rPr>
        <w:t>城市，</w:t>
      </w:r>
      <w:r>
        <w:rPr>
          <w:rFonts w:hint="eastAsia" w:ascii="Times New Roman" w:hAnsi="Times New Roman"/>
          <w:color w:val="auto"/>
          <w:highlight w:val="none"/>
          <w:u w:val="none"/>
          <w:lang w:val="en-US" w:eastAsia="zh"/>
        </w:rPr>
        <w:t>奋力</w:t>
      </w:r>
      <w:r>
        <w:rPr>
          <w:rFonts w:hint="default" w:ascii="仿宋_GB2312" w:hAnsi="Times New Roman" w:eastAsia="仿宋_GB2312" w:cs="仿宋_GB2312"/>
          <w:color w:val="auto"/>
          <w:kern w:val="2"/>
          <w:sz w:val="32"/>
          <w:szCs w:val="32"/>
          <w:highlight w:val="none"/>
        </w:rPr>
        <w:t>打造</w:t>
      </w:r>
      <w:r>
        <w:rPr>
          <w:rFonts w:hint="eastAsia" w:hAnsi="Times New Roman" w:cs="仿宋_GB2312"/>
          <w:color w:val="auto"/>
          <w:kern w:val="2"/>
          <w:sz w:val="32"/>
          <w:szCs w:val="32"/>
          <w:highlight w:val="none"/>
          <w:lang w:eastAsia="zh"/>
        </w:rPr>
        <w:t>京津冀美丽中国先行区</w:t>
      </w:r>
      <w:r>
        <w:rPr>
          <w:rFonts w:hint="eastAsia" w:hAnsi="Times New Roman" w:cs="仿宋_GB2312"/>
          <w:color w:val="auto"/>
          <w:kern w:val="2"/>
          <w:sz w:val="32"/>
          <w:szCs w:val="32"/>
          <w:highlight w:val="none"/>
          <w:lang w:eastAsia="zh-CN"/>
        </w:rPr>
        <w:t>“</w:t>
      </w:r>
      <w:r>
        <w:rPr>
          <w:rFonts w:hint="eastAsia" w:hAnsi="Times New Roman" w:cs="仿宋_GB2312"/>
          <w:color w:val="auto"/>
          <w:kern w:val="2"/>
          <w:sz w:val="32"/>
          <w:szCs w:val="32"/>
          <w:highlight w:val="none"/>
          <w:lang w:val="en-US" w:eastAsia="zh-CN"/>
        </w:rPr>
        <w:t>秦皇岛样板</w:t>
      </w:r>
      <w:r>
        <w:rPr>
          <w:rFonts w:hint="eastAsia" w:hAnsi="Times New Roman" w:cs="仿宋_GB2312"/>
          <w:color w:val="auto"/>
          <w:kern w:val="2"/>
          <w:sz w:val="32"/>
          <w:szCs w:val="32"/>
          <w:highlight w:val="none"/>
          <w:lang w:eastAsia="zh-CN"/>
        </w:rPr>
        <w:t>”</w:t>
      </w:r>
      <w:r>
        <w:rPr>
          <w:rFonts w:hint="default" w:ascii="仿宋_GB2312" w:hAnsi="Times New Roman" w:eastAsia="仿宋_GB2312" w:cs="仿宋_GB2312"/>
          <w:color w:val="auto"/>
          <w:kern w:val="2"/>
          <w:sz w:val="32"/>
          <w:szCs w:val="32"/>
          <w:highlight w:val="none"/>
        </w:rPr>
        <w:t>，实现高水平保护、高质量发展、高品质生活、高效能管理，让人民群众在美丽家园中共享自然之美、生命之美、生活之美。</w:t>
      </w:r>
    </w:p>
    <w:p>
      <w:pPr>
        <w:pStyle w:val="3"/>
        <w:keepNext/>
        <w:keepLines/>
        <w:pageBreakBefore w:val="0"/>
        <w:widowControl w:val="0"/>
        <w:kinsoku/>
        <w:wordWrap/>
        <w:overflowPunct/>
        <w:topLinePunct w:val="0"/>
        <w:autoSpaceDE/>
        <w:autoSpaceDN/>
        <w:bidi w:val="0"/>
        <w:adjustRightInd/>
        <w:snapToGrid/>
        <w:spacing w:before="0" w:line="560" w:lineRule="exact"/>
        <w:textAlignment w:val="auto"/>
        <w:rPr>
          <w:rFonts w:hint="default" w:ascii="Times New Roman" w:hAnsi="Times New Roman" w:cs="Times New Roman"/>
          <w:b w:val="0"/>
          <w:bCs/>
          <w:color w:val="auto"/>
          <w:sz w:val="32"/>
          <w:szCs w:val="32"/>
          <w:highlight w:val="none"/>
          <w:u w:val="none"/>
          <w:lang w:val="en-US" w:eastAsia="zh-CN"/>
        </w:rPr>
      </w:pPr>
      <w:bookmarkStart w:id="10" w:name="_Toc13137"/>
      <w:bookmarkStart w:id="11" w:name="_Toc20951"/>
      <w:bookmarkStart w:id="12" w:name="_Toc16311"/>
      <w:bookmarkStart w:id="13" w:name="_Toc21417"/>
      <w:bookmarkStart w:id="14" w:name="_Toc22284"/>
      <w:bookmarkStart w:id="15" w:name="_Toc14666"/>
      <w:bookmarkStart w:id="16" w:name="_Toc20437"/>
      <w:r>
        <w:rPr>
          <w:rFonts w:hint="eastAsia" w:ascii="Times New Roman" w:hAnsi="Times New Roman" w:cs="Times New Roman"/>
          <w:b w:val="0"/>
          <w:bCs/>
          <w:color w:val="auto"/>
          <w:sz w:val="32"/>
          <w:szCs w:val="32"/>
          <w:highlight w:val="none"/>
          <w:u w:val="none"/>
          <w:lang w:val="en-US" w:eastAsia="zh-CN"/>
        </w:rPr>
        <w:t>（二）建设目标</w:t>
      </w:r>
      <w:bookmarkEnd w:id="10"/>
      <w:bookmarkEnd w:id="11"/>
      <w:bookmarkEnd w:id="12"/>
      <w:bookmarkEnd w:id="13"/>
      <w:bookmarkEnd w:id="14"/>
      <w:bookmarkEnd w:id="15"/>
      <w:bookmarkEnd w:id="16"/>
    </w:p>
    <w:p>
      <w:pPr>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right="0" w:firstLine="640" w:firstLineChars="200"/>
        <w:jc w:val="both"/>
        <w:rPr>
          <w:rFonts w:hint="default" w:ascii="仿宋_GB2312" w:hAnsi="宋体"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u w:val="none"/>
          <w:lang w:val="en-US" w:eastAsia="zh-CN" w:bidi="ar"/>
        </w:rPr>
        <w:t>到2027年，城市绿色低碳发展水平明显提升，生态环境质量持续改善，</w:t>
      </w:r>
      <w:r>
        <w:rPr>
          <w:rFonts w:hint="eastAsia" w:ascii="仿宋_GB2312" w:hAnsi="仿宋_GB2312" w:eastAsia="仿宋_GB2312" w:cs="仿宋_GB2312"/>
          <w:color w:val="auto"/>
          <w:highlight w:val="none"/>
          <w:lang w:val="en-US" w:eastAsia="zh-CN"/>
        </w:rPr>
        <w:t>生态宜居</w:t>
      </w:r>
      <w:r>
        <w:rPr>
          <w:rFonts w:hint="eastAsia" w:cs="仿宋_GB2312"/>
          <w:color w:val="auto"/>
          <w:highlight w:val="none"/>
          <w:lang w:val="en-US" w:eastAsia="zh"/>
        </w:rPr>
        <w:t>品质提档升级</w:t>
      </w:r>
      <w:r>
        <w:rPr>
          <w:rFonts w:hint="eastAsia" w:cs="仿宋_GB2312"/>
          <w:color w:val="auto"/>
          <w:highlight w:val="none"/>
          <w:lang w:val="en-US" w:eastAsia="zh-CN"/>
        </w:rPr>
        <w:t>，</w:t>
      </w:r>
      <w:r>
        <w:rPr>
          <w:rFonts w:hint="eastAsia" w:ascii="仿宋_GB2312" w:hAnsi="仿宋_GB2312" w:eastAsia="仿宋_GB2312" w:cs="仿宋_GB2312"/>
          <w:color w:val="auto"/>
          <w:highlight w:val="none"/>
          <w:lang w:val="en-US" w:eastAsia="zh-CN"/>
        </w:rPr>
        <w:t>环境健康安全保障能力有效</w:t>
      </w:r>
      <w:r>
        <w:rPr>
          <w:rFonts w:hint="eastAsia" w:cs="仿宋_GB2312"/>
          <w:color w:val="auto"/>
          <w:highlight w:val="none"/>
          <w:lang w:val="en-US" w:eastAsia="zh"/>
        </w:rPr>
        <w:t>增强，</w:t>
      </w:r>
      <w:r>
        <w:rPr>
          <w:rFonts w:hint="default" w:ascii="仿宋_GB2312" w:hAnsi="宋体" w:eastAsia="仿宋_GB2312" w:cs="仿宋_GB2312"/>
          <w:b w:val="0"/>
          <w:bCs w:val="0"/>
          <w:color w:val="auto"/>
          <w:kern w:val="0"/>
          <w:sz w:val="32"/>
          <w:szCs w:val="32"/>
          <w:highlight w:val="none"/>
          <w:lang w:val="en-US" w:eastAsia="zh-CN" w:bidi="ar"/>
        </w:rPr>
        <w:t>生态环境治理更加智慧高效</w:t>
      </w:r>
      <w:r>
        <w:rPr>
          <w:rFonts w:hint="eastAsia" w:hAnsi="宋体" w:cs="仿宋_GB2312"/>
          <w:b w:val="0"/>
          <w:bCs w:val="0"/>
          <w:color w:val="auto"/>
          <w:kern w:val="0"/>
          <w:sz w:val="32"/>
          <w:szCs w:val="32"/>
          <w:highlight w:val="none"/>
          <w:lang w:val="en-US" w:eastAsia="zh" w:bidi="ar"/>
        </w:rPr>
        <w:t>，</w:t>
      </w:r>
      <w:r>
        <w:rPr>
          <w:rFonts w:hint="eastAsia" w:ascii="仿宋_GB2312" w:hAnsi="仿宋_GB2312" w:eastAsia="仿宋_GB2312" w:cs="仿宋_GB2312"/>
          <w:b w:val="0"/>
          <w:bCs w:val="0"/>
          <w:color w:val="auto"/>
          <w:kern w:val="0"/>
          <w:sz w:val="32"/>
          <w:szCs w:val="32"/>
          <w:highlight w:val="none"/>
          <w:u w:val="none"/>
          <w:lang w:val="en-US" w:eastAsia="zh-CN" w:bidi="ar"/>
        </w:rPr>
        <w:t>美丽</w:t>
      </w:r>
      <w:r>
        <w:rPr>
          <w:rFonts w:hint="eastAsia" w:cs="仿宋_GB2312"/>
          <w:b w:val="0"/>
          <w:bCs w:val="0"/>
          <w:color w:val="auto"/>
          <w:kern w:val="0"/>
          <w:sz w:val="32"/>
          <w:szCs w:val="32"/>
          <w:highlight w:val="none"/>
          <w:u w:val="none"/>
          <w:lang w:val="en-US" w:eastAsia="zh-CN" w:bidi="ar"/>
        </w:rPr>
        <w:t>城市</w:t>
      </w:r>
      <w:r>
        <w:rPr>
          <w:rFonts w:hint="eastAsia" w:ascii="仿宋_GB2312" w:hAnsi="仿宋_GB2312" w:eastAsia="仿宋_GB2312" w:cs="仿宋_GB2312"/>
          <w:b w:val="0"/>
          <w:bCs w:val="0"/>
          <w:color w:val="auto"/>
          <w:kern w:val="0"/>
          <w:sz w:val="32"/>
          <w:szCs w:val="32"/>
          <w:highlight w:val="none"/>
          <w:u w:val="none"/>
          <w:lang w:val="en-US" w:eastAsia="zh-CN" w:bidi="ar"/>
        </w:rPr>
        <w:t>建设</w:t>
      </w:r>
      <w:r>
        <w:rPr>
          <w:rFonts w:hint="eastAsia" w:cs="仿宋_GB2312"/>
          <w:b w:val="0"/>
          <w:bCs w:val="0"/>
          <w:color w:val="auto"/>
          <w:kern w:val="0"/>
          <w:sz w:val="32"/>
          <w:szCs w:val="32"/>
          <w:highlight w:val="none"/>
          <w:u w:val="none"/>
          <w:lang w:val="en-US" w:eastAsia="zh-CN" w:bidi="ar"/>
        </w:rPr>
        <w:t>取得显著成效</w:t>
      </w:r>
      <w:r>
        <w:rPr>
          <w:rFonts w:hint="eastAsia" w:ascii="仿宋_GB2312" w:hAnsi="仿宋_GB2312" w:eastAsia="仿宋_GB2312" w:cs="仿宋_GB2312"/>
          <w:color w:val="auto"/>
          <w:highlight w:val="none"/>
          <w:lang w:val="en-US" w:eastAsia="zh-CN"/>
        </w:rPr>
        <w:t>，形成一批标志性</w:t>
      </w:r>
      <w:r>
        <w:rPr>
          <w:rFonts w:hint="eastAsia" w:cs="仿宋_GB2312"/>
          <w:color w:val="auto"/>
          <w:highlight w:val="none"/>
          <w:lang w:val="en-US" w:eastAsia="zh-CN"/>
        </w:rPr>
        <w:t>示范</w:t>
      </w:r>
      <w:r>
        <w:rPr>
          <w:rFonts w:hint="eastAsia" w:ascii="仿宋_GB2312" w:hAnsi="仿宋_GB2312" w:eastAsia="仿宋_GB2312" w:cs="仿宋_GB2312"/>
          <w:color w:val="auto"/>
          <w:highlight w:val="none"/>
          <w:lang w:val="en-US" w:eastAsia="zh-CN"/>
        </w:rPr>
        <w:t>成果</w:t>
      </w:r>
      <w:r>
        <w:rPr>
          <w:rFonts w:hint="eastAsia" w:ascii="仿宋_GB2312" w:hAnsi="仿宋_GB2312" w:eastAsia="仿宋_GB2312" w:cs="仿宋_GB2312"/>
          <w:b w:val="0"/>
          <w:bCs w:val="0"/>
          <w:color w:val="auto"/>
          <w:kern w:val="0"/>
          <w:sz w:val="32"/>
          <w:szCs w:val="32"/>
          <w:highlight w:val="none"/>
          <w:u w:val="none"/>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right="0" w:firstLine="640" w:firstLineChars="200"/>
        <w:jc w:val="both"/>
        <w:rPr>
          <w:rFonts w:hint="eastAsia" w:hAnsi="宋体" w:cs="仿宋_GB2312"/>
          <w:b w:val="0"/>
          <w:bCs w:val="0"/>
          <w:color w:val="auto"/>
          <w:kern w:val="0"/>
          <w:sz w:val="32"/>
          <w:szCs w:val="32"/>
          <w:highlight w:val="none"/>
          <w:lang w:val="en-US" w:eastAsia="zh" w:bidi="ar"/>
        </w:rPr>
      </w:pPr>
      <w:r>
        <w:rPr>
          <w:rFonts w:hint="default" w:ascii="仿宋_GB2312" w:hAnsi="宋体" w:eastAsia="仿宋_GB2312" w:cs="仿宋_GB2312"/>
          <w:b w:val="0"/>
          <w:bCs w:val="0"/>
          <w:color w:val="auto"/>
          <w:kern w:val="0"/>
          <w:sz w:val="32"/>
          <w:szCs w:val="32"/>
          <w:highlight w:val="none"/>
          <w:lang w:val="en-US" w:eastAsia="zh-CN" w:bidi="ar"/>
        </w:rPr>
        <w:t>——擘画碧水蓝天新画卷。地表水</w:t>
      </w:r>
      <w:r>
        <w:rPr>
          <w:rFonts w:hint="eastAsia" w:ascii="仿宋_GB2312" w:hAnsi="仿宋_GB2312" w:eastAsia="仿宋_GB2312" w:cs="仿宋_GB2312"/>
          <w:b w:val="0"/>
          <w:bCs w:val="0"/>
          <w:color w:val="auto"/>
          <w:kern w:val="0"/>
          <w:sz w:val="32"/>
          <w:szCs w:val="32"/>
          <w:highlight w:val="none"/>
          <w:u w:val="none"/>
          <w:lang w:val="en-US" w:eastAsia="zh-CN" w:bidi="ar"/>
        </w:rPr>
        <w:t>国省控断面</w:t>
      </w:r>
      <w:r>
        <w:rPr>
          <w:rFonts w:hint="default" w:ascii="仿宋_GB2312" w:hAnsi="宋体" w:eastAsia="仿宋_GB2312" w:cs="仿宋_GB2312"/>
          <w:b w:val="0"/>
          <w:bCs w:val="0"/>
          <w:color w:val="auto"/>
          <w:kern w:val="0"/>
          <w:sz w:val="32"/>
          <w:szCs w:val="32"/>
          <w:highlight w:val="none"/>
          <w:lang w:val="en-US" w:eastAsia="zh-CN" w:bidi="ar"/>
        </w:rPr>
        <w:t>优良水体比例达到省定目标，美丽河湖建</w:t>
      </w:r>
      <w:r>
        <w:rPr>
          <w:rFonts w:hint="eastAsia" w:hAnsi="宋体" w:cs="仿宋_GB2312"/>
          <w:b w:val="0"/>
          <w:bCs w:val="0"/>
          <w:color w:val="auto"/>
          <w:kern w:val="0"/>
          <w:sz w:val="32"/>
          <w:szCs w:val="32"/>
          <w:highlight w:val="none"/>
          <w:lang w:val="en-US" w:eastAsia="zh-CN" w:bidi="ar"/>
        </w:rPr>
        <w:t>成率达70%以上，城市集中式饮用水水源地水质100%达标，城市建成区黑臭水体动态消除</w:t>
      </w:r>
      <w:r>
        <w:rPr>
          <w:rFonts w:hint="eastAsia" w:hAnsi="宋体" w:cs="仿宋_GB2312"/>
          <w:b w:val="0"/>
          <w:bCs w:val="0"/>
          <w:color w:val="auto"/>
          <w:kern w:val="0"/>
          <w:sz w:val="32"/>
          <w:szCs w:val="32"/>
          <w:highlight w:val="none"/>
          <w:lang w:val="en-US" w:eastAsia="zh" w:bidi="ar"/>
        </w:rPr>
        <w:t>；</w:t>
      </w:r>
      <w:r>
        <w:rPr>
          <w:rFonts w:hint="default" w:ascii="仿宋_GB2312" w:hAnsi="宋体" w:eastAsia="仿宋_GB2312" w:cs="仿宋_GB2312"/>
          <w:b w:val="0"/>
          <w:bCs w:val="0"/>
          <w:color w:val="auto"/>
          <w:kern w:val="0"/>
          <w:sz w:val="32"/>
          <w:szCs w:val="32"/>
          <w:highlight w:val="none"/>
          <w:lang w:val="en-US" w:eastAsia="zh-CN" w:bidi="ar"/>
        </w:rPr>
        <w:t>近岸海域优良水质</w:t>
      </w:r>
      <w:r>
        <w:rPr>
          <w:rFonts w:hint="eastAsia" w:hAnsi="宋体" w:cs="仿宋_GB2312"/>
          <w:b w:val="0"/>
          <w:bCs w:val="0"/>
          <w:color w:val="auto"/>
          <w:kern w:val="0"/>
          <w:sz w:val="32"/>
          <w:szCs w:val="32"/>
          <w:highlight w:val="none"/>
          <w:lang w:val="en-US" w:eastAsia="zh-CN" w:bidi="ar"/>
        </w:rPr>
        <w:t>面积</w:t>
      </w:r>
      <w:r>
        <w:rPr>
          <w:rFonts w:hint="default" w:ascii="仿宋_GB2312" w:hAnsi="宋体" w:eastAsia="仿宋_GB2312" w:cs="仿宋_GB2312"/>
          <w:b w:val="0"/>
          <w:bCs w:val="0"/>
          <w:color w:val="auto"/>
          <w:kern w:val="0"/>
          <w:sz w:val="32"/>
          <w:szCs w:val="32"/>
          <w:highlight w:val="none"/>
          <w:lang w:val="en-US" w:eastAsia="zh-CN" w:bidi="ar"/>
        </w:rPr>
        <w:t>比例保持100%，美丽海湾</w:t>
      </w:r>
      <w:r>
        <w:rPr>
          <w:rFonts w:hint="eastAsia" w:hAnsi="宋体" w:cs="仿宋_GB2312"/>
          <w:b w:val="0"/>
          <w:bCs w:val="0"/>
          <w:color w:val="auto"/>
          <w:kern w:val="0"/>
          <w:sz w:val="32"/>
          <w:szCs w:val="32"/>
          <w:highlight w:val="none"/>
          <w:lang w:val="en-US" w:eastAsia="zh" w:bidi="ar"/>
        </w:rPr>
        <w:t>建</w:t>
      </w:r>
      <w:r>
        <w:rPr>
          <w:rFonts w:hint="eastAsia" w:hAnsi="宋体" w:cs="仿宋_GB2312"/>
          <w:b w:val="0"/>
          <w:bCs w:val="0"/>
          <w:color w:val="auto"/>
          <w:kern w:val="0"/>
          <w:sz w:val="32"/>
          <w:szCs w:val="32"/>
          <w:highlight w:val="none"/>
          <w:lang w:val="en-US" w:eastAsia="zh-CN" w:bidi="ar"/>
        </w:rPr>
        <w:t>成率达100%；</w:t>
      </w:r>
      <w:r>
        <w:rPr>
          <w:rFonts w:hint="default" w:ascii="仿宋_GB2312" w:hAnsi="宋体" w:eastAsia="仿宋_GB2312" w:cs="仿宋_GB2312"/>
          <w:b w:val="0"/>
          <w:bCs w:val="0"/>
          <w:color w:val="auto"/>
          <w:kern w:val="0"/>
          <w:sz w:val="32"/>
          <w:szCs w:val="32"/>
          <w:highlight w:val="none"/>
        </w:rPr>
        <w:t>空气质量持续</w:t>
      </w:r>
      <w:r>
        <w:rPr>
          <w:rFonts w:hint="eastAsia" w:hAnsi="宋体" w:cs="仿宋_GB2312"/>
          <w:b w:val="0"/>
          <w:bCs w:val="0"/>
          <w:color w:val="auto"/>
          <w:kern w:val="0"/>
          <w:sz w:val="32"/>
          <w:szCs w:val="32"/>
          <w:highlight w:val="none"/>
          <w:lang w:val="en-US" w:eastAsia="zh-CN"/>
        </w:rPr>
        <w:t>改善</w:t>
      </w:r>
      <w:r>
        <w:rPr>
          <w:rFonts w:hint="default" w:ascii="仿宋_GB2312" w:hAnsi="宋体" w:eastAsia="仿宋_GB2312" w:cs="仿宋_GB2312"/>
          <w:b w:val="0"/>
          <w:bCs w:val="0"/>
          <w:color w:val="auto"/>
          <w:kern w:val="0"/>
          <w:sz w:val="32"/>
          <w:szCs w:val="32"/>
          <w:highlight w:val="none"/>
        </w:rPr>
        <w:t>，</w:t>
      </w:r>
      <w:r>
        <w:rPr>
          <w:rFonts w:hint="default" w:ascii="仿宋_GB2312" w:hAnsi="宋体" w:eastAsia="仿宋_GB2312" w:cs="仿宋_GB2312"/>
          <w:b w:val="0"/>
          <w:bCs w:val="0"/>
          <w:color w:val="auto"/>
          <w:kern w:val="0"/>
          <w:sz w:val="32"/>
          <w:szCs w:val="32"/>
          <w:highlight w:val="none"/>
          <w:lang w:val="en-US" w:eastAsia="zh-CN" w:bidi="ar"/>
        </w:rPr>
        <w:t>细颗粒物浓度</w:t>
      </w:r>
      <w:r>
        <w:rPr>
          <w:rFonts w:hint="eastAsia" w:hAnsi="宋体" w:cs="仿宋_GB2312"/>
          <w:b w:val="0"/>
          <w:bCs w:val="0"/>
          <w:color w:val="auto"/>
          <w:kern w:val="0"/>
          <w:sz w:val="32"/>
          <w:szCs w:val="32"/>
          <w:highlight w:val="none"/>
          <w:lang w:val="en-US" w:eastAsia="zh-CN" w:bidi="ar"/>
        </w:rPr>
        <w:t>、</w:t>
      </w:r>
      <w:r>
        <w:rPr>
          <w:rFonts w:hint="eastAsia" w:ascii="仿宋_GB2312" w:hAnsi="Times New Roman" w:eastAsia="仿宋_GB2312" w:cs="仿宋_GB2312"/>
          <w:color w:val="auto"/>
          <w:kern w:val="2"/>
          <w:sz w:val="32"/>
          <w:szCs w:val="32"/>
          <w:highlight w:val="none"/>
          <w:lang w:val="en-US" w:eastAsia="zh-CN" w:bidi="ar"/>
        </w:rPr>
        <w:t>优良天数比例完成省下达目标</w:t>
      </w:r>
      <w:r>
        <w:rPr>
          <w:rFonts w:hint="eastAsia" w:hAnsi="Times New Roman" w:cs="仿宋_GB2312"/>
          <w:color w:val="auto"/>
          <w:kern w:val="2"/>
          <w:sz w:val="32"/>
          <w:szCs w:val="32"/>
          <w:highlight w:val="none"/>
          <w:lang w:val="en-US" w:eastAsia="zh-CN" w:bidi="ar"/>
        </w:rPr>
        <w:t>；</w:t>
      </w:r>
      <w:r>
        <w:rPr>
          <w:rFonts w:hint="default" w:ascii="仿宋_GB2312" w:hAnsi="Times New Roman" w:eastAsia="仿宋_GB2312" w:cs="仿宋_GB2312"/>
          <w:color w:val="auto"/>
          <w:kern w:val="2"/>
          <w:sz w:val="32"/>
          <w:szCs w:val="32"/>
          <w:highlight w:val="none"/>
          <w:lang w:val="en-US" w:eastAsia="zh-CN" w:bidi="ar"/>
        </w:rPr>
        <w:t>重点建设用地安全利用得到有效保障</w:t>
      </w:r>
      <w:r>
        <w:rPr>
          <w:rFonts w:hint="eastAsia" w:hAnsi="宋体" w:cs="仿宋_GB2312"/>
          <w:b w:val="0"/>
          <w:bCs w:val="0"/>
          <w:color w:val="auto"/>
          <w:kern w:val="0"/>
          <w:sz w:val="32"/>
          <w:szCs w:val="32"/>
          <w:highlight w:val="none"/>
          <w:lang w:val="en-US" w:eastAsia="zh-CN" w:bidi="ar"/>
        </w:rPr>
        <w:t>；</w:t>
      </w:r>
      <w:r>
        <w:rPr>
          <w:rFonts w:hint="eastAsia" w:hAnsi="宋体" w:cs="仿宋_GB2312"/>
          <w:b w:val="0"/>
          <w:bCs w:val="0"/>
          <w:color w:val="auto"/>
          <w:kern w:val="0"/>
          <w:sz w:val="32"/>
          <w:szCs w:val="32"/>
          <w:highlight w:val="none"/>
          <w:lang w:val="en-US" w:eastAsia="zh" w:bidi="ar"/>
        </w:rPr>
        <w:t>“无废城市”建设持续推进。</w:t>
      </w:r>
    </w:p>
    <w:p>
      <w:pPr>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right="0" w:firstLine="640" w:firstLineChars="200"/>
        <w:jc w:val="both"/>
        <w:rPr>
          <w:rFonts w:hint="default" w:ascii="仿宋_GB2312" w:hAnsi="宋体" w:eastAsia="仿宋_GB2312" w:cs="仿宋_GB2312"/>
          <w:b w:val="0"/>
          <w:bCs w:val="0"/>
          <w:color w:val="auto"/>
          <w:kern w:val="0"/>
          <w:sz w:val="32"/>
          <w:szCs w:val="32"/>
          <w:highlight w:val="none"/>
          <w:lang w:val="en-US" w:eastAsia="zh-CN" w:bidi="ar"/>
        </w:rPr>
      </w:pPr>
      <w:r>
        <w:rPr>
          <w:rFonts w:hint="default" w:ascii="仿宋_GB2312" w:hAnsi="宋体" w:eastAsia="仿宋_GB2312" w:cs="仿宋_GB2312"/>
          <w:b w:val="0"/>
          <w:bCs w:val="0"/>
          <w:color w:val="auto"/>
          <w:kern w:val="0"/>
          <w:sz w:val="32"/>
          <w:szCs w:val="32"/>
          <w:highlight w:val="none"/>
          <w:lang w:val="en-US" w:eastAsia="zh-CN" w:bidi="ar"/>
        </w:rPr>
        <w:t>——激活绿色低碳发展新引擎。单位</w:t>
      </w:r>
      <w:r>
        <w:rPr>
          <w:rFonts w:hint="eastAsia" w:hAnsi="宋体" w:cs="仿宋_GB2312"/>
          <w:b w:val="0"/>
          <w:bCs w:val="0"/>
          <w:color w:val="auto"/>
          <w:kern w:val="0"/>
          <w:sz w:val="32"/>
          <w:szCs w:val="32"/>
          <w:highlight w:val="none"/>
          <w:lang w:val="en-US" w:eastAsia="zh-CN" w:bidi="ar"/>
        </w:rPr>
        <w:t>地区生产总值</w:t>
      </w:r>
      <w:r>
        <w:rPr>
          <w:rFonts w:hint="default" w:ascii="仿宋_GB2312" w:hAnsi="宋体" w:eastAsia="仿宋_GB2312" w:cs="仿宋_GB2312"/>
          <w:b w:val="0"/>
          <w:bCs w:val="0"/>
          <w:color w:val="auto"/>
          <w:kern w:val="0"/>
          <w:sz w:val="32"/>
          <w:szCs w:val="32"/>
          <w:highlight w:val="none"/>
          <w:lang w:val="en-US" w:eastAsia="zh-CN" w:bidi="ar"/>
        </w:rPr>
        <w:t>二氧化碳排放</w:t>
      </w:r>
      <w:r>
        <w:rPr>
          <w:rFonts w:hint="eastAsia" w:hAnsi="宋体" w:cs="仿宋_GB2312"/>
          <w:b w:val="0"/>
          <w:bCs w:val="0"/>
          <w:color w:val="auto"/>
          <w:kern w:val="0"/>
          <w:sz w:val="32"/>
          <w:szCs w:val="32"/>
          <w:highlight w:val="none"/>
          <w:lang w:val="en-US" w:eastAsia="zh-CN" w:bidi="ar"/>
        </w:rPr>
        <w:t>降低、</w:t>
      </w:r>
      <w:r>
        <w:rPr>
          <w:rFonts w:hint="default" w:ascii="仿宋_GB2312" w:hAnsi="宋体" w:eastAsia="仿宋_GB2312" w:cs="仿宋_GB2312"/>
          <w:b w:val="0"/>
          <w:bCs w:val="0"/>
          <w:color w:val="auto"/>
          <w:kern w:val="0"/>
          <w:sz w:val="32"/>
          <w:szCs w:val="32"/>
          <w:highlight w:val="none"/>
          <w:lang w:val="en-US" w:eastAsia="zh-CN" w:bidi="ar"/>
        </w:rPr>
        <w:t>煤炭消费总量</w:t>
      </w:r>
      <w:r>
        <w:rPr>
          <w:rFonts w:hint="eastAsia" w:hAnsi="宋体" w:cs="仿宋_GB2312"/>
          <w:b w:val="0"/>
          <w:bCs w:val="0"/>
          <w:color w:val="auto"/>
          <w:kern w:val="0"/>
          <w:sz w:val="32"/>
          <w:szCs w:val="32"/>
          <w:highlight w:val="none"/>
          <w:lang w:val="en-US" w:eastAsia="zh-CN" w:bidi="ar"/>
        </w:rPr>
        <w:t>完成省定目标，</w:t>
      </w:r>
      <w:r>
        <w:rPr>
          <w:rFonts w:hint="default" w:ascii="仿宋_GB2312" w:hAnsi="宋体" w:eastAsia="仿宋_GB2312" w:cs="仿宋_GB2312"/>
          <w:b w:val="0"/>
          <w:bCs w:val="0"/>
          <w:color w:val="auto"/>
          <w:kern w:val="0"/>
          <w:sz w:val="32"/>
          <w:szCs w:val="32"/>
          <w:highlight w:val="none"/>
          <w:lang w:val="en-US" w:eastAsia="zh-CN" w:bidi="ar"/>
        </w:rPr>
        <w:t>非化石能源占能源消费</w:t>
      </w:r>
      <w:r>
        <w:rPr>
          <w:rFonts w:hint="eastAsia" w:ascii="仿宋_GB2312" w:hAnsi="宋体" w:eastAsia="仿宋_GB2312" w:cs="仿宋_GB2312"/>
          <w:b w:val="0"/>
          <w:bCs w:val="0"/>
          <w:color w:val="auto"/>
          <w:kern w:val="0"/>
          <w:sz w:val="32"/>
          <w:szCs w:val="32"/>
          <w:highlight w:val="none"/>
          <w:lang w:val="en-US" w:eastAsia="zh" w:bidi="ar"/>
        </w:rPr>
        <w:t>比重</w:t>
      </w:r>
      <w:r>
        <w:rPr>
          <w:rFonts w:hint="eastAsia" w:hAnsi="宋体" w:cs="仿宋_GB2312"/>
          <w:b w:val="0"/>
          <w:bCs w:val="0"/>
          <w:color w:val="auto"/>
          <w:kern w:val="0"/>
          <w:sz w:val="32"/>
          <w:szCs w:val="32"/>
          <w:highlight w:val="none"/>
          <w:lang w:val="en-US" w:eastAsia="zh-CN" w:bidi="ar"/>
        </w:rPr>
        <w:t>不低于17%；</w:t>
      </w:r>
      <w:r>
        <w:rPr>
          <w:rFonts w:hint="default" w:ascii="仿宋_GB2312" w:hAnsi="宋体" w:eastAsia="仿宋_GB2312" w:cs="仿宋_GB2312"/>
          <w:b w:val="0"/>
          <w:bCs w:val="0"/>
          <w:color w:val="auto"/>
          <w:kern w:val="0"/>
          <w:sz w:val="32"/>
          <w:szCs w:val="32"/>
          <w:highlight w:val="none"/>
          <w:lang w:val="en-US" w:eastAsia="zh-CN" w:bidi="ar"/>
        </w:rPr>
        <w:t>重点行业大宗货物清洁运输比例</w:t>
      </w:r>
      <w:r>
        <w:rPr>
          <w:rFonts w:hint="eastAsia" w:hAnsi="宋体" w:cs="仿宋_GB2312"/>
          <w:b w:val="0"/>
          <w:bCs w:val="0"/>
          <w:color w:val="auto"/>
          <w:kern w:val="0"/>
          <w:sz w:val="32"/>
          <w:szCs w:val="32"/>
          <w:highlight w:val="none"/>
          <w:lang w:val="en-US" w:eastAsia="zh" w:bidi="ar"/>
        </w:rPr>
        <w:t>达</w:t>
      </w:r>
      <w:r>
        <w:rPr>
          <w:rFonts w:hint="eastAsia" w:hAnsi="宋体" w:cs="仿宋_GB2312"/>
          <w:b w:val="0"/>
          <w:bCs w:val="0"/>
          <w:color w:val="auto"/>
          <w:kern w:val="0"/>
          <w:sz w:val="32"/>
          <w:szCs w:val="32"/>
          <w:highlight w:val="none"/>
          <w:lang w:val="en-US" w:eastAsia="zh-CN" w:bidi="ar"/>
        </w:rPr>
        <w:t>90</w:t>
      </w:r>
      <w:r>
        <w:rPr>
          <w:rFonts w:hint="default" w:ascii="仿宋_GB2312" w:hAnsi="宋体" w:eastAsia="仿宋_GB2312" w:cs="仿宋_GB2312"/>
          <w:b w:val="0"/>
          <w:bCs w:val="0"/>
          <w:color w:val="auto"/>
          <w:kern w:val="0"/>
          <w:sz w:val="32"/>
          <w:szCs w:val="32"/>
          <w:highlight w:val="none"/>
          <w:lang w:val="en-US" w:eastAsia="zh-CN" w:bidi="ar"/>
        </w:rPr>
        <w:t>%</w:t>
      </w:r>
      <w:r>
        <w:rPr>
          <w:rFonts w:hint="eastAsia" w:hAnsi="宋体" w:cs="仿宋_GB2312"/>
          <w:b w:val="0"/>
          <w:bCs w:val="0"/>
          <w:color w:val="auto"/>
          <w:kern w:val="0"/>
          <w:sz w:val="32"/>
          <w:szCs w:val="32"/>
          <w:highlight w:val="none"/>
          <w:lang w:val="en-US" w:eastAsia="zh-CN" w:bidi="ar"/>
        </w:rPr>
        <w:t>以上</w:t>
      </w:r>
      <w:r>
        <w:rPr>
          <w:rFonts w:hint="eastAsia" w:hAnsi="宋体" w:cs="仿宋_GB2312"/>
          <w:b w:val="0"/>
          <w:bCs w:val="0"/>
          <w:color w:val="auto"/>
          <w:kern w:val="0"/>
          <w:sz w:val="32"/>
          <w:szCs w:val="32"/>
          <w:highlight w:val="none"/>
          <w:lang w:val="en-US" w:eastAsia="zh" w:bidi="ar"/>
        </w:rPr>
        <w:t>，</w:t>
      </w:r>
      <w:r>
        <w:rPr>
          <w:rFonts w:hint="default" w:ascii="仿宋_GB2312" w:hAnsi="宋体" w:eastAsia="仿宋_GB2312" w:cs="仿宋_GB2312"/>
          <w:b w:val="0"/>
          <w:bCs w:val="0"/>
          <w:color w:val="auto"/>
          <w:kern w:val="0"/>
          <w:sz w:val="32"/>
          <w:szCs w:val="32"/>
          <w:highlight w:val="none"/>
          <w:lang w:val="en-US" w:eastAsia="zh-CN" w:bidi="ar"/>
        </w:rPr>
        <w:t>煤炭集疏港清洁运输比例</w:t>
      </w:r>
      <w:r>
        <w:rPr>
          <w:rFonts w:hint="eastAsia" w:hAnsi="宋体" w:cs="仿宋_GB2312"/>
          <w:b w:val="0"/>
          <w:bCs w:val="0"/>
          <w:color w:val="auto"/>
          <w:kern w:val="0"/>
          <w:sz w:val="32"/>
          <w:szCs w:val="32"/>
          <w:highlight w:val="none"/>
          <w:lang w:val="en-US" w:eastAsia="zh" w:bidi="ar"/>
        </w:rPr>
        <w:t>保持100</w:t>
      </w:r>
      <w:r>
        <w:rPr>
          <w:rFonts w:hint="default" w:ascii="仿宋_GB2312" w:hAnsi="宋体" w:eastAsia="仿宋_GB2312" w:cs="仿宋_GB2312"/>
          <w:b w:val="0"/>
          <w:bCs w:val="0"/>
          <w:color w:val="auto"/>
          <w:kern w:val="0"/>
          <w:sz w:val="32"/>
          <w:szCs w:val="32"/>
          <w:highlight w:val="none"/>
          <w:lang w:val="en-US" w:eastAsia="zh-CN" w:bidi="ar"/>
        </w:rPr>
        <w:t>%</w:t>
      </w:r>
      <w:r>
        <w:rPr>
          <w:rFonts w:hint="eastAsia" w:hAnsi="宋体" w:cs="仿宋_GB2312"/>
          <w:b w:val="0"/>
          <w:bCs w:val="0"/>
          <w:color w:val="auto"/>
          <w:kern w:val="0"/>
          <w:sz w:val="32"/>
          <w:szCs w:val="32"/>
          <w:highlight w:val="none"/>
          <w:lang w:val="en-US" w:eastAsia="zh-CN" w:bidi="ar"/>
        </w:rPr>
        <w:t>；新建</w:t>
      </w:r>
      <w:r>
        <w:rPr>
          <w:rFonts w:hint="default" w:ascii="仿宋_GB2312" w:hAnsi="宋体" w:eastAsia="仿宋_GB2312" w:cs="仿宋_GB2312"/>
          <w:b w:val="0"/>
          <w:bCs w:val="0"/>
          <w:color w:val="auto"/>
          <w:kern w:val="0"/>
          <w:sz w:val="32"/>
          <w:szCs w:val="32"/>
          <w:highlight w:val="none"/>
          <w:lang w:val="en-US" w:eastAsia="zh-CN" w:bidi="ar"/>
        </w:rPr>
        <w:t>星级绿色建筑占比</w:t>
      </w:r>
      <w:r>
        <w:rPr>
          <w:rFonts w:hint="eastAsia" w:hAnsi="宋体" w:cs="仿宋_GB2312"/>
          <w:b w:val="0"/>
          <w:bCs w:val="0"/>
          <w:color w:val="auto"/>
          <w:kern w:val="0"/>
          <w:sz w:val="32"/>
          <w:szCs w:val="32"/>
          <w:highlight w:val="none"/>
          <w:lang w:val="en-US" w:eastAsia="zh-CN" w:bidi="ar"/>
        </w:rPr>
        <w:t>不低于70</w:t>
      </w:r>
      <w:r>
        <w:rPr>
          <w:rFonts w:hint="default" w:ascii="仿宋_GB2312" w:hAnsi="宋体" w:eastAsia="仿宋_GB2312" w:cs="仿宋_GB2312"/>
          <w:b w:val="0"/>
          <w:bCs w:val="0"/>
          <w:color w:val="auto"/>
          <w:kern w:val="0"/>
          <w:sz w:val="32"/>
          <w:szCs w:val="32"/>
          <w:highlight w:val="none"/>
          <w:lang w:val="en-US" w:eastAsia="zh-CN" w:bidi="ar"/>
        </w:rPr>
        <w:t>%</w:t>
      </w:r>
      <w:r>
        <w:rPr>
          <w:rFonts w:hint="eastAsia" w:hAnsi="宋体" w:cs="仿宋_GB2312"/>
          <w:b w:val="0"/>
          <w:bCs w:val="0"/>
          <w:color w:val="auto"/>
          <w:kern w:val="0"/>
          <w:sz w:val="32"/>
          <w:szCs w:val="32"/>
          <w:highlight w:val="none"/>
          <w:lang w:val="en-US" w:eastAsia="zh-CN" w:bidi="ar"/>
        </w:rPr>
        <w:t>，</w:t>
      </w:r>
      <w:r>
        <w:rPr>
          <w:rFonts w:hint="default" w:ascii="仿宋_GB2312" w:hAnsi="宋体" w:eastAsia="仿宋_GB2312" w:cs="仿宋_GB2312"/>
          <w:b w:val="0"/>
          <w:bCs w:val="0"/>
          <w:color w:val="auto"/>
          <w:kern w:val="0"/>
          <w:sz w:val="32"/>
          <w:szCs w:val="32"/>
          <w:highlight w:val="none"/>
          <w:lang w:val="en-US" w:eastAsia="zh-CN" w:bidi="ar"/>
        </w:rPr>
        <w:t>城区绿色出行比例不低于70%。</w:t>
      </w:r>
    </w:p>
    <w:p>
      <w:pPr>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right="0" w:firstLine="640" w:firstLineChars="200"/>
        <w:jc w:val="both"/>
        <w:rPr>
          <w:rFonts w:hint="default" w:ascii="仿宋_GB2312" w:hAnsi="宋体" w:eastAsia="仿宋_GB2312" w:cs="仿宋_GB2312"/>
          <w:b w:val="0"/>
          <w:bCs w:val="0"/>
          <w:color w:val="auto"/>
          <w:kern w:val="0"/>
          <w:sz w:val="32"/>
          <w:szCs w:val="32"/>
          <w:highlight w:val="none"/>
          <w:lang w:val="en-US" w:eastAsia="zh-CN" w:bidi="ar"/>
        </w:rPr>
      </w:pPr>
      <w:r>
        <w:rPr>
          <w:rFonts w:hint="default" w:ascii="仿宋_GB2312" w:hAnsi="宋体" w:eastAsia="仿宋_GB2312" w:cs="仿宋_GB2312"/>
          <w:b w:val="0"/>
          <w:bCs w:val="0"/>
          <w:color w:val="auto"/>
          <w:kern w:val="0"/>
          <w:sz w:val="32"/>
          <w:szCs w:val="32"/>
          <w:highlight w:val="none"/>
          <w:lang w:val="en-US" w:eastAsia="zh-CN" w:bidi="ar"/>
        </w:rPr>
        <w:t>——构筑生态宜居新家园。</w:t>
      </w:r>
      <w:r>
        <w:rPr>
          <w:rFonts w:hint="eastAsia" w:hAnsi="宋体" w:cs="仿宋_GB2312"/>
          <w:b w:val="0"/>
          <w:bCs w:val="0"/>
          <w:color w:val="auto"/>
          <w:kern w:val="0"/>
          <w:sz w:val="32"/>
          <w:szCs w:val="32"/>
          <w:highlight w:val="none"/>
          <w:lang w:val="en-US" w:eastAsia="zh-CN" w:bidi="ar"/>
        </w:rPr>
        <w:t>大陆</w:t>
      </w:r>
      <w:r>
        <w:rPr>
          <w:rFonts w:hint="default" w:hAnsi="宋体" w:cs="仿宋_GB2312"/>
          <w:b w:val="0"/>
          <w:bCs w:val="0"/>
          <w:color w:val="auto"/>
          <w:kern w:val="0"/>
          <w:sz w:val="32"/>
          <w:szCs w:val="32"/>
          <w:highlight w:val="none"/>
          <w:lang w:val="en-US" w:eastAsia="zh-CN" w:bidi="ar"/>
        </w:rPr>
        <w:t>自然岸线保有率不低于49.05%，生态质量指数EQI</w:t>
      </w:r>
      <w:r>
        <w:rPr>
          <w:rFonts w:hint="eastAsia" w:hAnsi="宋体" w:cs="仿宋_GB2312"/>
          <w:b w:val="0"/>
          <w:bCs w:val="0"/>
          <w:color w:val="auto"/>
          <w:kern w:val="0"/>
          <w:sz w:val="32"/>
          <w:szCs w:val="32"/>
          <w:highlight w:val="none"/>
          <w:lang w:val="en-US" w:eastAsia="zh-CN" w:bidi="ar"/>
        </w:rPr>
        <w:t>基本</w:t>
      </w:r>
      <w:r>
        <w:rPr>
          <w:rFonts w:hint="default" w:hAnsi="宋体" w:cs="仿宋_GB2312"/>
          <w:b w:val="0"/>
          <w:bCs w:val="0"/>
          <w:color w:val="auto"/>
          <w:kern w:val="0"/>
          <w:sz w:val="32"/>
          <w:szCs w:val="32"/>
          <w:highlight w:val="none"/>
          <w:lang w:val="en-US" w:eastAsia="zh-CN" w:bidi="ar"/>
        </w:rPr>
        <w:t>稳定</w:t>
      </w:r>
      <w:r>
        <w:rPr>
          <w:rFonts w:hint="eastAsia" w:hAnsi="宋体" w:cs="仿宋_GB2312"/>
          <w:b w:val="0"/>
          <w:bCs w:val="0"/>
          <w:color w:val="auto"/>
          <w:kern w:val="0"/>
          <w:sz w:val="32"/>
          <w:szCs w:val="32"/>
          <w:highlight w:val="none"/>
          <w:lang w:val="en-US" w:eastAsia="zh-CN" w:bidi="ar"/>
        </w:rPr>
        <w:t>；持续巩固</w:t>
      </w:r>
      <w:r>
        <w:rPr>
          <w:rFonts w:hint="default" w:hAnsi="宋体" w:cs="仿宋_GB2312"/>
          <w:b w:val="0"/>
          <w:bCs w:val="0"/>
          <w:color w:val="auto"/>
          <w:kern w:val="0"/>
          <w:sz w:val="32"/>
          <w:szCs w:val="32"/>
          <w:highlight w:val="none"/>
          <w:lang w:val="en-US" w:eastAsia="zh-CN" w:bidi="ar"/>
        </w:rPr>
        <w:t>中心城区公园绿地300米见绿、500米见园</w:t>
      </w:r>
      <w:r>
        <w:rPr>
          <w:rFonts w:hint="eastAsia" w:hAnsi="宋体" w:cs="仿宋_GB2312"/>
          <w:b w:val="0"/>
          <w:bCs w:val="0"/>
          <w:color w:val="auto"/>
          <w:kern w:val="0"/>
          <w:sz w:val="32"/>
          <w:szCs w:val="32"/>
          <w:highlight w:val="none"/>
          <w:lang w:val="en-US" w:eastAsia="zh-CN" w:bidi="ar"/>
        </w:rPr>
        <w:t>建设成效；</w:t>
      </w:r>
      <w:r>
        <w:rPr>
          <w:rFonts w:hint="eastAsia" w:hAnsi="宋体" w:cs="仿宋_GB2312"/>
          <w:b w:val="0"/>
          <w:bCs w:val="0"/>
          <w:color w:val="auto"/>
          <w:kern w:val="0"/>
          <w:sz w:val="32"/>
          <w:szCs w:val="32"/>
          <w:highlight w:val="none"/>
          <w:lang w:val="en-US" w:eastAsia="zh" w:bidi="ar"/>
        </w:rPr>
        <w:t>建</w:t>
      </w:r>
      <w:r>
        <w:rPr>
          <w:rFonts w:hint="eastAsia" w:hAnsi="宋体" w:cs="仿宋_GB2312"/>
          <w:b w:val="0"/>
          <w:bCs w:val="0"/>
          <w:color w:val="auto"/>
          <w:kern w:val="0"/>
          <w:sz w:val="32"/>
          <w:szCs w:val="32"/>
          <w:highlight w:val="none"/>
          <w:lang w:val="en-US" w:eastAsia="zh-CN" w:bidi="ar"/>
        </w:rPr>
        <w:t>成</w:t>
      </w:r>
      <w:r>
        <w:rPr>
          <w:rFonts w:hint="eastAsia" w:hAnsi="宋体" w:cs="仿宋_GB2312"/>
          <w:b w:val="0"/>
          <w:bCs w:val="0"/>
          <w:color w:val="auto"/>
          <w:kern w:val="0"/>
          <w:sz w:val="32"/>
          <w:szCs w:val="32"/>
          <w:highlight w:val="none"/>
          <w:lang w:val="en-US" w:eastAsia="zh" w:bidi="ar"/>
        </w:rPr>
        <w:t>生物多样性体</w:t>
      </w:r>
      <w:r>
        <w:rPr>
          <w:rFonts w:hint="eastAsia" w:hAnsi="宋体" w:cs="仿宋_GB2312"/>
          <w:b w:val="0"/>
          <w:bCs w:val="0"/>
          <w:color w:val="auto"/>
          <w:kern w:val="0"/>
          <w:sz w:val="32"/>
          <w:szCs w:val="32"/>
          <w:highlight w:val="none"/>
          <w:lang w:val="en-US" w:eastAsia="zh-CN" w:bidi="ar"/>
        </w:rPr>
        <w:t>验</w:t>
      </w:r>
      <w:r>
        <w:rPr>
          <w:rFonts w:hint="eastAsia" w:hAnsi="宋体" w:cs="仿宋_GB2312"/>
          <w:b w:val="0"/>
          <w:bCs w:val="0"/>
          <w:color w:val="auto"/>
          <w:kern w:val="0"/>
          <w:sz w:val="32"/>
          <w:szCs w:val="32"/>
          <w:highlight w:val="none"/>
          <w:lang w:val="en-US" w:eastAsia="zh" w:bidi="ar"/>
        </w:rPr>
        <w:t>地</w:t>
      </w:r>
      <w:r>
        <w:rPr>
          <w:rFonts w:hint="eastAsia" w:hAnsi="宋体" w:cs="仿宋_GB2312"/>
          <w:b w:val="0"/>
          <w:bCs w:val="0"/>
          <w:color w:val="auto"/>
          <w:kern w:val="0"/>
          <w:sz w:val="32"/>
          <w:szCs w:val="32"/>
          <w:highlight w:val="none"/>
          <w:lang w:val="en-US" w:eastAsia="zh-CN" w:bidi="ar"/>
        </w:rPr>
        <w:t>1</w:t>
      </w:r>
      <w:r>
        <w:rPr>
          <w:rFonts w:hint="eastAsia" w:hAnsi="宋体" w:cs="仿宋_GB2312"/>
          <w:b w:val="0"/>
          <w:bCs w:val="0"/>
          <w:color w:val="auto"/>
          <w:kern w:val="0"/>
          <w:sz w:val="32"/>
          <w:szCs w:val="32"/>
          <w:highlight w:val="none"/>
          <w:lang w:val="en-US" w:eastAsia="zh" w:bidi="ar"/>
        </w:rPr>
        <w:t>个</w:t>
      </w:r>
      <w:r>
        <w:rPr>
          <w:rFonts w:hint="eastAsia" w:hAnsi="宋体" w:cs="仿宋_GB2312"/>
          <w:b w:val="0"/>
          <w:bCs w:val="0"/>
          <w:color w:val="auto"/>
          <w:kern w:val="0"/>
          <w:sz w:val="32"/>
          <w:szCs w:val="32"/>
          <w:highlight w:val="none"/>
          <w:lang w:val="en-US" w:eastAsia="zh-CN" w:bidi="ar"/>
        </w:rPr>
        <w:t>；</w:t>
      </w:r>
      <w:r>
        <w:rPr>
          <w:rFonts w:hint="default" w:hAnsi="宋体" w:cs="仿宋_GB2312"/>
          <w:b w:val="0"/>
          <w:bCs w:val="0"/>
          <w:color w:val="auto"/>
          <w:kern w:val="0"/>
          <w:sz w:val="32"/>
          <w:szCs w:val="32"/>
          <w:highlight w:val="none"/>
          <w:lang w:val="en-US" w:eastAsia="zh-CN" w:bidi="ar"/>
        </w:rPr>
        <w:t>城市声环境功能区夜间达标率</w:t>
      </w:r>
      <w:r>
        <w:rPr>
          <w:rFonts w:hint="eastAsia" w:hAnsi="宋体" w:cs="仿宋_GB2312"/>
          <w:b w:val="0"/>
          <w:bCs w:val="0"/>
          <w:color w:val="auto"/>
          <w:kern w:val="0"/>
          <w:sz w:val="32"/>
          <w:szCs w:val="32"/>
          <w:highlight w:val="none"/>
          <w:lang w:val="en-US" w:eastAsia="zh-CN" w:bidi="ar"/>
        </w:rPr>
        <w:t>完成省定目标；</w:t>
      </w:r>
      <w:r>
        <w:rPr>
          <w:rFonts w:hint="default" w:hAnsi="宋体" w:cs="仿宋_GB2312"/>
          <w:b w:val="0"/>
          <w:bCs w:val="0"/>
          <w:color w:val="auto"/>
          <w:kern w:val="0"/>
          <w:sz w:val="32"/>
          <w:szCs w:val="32"/>
          <w:highlight w:val="none"/>
          <w:lang w:val="en-US" w:eastAsia="zh-CN" w:bidi="ar"/>
        </w:rPr>
        <w:t>特色文旅品牌体系</w:t>
      </w:r>
      <w:r>
        <w:rPr>
          <w:rFonts w:hint="eastAsia" w:hAnsi="宋体" w:cs="仿宋_GB2312"/>
          <w:b w:val="0"/>
          <w:bCs w:val="0"/>
          <w:color w:val="auto"/>
          <w:kern w:val="0"/>
          <w:sz w:val="32"/>
          <w:szCs w:val="32"/>
          <w:highlight w:val="none"/>
          <w:lang w:val="en-US" w:eastAsia="zh-CN" w:bidi="ar"/>
        </w:rPr>
        <w:t>建设成效明显</w:t>
      </w:r>
      <w:r>
        <w:rPr>
          <w:rFonts w:hint="default" w:hAnsi="宋体" w:cs="仿宋_GB2312"/>
          <w:b w:val="0"/>
          <w:bCs w:val="0"/>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right="0" w:firstLine="640" w:firstLineChars="200"/>
        <w:jc w:val="both"/>
        <w:rPr>
          <w:rFonts w:hint="default" w:ascii="仿宋_GB2312" w:hAnsi="宋体" w:eastAsia="仿宋_GB2312" w:cs="仿宋_GB2312"/>
          <w:b w:val="0"/>
          <w:bCs w:val="0"/>
          <w:color w:val="auto"/>
          <w:kern w:val="0"/>
          <w:sz w:val="32"/>
          <w:szCs w:val="32"/>
          <w:highlight w:val="none"/>
          <w:lang w:val="en-US" w:eastAsia="zh-CN" w:bidi="ar"/>
        </w:rPr>
      </w:pPr>
      <w:r>
        <w:rPr>
          <w:rFonts w:hint="default" w:ascii="仿宋_GB2312" w:hAnsi="宋体" w:eastAsia="仿宋_GB2312" w:cs="仿宋_GB2312"/>
          <w:b w:val="0"/>
          <w:bCs w:val="0"/>
          <w:color w:val="auto"/>
          <w:kern w:val="0"/>
          <w:sz w:val="32"/>
          <w:szCs w:val="32"/>
          <w:highlight w:val="none"/>
          <w:lang w:val="en-US" w:eastAsia="zh-CN" w:bidi="ar"/>
        </w:rPr>
        <w:t>——筑牢环境风险防护网。</w:t>
      </w:r>
      <w:r>
        <w:rPr>
          <w:rFonts w:hint="eastAsia" w:hAnsi="宋体" w:cs="仿宋_GB2312"/>
          <w:b w:val="0"/>
          <w:bCs w:val="0"/>
          <w:color w:val="auto"/>
          <w:kern w:val="0"/>
          <w:sz w:val="32"/>
          <w:szCs w:val="32"/>
          <w:highlight w:val="none"/>
          <w:lang w:val="en-US" w:eastAsia="zh-CN" w:bidi="ar"/>
        </w:rPr>
        <w:t>国家</w:t>
      </w:r>
      <w:r>
        <w:rPr>
          <w:rFonts w:hint="default" w:ascii="仿宋_GB2312" w:hAnsi="宋体" w:eastAsia="仿宋_GB2312" w:cs="仿宋_GB2312"/>
          <w:b w:val="0"/>
          <w:bCs w:val="0"/>
          <w:color w:val="auto"/>
          <w:kern w:val="0"/>
          <w:sz w:val="32"/>
          <w:szCs w:val="32"/>
          <w:highlight w:val="none"/>
          <w:lang w:val="en-US" w:eastAsia="zh-CN" w:bidi="ar"/>
        </w:rPr>
        <w:t>环境健康</w:t>
      </w:r>
      <w:r>
        <w:rPr>
          <w:rFonts w:hint="eastAsia" w:hAnsi="宋体" w:cs="仿宋_GB2312"/>
          <w:b w:val="0"/>
          <w:bCs w:val="0"/>
          <w:color w:val="auto"/>
          <w:kern w:val="0"/>
          <w:sz w:val="32"/>
          <w:szCs w:val="32"/>
          <w:highlight w:val="none"/>
          <w:lang w:val="en-US" w:eastAsia="zh-CN" w:bidi="ar"/>
        </w:rPr>
        <w:t>管理试点核心区</w:t>
      </w:r>
      <w:r>
        <w:rPr>
          <w:rFonts w:hint="default" w:ascii="仿宋_GB2312" w:hAnsi="宋体" w:eastAsia="仿宋_GB2312" w:cs="仿宋_GB2312"/>
          <w:b w:val="0"/>
          <w:bCs w:val="0"/>
          <w:color w:val="auto"/>
          <w:kern w:val="0"/>
          <w:sz w:val="32"/>
          <w:szCs w:val="32"/>
          <w:highlight w:val="none"/>
          <w:lang w:val="en-US" w:eastAsia="zh-CN" w:bidi="ar"/>
        </w:rPr>
        <w:t>环境健康风险源</w:t>
      </w:r>
      <w:r>
        <w:rPr>
          <w:rFonts w:hint="eastAsia" w:hAnsi="宋体" w:cs="仿宋_GB2312"/>
          <w:b w:val="0"/>
          <w:bCs w:val="0"/>
          <w:color w:val="auto"/>
          <w:kern w:val="0"/>
          <w:sz w:val="32"/>
          <w:szCs w:val="32"/>
          <w:highlight w:val="none"/>
          <w:lang w:val="en-US" w:eastAsia="zh-CN" w:bidi="ar"/>
        </w:rPr>
        <w:t>得到有效管控</w:t>
      </w:r>
      <w:r>
        <w:rPr>
          <w:rFonts w:hint="default" w:ascii="仿宋_GB2312" w:hAnsi="宋体" w:eastAsia="仿宋_GB2312" w:cs="仿宋_GB2312"/>
          <w:b w:val="0"/>
          <w:bCs w:val="0"/>
          <w:color w:val="auto"/>
          <w:kern w:val="0"/>
          <w:sz w:val="32"/>
          <w:szCs w:val="32"/>
          <w:highlight w:val="none"/>
          <w:lang w:val="en-US" w:eastAsia="zh-CN" w:bidi="ar"/>
        </w:rPr>
        <w:t>，环境风险防范与应急能力显著提升</w:t>
      </w:r>
      <w:r>
        <w:rPr>
          <w:rFonts w:hint="eastAsia" w:hAnsi="宋体" w:cs="仿宋_GB2312"/>
          <w:b w:val="0"/>
          <w:bCs w:val="0"/>
          <w:color w:val="auto"/>
          <w:kern w:val="0"/>
          <w:sz w:val="32"/>
          <w:szCs w:val="32"/>
          <w:highlight w:val="none"/>
          <w:lang w:val="en-US" w:eastAsia="zh-CN" w:bidi="ar"/>
        </w:rPr>
        <w:t>；中心</w:t>
      </w:r>
      <w:r>
        <w:rPr>
          <w:rFonts w:hint="default" w:ascii="仿宋_GB2312" w:hAnsi="宋体" w:eastAsia="仿宋_GB2312" w:cs="仿宋_GB2312"/>
          <w:b w:val="0"/>
          <w:bCs w:val="0"/>
          <w:color w:val="auto"/>
          <w:kern w:val="0"/>
          <w:sz w:val="32"/>
          <w:szCs w:val="32"/>
          <w:highlight w:val="none"/>
          <w:lang w:val="en-US" w:eastAsia="zh-CN" w:bidi="ar"/>
        </w:rPr>
        <w:t>城区透水面积占</w:t>
      </w:r>
      <w:r>
        <w:rPr>
          <w:rFonts w:hint="eastAsia" w:hAnsi="宋体" w:cs="仿宋_GB2312"/>
          <w:b w:val="0"/>
          <w:bCs w:val="0"/>
          <w:color w:val="auto"/>
          <w:kern w:val="0"/>
          <w:sz w:val="32"/>
          <w:szCs w:val="32"/>
          <w:highlight w:val="none"/>
          <w:lang w:val="en-US" w:eastAsia="zh-CN" w:bidi="ar"/>
        </w:rPr>
        <w:t>比达到43</w:t>
      </w:r>
      <w:r>
        <w:rPr>
          <w:rFonts w:hint="default" w:ascii="仿宋_GB2312" w:hAnsi="宋体" w:eastAsia="仿宋_GB2312" w:cs="仿宋_GB2312"/>
          <w:b w:val="0"/>
          <w:bCs w:val="0"/>
          <w:color w:val="auto"/>
          <w:kern w:val="0"/>
          <w:sz w:val="32"/>
          <w:szCs w:val="32"/>
          <w:highlight w:val="none"/>
          <w:lang w:val="en-US" w:eastAsia="zh-CN" w:bidi="ar"/>
        </w:rPr>
        <w:t>%</w:t>
      </w:r>
      <w:r>
        <w:rPr>
          <w:rFonts w:hint="eastAsia" w:hAnsi="宋体" w:cs="仿宋_GB2312"/>
          <w:b w:val="0"/>
          <w:bCs w:val="0"/>
          <w:color w:val="auto"/>
          <w:kern w:val="0"/>
          <w:sz w:val="32"/>
          <w:szCs w:val="32"/>
          <w:highlight w:val="none"/>
          <w:lang w:val="en-US" w:eastAsia="zh-CN" w:bidi="ar"/>
        </w:rPr>
        <w:t>以上</w:t>
      </w:r>
      <w:r>
        <w:rPr>
          <w:rFonts w:hint="default" w:ascii="仿宋_GB2312" w:hAnsi="宋体" w:eastAsia="仿宋_GB2312" w:cs="仿宋_GB2312"/>
          <w:b w:val="0"/>
          <w:bCs w:val="0"/>
          <w:color w:val="auto"/>
          <w:kern w:val="0"/>
          <w:sz w:val="32"/>
          <w:szCs w:val="32"/>
          <w:highlight w:val="none"/>
          <w:lang w:val="en-US" w:eastAsia="zh-CN" w:bidi="ar"/>
        </w:rPr>
        <w:t>，城市生活污水集中收集率</w:t>
      </w:r>
      <w:r>
        <w:rPr>
          <w:rFonts w:hint="eastAsia" w:hAnsi="宋体" w:cs="仿宋_GB2312"/>
          <w:b w:val="0"/>
          <w:bCs w:val="0"/>
          <w:color w:val="auto"/>
          <w:kern w:val="0"/>
          <w:sz w:val="32"/>
          <w:szCs w:val="32"/>
          <w:highlight w:val="none"/>
          <w:lang w:val="en-US" w:eastAsia="zh-CN" w:bidi="ar"/>
        </w:rPr>
        <w:t>达95</w:t>
      </w:r>
      <w:r>
        <w:rPr>
          <w:rFonts w:hint="default" w:ascii="仿宋_GB2312" w:hAnsi="宋体" w:eastAsia="仿宋_GB2312" w:cs="仿宋_GB2312"/>
          <w:b w:val="0"/>
          <w:bCs w:val="0"/>
          <w:color w:val="auto"/>
          <w:kern w:val="0"/>
          <w:sz w:val="32"/>
          <w:szCs w:val="32"/>
          <w:highlight w:val="none"/>
          <w:lang w:val="en-US" w:eastAsia="zh-CN" w:bidi="ar"/>
        </w:rPr>
        <w:t>%</w:t>
      </w:r>
      <w:r>
        <w:rPr>
          <w:rFonts w:hint="eastAsia" w:hAnsi="宋体" w:cs="仿宋_GB2312"/>
          <w:b w:val="0"/>
          <w:bCs w:val="0"/>
          <w:color w:val="auto"/>
          <w:kern w:val="0"/>
          <w:sz w:val="32"/>
          <w:szCs w:val="32"/>
          <w:highlight w:val="none"/>
          <w:lang w:val="en-US" w:eastAsia="zh-CN" w:bidi="ar"/>
        </w:rPr>
        <w:t>以上；</w:t>
      </w:r>
      <w:r>
        <w:rPr>
          <w:rFonts w:hint="default" w:ascii="仿宋_GB2312" w:hAnsi="宋体" w:eastAsia="仿宋_GB2312" w:cs="仿宋_GB2312"/>
          <w:b w:val="0"/>
          <w:bCs w:val="0"/>
          <w:color w:val="auto"/>
          <w:kern w:val="0"/>
          <w:sz w:val="32"/>
          <w:szCs w:val="32"/>
          <w:highlight w:val="none"/>
          <w:lang w:val="en-US" w:eastAsia="zh-CN" w:bidi="ar"/>
        </w:rPr>
        <w:t>外来物种入侵</w:t>
      </w:r>
      <w:r>
        <w:rPr>
          <w:rFonts w:hint="eastAsia" w:hAnsi="宋体" w:cs="仿宋_GB2312"/>
          <w:b w:val="0"/>
          <w:bCs w:val="0"/>
          <w:color w:val="auto"/>
          <w:kern w:val="0"/>
          <w:sz w:val="32"/>
          <w:szCs w:val="32"/>
          <w:highlight w:val="none"/>
          <w:lang w:val="en-US" w:eastAsia="zh-CN" w:bidi="ar"/>
        </w:rPr>
        <w:t>防控能力</w:t>
      </w:r>
      <w:r>
        <w:rPr>
          <w:rFonts w:hint="eastAsia" w:ascii="仿宋_GB2312" w:hAnsi="宋体" w:eastAsia="仿宋_GB2312" w:cs="仿宋_GB2312"/>
          <w:b w:val="0"/>
          <w:bCs w:val="0"/>
          <w:color w:val="auto"/>
          <w:kern w:val="0"/>
          <w:sz w:val="32"/>
          <w:szCs w:val="32"/>
          <w:highlight w:val="none"/>
          <w:lang w:val="en-US" w:eastAsia="zh-CN" w:bidi="ar"/>
        </w:rPr>
        <w:t>持续加强</w:t>
      </w:r>
      <w:r>
        <w:rPr>
          <w:rFonts w:hint="eastAsia" w:hAnsi="宋体" w:cs="仿宋_GB2312"/>
          <w:b w:val="0"/>
          <w:bCs w:val="0"/>
          <w:color w:val="auto"/>
          <w:kern w:val="0"/>
          <w:sz w:val="32"/>
          <w:szCs w:val="32"/>
          <w:highlight w:val="none"/>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right="0" w:firstLine="640" w:firstLineChars="200"/>
        <w:jc w:val="both"/>
        <w:rPr>
          <w:rFonts w:hint="default" w:ascii="仿宋_GB2312" w:hAnsi="宋体" w:eastAsia="仿宋_GB2312" w:cs="仿宋_GB2312"/>
          <w:b w:val="0"/>
          <w:bCs w:val="0"/>
          <w:color w:val="auto"/>
          <w:kern w:val="0"/>
          <w:sz w:val="32"/>
          <w:szCs w:val="32"/>
          <w:highlight w:val="none"/>
        </w:rPr>
      </w:pPr>
      <w:r>
        <w:rPr>
          <w:rFonts w:hint="default" w:ascii="仿宋_GB2312" w:hAnsi="宋体" w:eastAsia="仿宋_GB2312" w:cs="仿宋_GB2312"/>
          <w:b w:val="0"/>
          <w:bCs w:val="0"/>
          <w:color w:val="auto"/>
          <w:kern w:val="0"/>
          <w:sz w:val="32"/>
          <w:szCs w:val="32"/>
          <w:highlight w:val="none"/>
          <w:lang w:val="en-US" w:eastAsia="zh-CN" w:bidi="ar"/>
        </w:rPr>
        <w:t>——数字赋能生态治理新篇章。</w:t>
      </w:r>
      <w:r>
        <w:rPr>
          <w:rFonts w:hint="eastAsia" w:cs="仿宋_GB2312"/>
          <w:b w:val="0"/>
          <w:bCs w:val="0"/>
          <w:color w:val="auto"/>
          <w:kern w:val="2"/>
          <w:sz w:val="32"/>
          <w:szCs w:val="22"/>
          <w:highlight w:val="none"/>
          <w:u w:val="none"/>
          <w:lang w:val="en-US" w:eastAsia="zh-CN" w:bidi="ar"/>
        </w:rPr>
        <w:t>天空地海一体化监测网络</w:t>
      </w:r>
      <w:r>
        <w:rPr>
          <w:rFonts w:hint="default" w:ascii="仿宋_GB2312" w:hAnsi="宋体" w:eastAsia="仿宋_GB2312" w:cs="仿宋_GB2312"/>
          <w:b w:val="0"/>
          <w:bCs w:val="0"/>
          <w:color w:val="auto"/>
          <w:kern w:val="0"/>
          <w:sz w:val="32"/>
          <w:szCs w:val="32"/>
          <w:highlight w:val="none"/>
          <w:lang w:val="en-US" w:eastAsia="zh-CN" w:bidi="ar"/>
        </w:rPr>
        <w:t>建设</w:t>
      </w:r>
      <w:r>
        <w:rPr>
          <w:rFonts w:hint="eastAsia" w:hAnsi="宋体" w:cs="仿宋_GB2312"/>
          <w:b w:val="0"/>
          <w:bCs w:val="0"/>
          <w:color w:val="auto"/>
          <w:kern w:val="0"/>
          <w:sz w:val="32"/>
          <w:szCs w:val="32"/>
          <w:highlight w:val="none"/>
          <w:lang w:val="en-US" w:eastAsia="zh-CN" w:bidi="ar"/>
        </w:rPr>
        <w:t>进一步完善</w:t>
      </w:r>
      <w:r>
        <w:rPr>
          <w:rFonts w:hint="default" w:ascii="仿宋_GB2312" w:hAnsi="宋体" w:eastAsia="仿宋_GB2312" w:cs="仿宋_GB2312"/>
          <w:b w:val="0"/>
          <w:bCs w:val="0"/>
          <w:color w:val="auto"/>
          <w:kern w:val="0"/>
          <w:sz w:val="32"/>
          <w:szCs w:val="32"/>
          <w:highlight w:val="none"/>
          <w:lang w:val="en-US" w:eastAsia="zh-CN" w:bidi="ar"/>
        </w:rPr>
        <w:t>，城市数字化、智能化水平进一步提升</w:t>
      </w:r>
      <w:r>
        <w:rPr>
          <w:rFonts w:hint="eastAsia" w:hAnsi="宋体" w:cs="仿宋_GB2312"/>
          <w:b w:val="0"/>
          <w:bCs w:val="0"/>
          <w:color w:val="auto"/>
          <w:kern w:val="0"/>
          <w:sz w:val="32"/>
          <w:szCs w:val="32"/>
          <w:highlight w:val="none"/>
          <w:lang w:val="en-US" w:eastAsia="zh-CN" w:bidi="ar"/>
        </w:rPr>
        <w:t>，</w:t>
      </w:r>
      <w:r>
        <w:rPr>
          <w:rFonts w:hint="default" w:ascii="仿宋_GB2312" w:hAnsi="宋体" w:eastAsia="仿宋_GB2312" w:cs="仿宋_GB2312"/>
          <w:b w:val="0"/>
          <w:bCs w:val="0"/>
          <w:color w:val="auto"/>
          <w:kern w:val="0"/>
          <w:sz w:val="32"/>
          <w:szCs w:val="32"/>
          <w:highlight w:val="none"/>
          <w:lang w:val="en-US" w:eastAsia="zh-CN" w:bidi="ar"/>
        </w:rPr>
        <w:t>应用场景</w:t>
      </w:r>
      <w:r>
        <w:rPr>
          <w:rFonts w:hint="eastAsia" w:hAnsi="宋体" w:cs="仿宋_GB2312"/>
          <w:b w:val="0"/>
          <w:bCs w:val="0"/>
          <w:color w:val="auto"/>
          <w:kern w:val="0"/>
          <w:sz w:val="32"/>
          <w:szCs w:val="32"/>
          <w:highlight w:val="none"/>
          <w:lang w:val="en-US" w:eastAsia="zh" w:bidi="ar"/>
        </w:rPr>
        <w:t>不断</w:t>
      </w:r>
      <w:r>
        <w:rPr>
          <w:rFonts w:hint="eastAsia" w:ascii="仿宋_GB2312" w:hAnsi="宋体" w:eastAsia="仿宋_GB2312" w:cs="仿宋_GB2312"/>
          <w:b w:val="0"/>
          <w:bCs w:val="0"/>
          <w:color w:val="auto"/>
          <w:kern w:val="0"/>
          <w:sz w:val="32"/>
          <w:szCs w:val="32"/>
          <w:highlight w:val="none"/>
          <w:lang w:val="en-US" w:eastAsia="zh" w:bidi="ar"/>
        </w:rPr>
        <w:t>拓展</w:t>
      </w:r>
      <w:r>
        <w:rPr>
          <w:rFonts w:hint="default" w:ascii="仿宋_GB2312" w:hAnsi="宋体" w:eastAsia="仿宋_GB2312" w:cs="仿宋_GB2312"/>
          <w:b w:val="0"/>
          <w:bCs w:val="0"/>
          <w:color w:val="auto"/>
          <w:kern w:val="0"/>
          <w:sz w:val="32"/>
          <w:szCs w:val="32"/>
          <w:highlight w:val="none"/>
          <w:lang w:val="en-US" w:eastAsia="zh-CN" w:bidi="ar"/>
        </w:rPr>
        <w:t>。</w:t>
      </w:r>
    </w:p>
    <w:p>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kern w:val="0"/>
          <w:sz w:val="32"/>
          <w:szCs w:val="32"/>
          <w:highlight w:val="none"/>
          <w:u w:val="none"/>
          <w:lang w:val="en-US" w:eastAsia="zh-CN" w:bidi="ar"/>
        </w:rPr>
      </w:pPr>
      <w:r>
        <w:rPr>
          <w:rFonts w:hint="eastAsia" w:ascii="仿宋_GB2312" w:hAnsi="仿宋_GB2312" w:eastAsia="仿宋_GB2312" w:cs="仿宋_GB2312"/>
          <w:b w:val="0"/>
          <w:bCs w:val="0"/>
          <w:color w:val="auto"/>
          <w:kern w:val="0"/>
          <w:sz w:val="32"/>
          <w:szCs w:val="32"/>
          <w:highlight w:val="none"/>
          <w:u w:val="none"/>
          <w:lang w:val="en-US" w:eastAsia="zh-CN" w:bidi="ar"/>
        </w:rPr>
        <w:t>到2030年，绿色生产生活方式广泛形成，碳达峰目标全面实现</w:t>
      </w:r>
      <w:r>
        <w:rPr>
          <w:rFonts w:hint="eastAsia" w:cs="仿宋_GB2312"/>
          <w:b w:val="0"/>
          <w:bCs w:val="0"/>
          <w:color w:val="auto"/>
          <w:kern w:val="0"/>
          <w:sz w:val="32"/>
          <w:szCs w:val="32"/>
          <w:highlight w:val="none"/>
          <w:u w:val="none"/>
          <w:lang w:val="en-US" w:eastAsia="zh-CN" w:bidi="ar"/>
        </w:rPr>
        <w:t>，</w:t>
      </w:r>
      <w:r>
        <w:rPr>
          <w:rFonts w:hint="eastAsia" w:ascii="仿宋_GB2312" w:hAnsi="仿宋_GB2312" w:eastAsia="仿宋_GB2312" w:cs="仿宋_GB2312"/>
          <w:b w:val="0"/>
          <w:bCs w:val="0"/>
          <w:color w:val="auto"/>
          <w:kern w:val="0"/>
          <w:sz w:val="32"/>
          <w:szCs w:val="32"/>
          <w:highlight w:val="none"/>
          <w:u w:val="none"/>
          <w:lang w:val="en-US" w:eastAsia="zh-CN" w:bidi="ar"/>
        </w:rPr>
        <w:t>生态环境质量全面改善，生态系统多样性、稳定性不断提升，城乡人居环境品质全面升级，城市环境风险得到有效防控，智慧高效、多元共治的城市生态环境治理体系健全完善，美丽</w:t>
      </w:r>
      <w:r>
        <w:rPr>
          <w:rFonts w:hint="eastAsia" w:cs="仿宋_GB2312"/>
          <w:b w:val="0"/>
          <w:bCs w:val="0"/>
          <w:color w:val="auto"/>
          <w:kern w:val="0"/>
          <w:sz w:val="32"/>
          <w:szCs w:val="32"/>
          <w:highlight w:val="none"/>
          <w:u w:val="none"/>
          <w:lang w:val="en-US" w:eastAsia="zh-CN" w:bidi="ar"/>
        </w:rPr>
        <w:t>城市</w:t>
      </w:r>
      <w:r>
        <w:rPr>
          <w:rFonts w:hint="eastAsia" w:ascii="仿宋_GB2312" w:hAnsi="仿宋_GB2312" w:eastAsia="仿宋_GB2312" w:cs="仿宋_GB2312"/>
          <w:b w:val="0"/>
          <w:bCs w:val="0"/>
          <w:color w:val="auto"/>
          <w:kern w:val="0"/>
          <w:sz w:val="32"/>
          <w:szCs w:val="32"/>
          <w:highlight w:val="none"/>
          <w:u w:val="none"/>
          <w:lang w:val="en-US" w:eastAsia="zh-CN" w:bidi="ar"/>
        </w:rPr>
        <w:t>基本建成。</w:t>
      </w:r>
    </w:p>
    <w:p>
      <w:pPr>
        <w:pStyle w:val="2"/>
        <w:pageBreakBefore w:val="0"/>
        <w:kinsoku/>
        <w:wordWrap/>
        <w:overflowPunct/>
        <w:topLinePunct w:val="0"/>
        <w:autoSpaceDN/>
        <w:bidi w:val="0"/>
        <w:adjustRightInd/>
        <w:spacing w:after="0"/>
        <w:rPr>
          <w:rFonts w:hint="eastAsia"/>
          <w:color w:val="auto"/>
          <w:highlight w:val="none"/>
          <w:lang w:val="en-US" w:eastAsia="zh-CN"/>
        </w:rPr>
      </w:pPr>
      <w:bookmarkStart w:id="17" w:name="_Toc28814"/>
      <w:bookmarkStart w:id="18" w:name="_Toc23062"/>
      <w:bookmarkStart w:id="19" w:name="_Toc11248"/>
      <w:bookmarkStart w:id="20" w:name="_Toc18105"/>
      <w:bookmarkStart w:id="21" w:name="_Toc20298"/>
      <w:bookmarkStart w:id="22" w:name="_Toc23679"/>
      <w:r>
        <w:rPr>
          <w:rFonts w:hint="eastAsia"/>
          <w:color w:val="auto"/>
          <w:highlight w:val="none"/>
          <w:lang w:val="en-US" w:eastAsia="zh-CN"/>
        </w:rPr>
        <w:t>二、重点任务</w:t>
      </w:r>
      <w:bookmarkEnd w:id="17"/>
      <w:bookmarkEnd w:id="18"/>
      <w:bookmarkEnd w:id="19"/>
    </w:p>
    <w:bookmarkEnd w:id="20"/>
    <w:bookmarkEnd w:id="21"/>
    <w:bookmarkEnd w:id="22"/>
    <w:p>
      <w:pPr>
        <w:pStyle w:val="3"/>
        <w:pageBreakBefore w:val="0"/>
        <w:kinsoku/>
        <w:wordWrap/>
        <w:overflowPunct/>
        <w:topLinePunct w:val="0"/>
        <w:autoSpaceDN/>
        <w:bidi w:val="0"/>
        <w:adjustRightInd/>
        <w:rPr>
          <w:rFonts w:hint="default"/>
          <w:color w:val="auto"/>
          <w:highlight w:val="none"/>
          <w:lang w:val="en-US" w:eastAsia="zh-CN"/>
        </w:rPr>
      </w:pPr>
      <w:bookmarkStart w:id="23" w:name="_Toc30287"/>
      <w:bookmarkStart w:id="24" w:name="_Toc14381"/>
      <w:bookmarkStart w:id="25" w:name="_Toc25811"/>
      <w:bookmarkStart w:id="26" w:name="_Toc24038"/>
      <w:bookmarkStart w:id="27" w:name="_Toc13398"/>
      <w:bookmarkStart w:id="28" w:name="_Toc27194"/>
      <w:bookmarkStart w:id="29" w:name="_Toc1886"/>
      <w:r>
        <w:rPr>
          <w:rFonts w:hint="eastAsia"/>
          <w:color w:val="auto"/>
          <w:highlight w:val="none"/>
          <w:lang w:val="en-US" w:eastAsia="zh-CN"/>
        </w:rPr>
        <w:t>（一）污染防治攻坚，打造环渤海环境优美典范之城</w:t>
      </w:r>
      <w:bookmarkEnd w:id="23"/>
      <w:bookmarkEnd w:id="24"/>
      <w:bookmarkEnd w:id="25"/>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1.深化美丽河湖保护与建设</w:t>
      </w:r>
    </w:p>
    <w:p>
      <w:pPr>
        <w:keepNext w:val="0"/>
        <w:keepLines w:val="0"/>
        <w:pageBreakBefore w:val="0"/>
        <w:widowControl/>
        <w:suppressLineNumbers w:val="0"/>
        <w:shd w:val="clear"/>
        <w:kinsoku/>
        <w:wordWrap/>
        <w:overflowPunct/>
        <w:topLinePunct w:val="0"/>
        <w:autoSpaceDN/>
        <w:bidi w:val="0"/>
        <w:adjustRightInd/>
        <w:jc w:val="both"/>
        <w:rPr>
          <w:rFonts w:hint="eastAsia"/>
          <w:color w:val="auto"/>
          <w:highlight w:val="none"/>
          <w:lang w:val="en-US" w:eastAsia="zh-CN"/>
        </w:rPr>
      </w:pPr>
      <w:r>
        <w:rPr>
          <w:rFonts w:hint="eastAsia" w:ascii="仿宋_GB2312" w:eastAsia="仿宋_GB2312"/>
          <w:b w:val="0"/>
          <w:bCs w:val="0"/>
          <w:color w:val="auto"/>
          <w:highlight w:val="none"/>
          <w:u w:val="none"/>
          <w:lang w:val="en-US" w:eastAsia="zh-CN"/>
        </w:rPr>
        <w:t>深化水污染治理</w:t>
      </w:r>
      <w:r>
        <w:rPr>
          <w:rFonts w:hint="eastAsia" w:ascii="仿宋_GB2312" w:eastAsia="仿宋_GB2312"/>
          <w:b w:val="0"/>
          <w:bCs w:val="0"/>
          <w:color w:val="auto"/>
          <w:highlight w:val="none"/>
          <w:lang w:val="en-US" w:eastAsia="zh-CN"/>
        </w:rPr>
        <w:t>，推进入河排污口排查整治，完善排污口长效监管体系</w:t>
      </w:r>
      <w:r>
        <w:rPr>
          <w:rFonts w:hint="eastAsia"/>
          <w:b w:val="0"/>
          <w:bCs w:val="0"/>
          <w:color w:val="auto"/>
          <w:highlight w:val="none"/>
          <w:lang w:val="en-US" w:eastAsia="zh-CN"/>
        </w:rPr>
        <w:t>。深化入海河流总氮治理与管控</w:t>
      </w:r>
      <w:r>
        <w:rPr>
          <w:rFonts w:hint="eastAsia" w:ascii="仿宋_GB2312" w:eastAsia="仿宋_GB2312"/>
          <w:b w:val="0"/>
          <w:bCs w:val="0"/>
          <w:color w:val="auto"/>
          <w:highlight w:val="none"/>
          <w:lang w:val="en-US" w:eastAsia="zh-CN"/>
        </w:rPr>
        <w:t>。加快完善城镇生活污水收集和处理设施短板，建设城市污水管网全覆盖样板区</w:t>
      </w:r>
      <w:r>
        <w:rPr>
          <w:rFonts w:hint="eastAsia"/>
          <w:b w:val="0"/>
          <w:bCs w:val="0"/>
          <w:color w:val="auto"/>
          <w:highlight w:val="none"/>
          <w:lang w:val="en-US" w:eastAsia="zh-CN"/>
        </w:rPr>
        <w:t>。</w:t>
      </w:r>
      <w:r>
        <w:rPr>
          <w:rFonts w:hint="eastAsia" w:ascii="仿宋_GB2312" w:eastAsia="仿宋_GB2312"/>
          <w:b w:val="0"/>
          <w:bCs w:val="0"/>
          <w:color w:val="auto"/>
          <w:highlight w:val="none"/>
          <w:lang w:val="en-US" w:eastAsia="zh-CN"/>
        </w:rPr>
        <w:t>实施第二、第四等污水处理厂扩建及提标改造工程</w:t>
      </w:r>
      <w:r>
        <w:rPr>
          <w:rFonts w:hint="eastAsia"/>
          <w:b w:val="0"/>
          <w:bCs w:val="0"/>
          <w:color w:val="auto"/>
          <w:highlight w:val="none"/>
          <w:lang w:val="en-US" w:eastAsia="zh-CN"/>
        </w:rPr>
        <w:t>。巩固</w:t>
      </w:r>
      <w:r>
        <w:rPr>
          <w:rFonts w:hint="eastAsia"/>
          <w:b w:val="0"/>
          <w:bCs w:val="0"/>
          <w:strike w:val="0"/>
          <w:color w:val="auto"/>
          <w:highlight w:val="none"/>
        </w:rPr>
        <w:t>市政合流制排水管网雨污分流改造</w:t>
      </w:r>
      <w:r>
        <w:rPr>
          <w:rFonts w:hint="eastAsia"/>
          <w:b w:val="0"/>
          <w:bCs w:val="0"/>
          <w:strike w:val="0"/>
          <w:color w:val="auto"/>
          <w:highlight w:val="none"/>
          <w:lang w:val="en-US" w:eastAsia="zh-CN"/>
        </w:rPr>
        <w:t>成效</w:t>
      </w:r>
      <w:r>
        <w:rPr>
          <w:rFonts w:hint="eastAsia" w:ascii="仿宋_GB2312" w:eastAsia="仿宋_GB2312"/>
          <w:b w:val="0"/>
          <w:bCs w:val="0"/>
          <w:color w:val="auto"/>
          <w:highlight w:val="none"/>
          <w:lang w:val="en-US" w:eastAsia="zh-CN"/>
        </w:rPr>
        <w:t>，实施城区雨污混错接点位治理</w:t>
      </w:r>
      <w:r>
        <w:rPr>
          <w:rFonts w:hint="eastAsia"/>
          <w:color w:val="auto"/>
          <w:highlight w:val="none"/>
          <w:lang w:eastAsia="zh-CN"/>
        </w:rPr>
        <w:t>、</w:t>
      </w:r>
      <w:r>
        <w:rPr>
          <w:rFonts w:hint="eastAsia" w:ascii="仿宋_GB2312" w:eastAsia="仿宋_GB2312"/>
          <w:b w:val="0"/>
          <w:bCs w:val="0"/>
          <w:color w:val="auto"/>
          <w:highlight w:val="none"/>
          <w:lang w:val="en-US" w:eastAsia="zh-CN"/>
        </w:rPr>
        <w:t>海港区中部片区老旧管网综合改造</w:t>
      </w:r>
      <w:r>
        <w:rPr>
          <w:rFonts w:hint="eastAsia"/>
          <w:b w:val="0"/>
          <w:bCs w:val="0"/>
          <w:color w:val="auto"/>
          <w:highlight w:val="none"/>
          <w:lang w:val="en-US" w:eastAsia="zh-CN"/>
        </w:rPr>
        <w:t>，及</w:t>
      </w:r>
      <w:r>
        <w:rPr>
          <w:rFonts w:hint="eastAsia" w:ascii="仿宋_GB2312" w:eastAsia="仿宋_GB2312"/>
          <w:b w:val="0"/>
          <w:bCs w:val="0"/>
          <w:color w:val="auto"/>
          <w:highlight w:val="none"/>
          <w:lang w:val="en-US" w:eastAsia="zh-CN"/>
        </w:rPr>
        <w:t>北戴河区鸽子窝片区、单庄片区</w:t>
      </w:r>
      <w:r>
        <w:rPr>
          <w:rFonts w:hint="eastAsia"/>
          <w:b w:val="0"/>
          <w:bCs w:val="0"/>
          <w:color w:val="auto"/>
          <w:highlight w:val="none"/>
          <w:lang w:val="en-US" w:eastAsia="zh-CN"/>
        </w:rPr>
        <w:t>和</w:t>
      </w:r>
      <w:r>
        <w:rPr>
          <w:rFonts w:hint="eastAsia" w:ascii="仿宋_GB2312" w:eastAsia="仿宋_GB2312"/>
          <w:b w:val="0"/>
          <w:bCs w:val="0"/>
          <w:color w:val="auto"/>
          <w:highlight w:val="none"/>
          <w:lang w:val="en-US" w:eastAsia="zh-CN"/>
        </w:rPr>
        <w:t>山海关区雨污管网改造等重点工程。开展城市水体“消黑除劣”专项行动,巩固治理成效。</w:t>
      </w:r>
      <w:r>
        <w:rPr>
          <w:rFonts w:hint="eastAsia"/>
          <w:color w:val="auto"/>
          <w:highlight w:val="none"/>
        </w:rPr>
        <w:t>推动经济作物化肥农药科学施用增效</w:t>
      </w:r>
      <w:r>
        <w:rPr>
          <w:rFonts w:hint="eastAsia"/>
          <w:color w:val="auto"/>
          <w:highlight w:val="none"/>
          <w:lang w:eastAsia="zh-CN"/>
        </w:rPr>
        <w:t>，</w:t>
      </w:r>
      <w:r>
        <w:rPr>
          <w:rFonts w:hint="eastAsia"/>
          <w:color w:val="auto"/>
          <w:highlight w:val="none"/>
        </w:rPr>
        <w:t>规范畜禽养殖场粪污资源化利用，推进规模以下畜禽养殖场（户）设施配建</w:t>
      </w:r>
      <w:r>
        <w:rPr>
          <w:rFonts w:hint="eastAsia" w:ascii="仿宋_GB2312" w:eastAsia="仿宋_GB2312"/>
          <w:b w:val="0"/>
          <w:bCs w:val="0"/>
          <w:color w:val="auto"/>
          <w:highlight w:val="none"/>
          <w:lang w:val="en-US" w:eastAsia="zh-CN"/>
        </w:rPr>
        <w:t>。推进抚宁区农业面源污染治理与监督指导试点工作，</w:t>
      </w:r>
      <w:r>
        <w:rPr>
          <w:rFonts w:hint="eastAsia" w:ascii="仿宋_GB2312" w:hAnsi="Times New Roman" w:eastAsia="仿宋_GB2312" w:cs="仿宋_GB2312"/>
          <w:b w:val="0"/>
          <w:bCs w:val="0"/>
          <w:color w:val="auto"/>
          <w:kern w:val="2"/>
          <w:sz w:val="32"/>
          <w:szCs w:val="32"/>
          <w:highlight w:val="none"/>
          <w:lang w:val="en-US" w:eastAsia="zh-CN" w:bidi="ar"/>
        </w:rPr>
        <w:t>因地制宜推进农村生活污水处理</w:t>
      </w:r>
      <w:r>
        <w:rPr>
          <w:rFonts w:hint="eastAsia" w:ascii="仿宋_GB2312" w:hAnsi="宋体" w:eastAsia="仿宋_GB2312" w:cs="仿宋_GB2312"/>
          <w:b w:val="0"/>
          <w:bCs w:val="0"/>
          <w:color w:val="auto"/>
          <w:kern w:val="2"/>
          <w:sz w:val="32"/>
          <w:szCs w:val="32"/>
          <w:highlight w:val="none"/>
          <w:lang w:val="en-US" w:eastAsia="zh-CN" w:bidi="ar"/>
        </w:rPr>
        <w:t>和生活垃圾治理。</w:t>
      </w:r>
      <w:r>
        <w:rPr>
          <w:rFonts w:hint="eastAsia" w:ascii="仿宋_GB2312" w:eastAsia="仿宋_GB2312"/>
          <w:color w:val="auto"/>
          <w:highlight w:val="none"/>
          <w:lang w:val="en-US" w:eastAsia="zh-CN"/>
        </w:rPr>
        <w:t>开展旅游旺季主要入海河流水质保障及汛前（汛期）河湖水质超标隐患排查整治行动。到2027年，</w:t>
      </w:r>
      <w:r>
        <w:rPr>
          <w:rFonts w:hint="default" w:ascii="仿宋_GB2312" w:hAnsi="宋体" w:eastAsia="仿宋_GB2312" w:cs="仿宋_GB2312"/>
          <w:b w:val="0"/>
          <w:bCs w:val="0"/>
          <w:color w:val="auto"/>
          <w:kern w:val="0"/>
          <w:sz w:val="32"/>
          <w:szCs w:val="32"/>
          <w:highlight w:val="none"/>
          <w:lang w:val="en-US" w:eastAsia="zh-CN" w:bidi="ar"/>
        </w:rPr>
        <w:t>地表水</w:t>
      </w:r>
      <w:r>
        <w:rPr>
          <w:rFonts w:hint="eastAsia" w:ascii="仿宋_GB2312" w:hAnsi="仿宋_GB2312" w:eastAsia="仿宋_GB2312" w:cs="仿宋_GB2312"/>
          <w:b w:val="0"/>
          <w:bCs w:val="0"/>
          <w:color w:val="auto"/>
          <w:kern w:val="0"/>
          <w:sz w:val="32"/>
          <w:szCs w:val="32"/>
          <w:highlight w:val="none"/>
          <w:u w:val="none"/>
          <w:lang w:val="en-US" w:eastAsia="zh-CN" w:bidi="ar"/>
        </w:rPr>
        <w:t>国省控断面</w:t>
      </w:r>
      <w:r>
        <w:rPr>
          <w:rFonts w:hint="default" w:ascii="仿宋_GB2312" w:hAnsi="宋体" w:eastAsia="仿宋_GB2312" w:cs="仿宋_GB2312"/>
          <w:b w:val="0"/>
          <w:bCs w:val="0"/>
          <w:color w:val="auto"/>
          <w:kern w:val="0"/>
          <w:sz w:val="32"/>
          <w:szCs w:val="32"/>
          <w:highlight w:val="none"/>
          <w:lang w:val="en-US" w:eastAsia="zh-CN" w:bidi="ar"/>
        </w:rPr>
        <w:t>优良水体比例</w:t>
      </w:r>
      <w:r>
        <w:rPr>
          <w:rFonts w:hint="eastAsia" w:hAnsi="宋体" w:cs="仿宋_GB2312"/>
          <w:b w:val="0"/>
          <w:bCs w:val="0"/>
          <w:color w:val="auto"/>
          <w:kern w:val="0"/>
          <w:sz w:val="32"/>
          <w:szCs w:val="32"/>
          <w:highlight w:val="none"/>
          <w:lang w:val="en-US" w:eastAsia="zh-CN" w:bidi="ar"/>
        </w:rPr>
        <w:t>、</w:t>
      </w:r>
      <w:r>
        <w:rPr>
          <w:rFonts w:hint="default"/>
          <w:color w:val="auto"/>
          <w:highlight w:val="none"/>
          <w:lang w:val="en-US" w:eastAsia="zh-CN"/>
        </w:rPr>
        <w:t>入海河流</w:t>
      </w:r>
      <w:r>
        <w:rPr>
          <w:rFonts w:hint="eastAsia" w:ascii="仿宋_GB2312" w:hAnsi="仿宋_GB2312" w:eastAsia="仿宋_GB2312" w:cs="仿宋_GB2312"/>
          <w:b w:val="0"/>
          <w:bCs w:val="0"/>
          <w:color w:val="auto"/>
          <w:kern w:val="0"/>
          <w:sz w:val="32"/>
          <w:szCs w:val="32"/>
          <w:highlight w:val="none"/>
          <w:u w:val="none"/>
          <w:lang w:val="en-US" w:eastAsia="zh-CN" w:bidi="ar"/>
        </w:rPr>
        <w:t>国省控断面</w:t>
      </w:r>
      <w:r>
        <w:rPr>
          <w:rFonts w:hint="default"/>
          <w:color w:val="auto"/>
          <w:highlight w:val="none"/>
          <w:lang w:val="en-US" w:eastAsia="zh-CN"/>
        </w:rPr>
        <w:t>总氮平均浓度达到省定目标要求</w:t>
      </w:r>
      <w:r>
        <w:rPr>
          <w:rFonts w:hint="eastAsia"/>
          <w:color w:val="auto"/>
          <w:highlight w:val="none"/>
          <w:lang w:val="en-US" w:eastAsia="zh-CN"/>
        </w:rPr>
        <w:t>，</w:t>
      </w:r>
      <w:r>
        <w:rPr>
          <w:rFonts w:hint="eastAsia" w:ascii="仿宋_GB2312" w:eastAsia="仿宋_GB2312"/>
          <w:color w:val="auto"/>
          <w:highlight w:val="none"/>
          <w:lang w:val="en-US" w:eastAsia="zh-CN"/>
        </w:rPr>
        <w:t>城市生活污水集中收集率</w:t>
      </w:r>
      <w:r>
        <w:rPr>
          <w:rFonts w:hint="eastAsia"/>
          <w:color w:val="auto"/>
          <w:highlight w:val="none"/>
          <w:lang w:val="en-US" w:eastAsia="zh-CN"/>
        </w:rPr>
        <w:t>不低于</w:t>
      </w:r>
      <w:r>
        <w:rPr>
          <w:rFonts w:hint="eastAsia" w:ascii="仿宋_GB2312" w:eastAsia="仿宋_GB2312"/>
          <w:color w:val="auto"/>
          <w:highlight w:val="none"/>
          <w:lang w:val="en-US" w:eastAsia="zh-CN"/>
        </w:rPr>
        <w:t>95%</w:t>
      </w:r>
      <w:r>
        <w:rPr>
          <w:rFonts w:hint="eastAsia"/>
          <w:color w:val="auto"/>
          <w:highlight w:val="none"/>
          <w:lang w:val="en-US" w:eastAsia="zh-CN"/>
        </w:rPr>
        <w:t>，</w:t>
      </w:r>
      <w:r>
        <w:rPr>
          <w:rFonts w:hint="eastAsia" w:ascii="仿宋_GB2312" w:eastAsia="仿宋_GB2312"/>
          <w:color w:val="auto"/>
          <w:highlight w:val="none"/>
          <w:lang w:val="en-US" w:eastAsia="zh-CN"/>
        </w:rPr>
        <w:t>城市建成区黑臭水体</w:t>
      </w:r>
      <w:r>
        <w:rPr>
          <w:rFonts w:hint="eastAsia"/>
          <w:color w:val="auto"/>
          <w:highlight w:val="none"/>
          <w:lang w:val="en-US" w:eastAsia="zh-CN"/>
        </w:rPr>
        <w:t>动态</w:t>
      </w:r>
      <w:r>
        <w:rPr>
          <w:rFonts w:hint="eastAsia" w:ascii="仿宋_GB2312" w:eastAsia="仿宋_GB2312"/>
          <w:color w:val="auto"/>
          <w:highlight w:val="none"/>
          <w:lang w:val="en-US" w:eastAsia="zh-CN"/>
        </w:rPr>
        <w:t>消除。</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highlight w:val="none"/>
          <w:lang w:val="en-US" w:eastAsia="zh-CN"/>
        </w:rPr>
      </w:pPr>
      <w:r>
        <w:rPr>
          <w:rFonts w:hint="eastAsia" w:ascii="仿宋_GB2312" w:eastAsia="仿宋_GB2312"/>
          <w:color w:val="auto"/>
          <w:highlight w:val="none"/>
          <w:lang w:val="en-US" w:eastAsia="zh-CN"/>
        </w:rPr>
        <w:t>推进河湖生态修复，强化河湖生态空间管控，提升河湖水域岸线管控能力，加强重点河流生态廊道建设，推进河网水岸绿化，逐步实施新河、戴河、洋河、人造河等流域水生态缓冲带、人工湿地等保护修复项目。</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highlight w:val="none"/>
          <w:lang w:val="en-US" w:eastAsia="zh-CN"/>
        </w:rPr>
      </w:pPr>
      <w:r>
        <w:rPr>
          <w:rFonts w:hint="eastAsia" w:ascii="仿宋_GB2312" w:eastAsia="仿宋_GB2312"/>
          <w:color w:val="auto"/>
          <w:highlight w:val="none"/>
          <w:u w:val="none"/>
          <w:lang w:val="en-US" w:eastAsia="zh-CN"/>
        </w:rPr>
        <w:t>加强重点河流生态流量保障，通过水库补水、污水厂中水回用、水系连通等方式，对石河、排洪河、新开河、汤河、新河、戴河、洋河、人造河、东沙河等河道补充生态用水，</w:t>
      </w:r>
      <w:r>
        <w:rPr>
          <w:rFonts w:hint="eastAsia" w:hAnsi="Times New Roman" w:cs="仿宋_GB2312"/>
          <w:color w:val="auto"/>
          <w:kern w:val="2"/>
          <w:sz w:val="32"/>
          <w:szCs w:val="32"/>
          <w:highlight w:val="none"/>
          <w:u w:val="none"/>
          <w:lang w:val="en-US" w:eastAsia="zh-CN" w:bidi="ar"/>
        </w:rPr>
        <w:t>提升水体自净能力</w:t>
      </w:r>
      <w:r>
        <w:rPr>
          <w:rFonts w:hint="eastAsia" w:ascii="仿宋_GB2312" w:eastAsia="仿宋_GB2312"/>
          <w:color w:val="auto"/>
          <w:highlight w:val="none"/>
          <w:u w:val="none"/>
          <w:lang w:val="en-US" w:eastAsia="zh-CN"/>
        </w:rPr>
        <w:t>。</w:t>
      </w:r>
      <w:r>
        <w:rPr>
          <w:rFonts w:hint="eastAsia" w:ascii="仿宋_GB2312" w:eastAsia="仿宋_GB2312"/>
          <w:color w:val="auto"/>
          <w:highlight w:val="none"/>
          <w:lang w:val="en-US" w:eastAsia="zh-CN"/>
        </w:rPr>
        <w:t>推动亲水便民设施建设，建设一批满足群众亲水需求的河湖滨水空间。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规范饮用水</w:t>
      </w:r>
      <w:r>
        <w:rPr>
          <w:rFonts w:hint="eastAsia"/>
          <w:color w:val="auto"/>
          <w:highlight w:val="none"/>
          <w:lang w:val="en-US" w:eastAsia="zh-CN"/>
        </w:rPr>
        <w:t>水源保护区管理，推进规范化建设，实施生态修复，建立和完善环境管理档案，</w:t>
      </w:r>
      <w:r>
        <w:rPr>
          <w:rFonts w:hint="eastAsia" w:ascii="仿宋_GB2312" w:eastAsia="仿宋_GB2312"/>
          <w:color w:val="auto"/>
          <w:highlight w:val="none"/>
          <w:lang w:val="en-US" w:eastAsia="zh-CN"/>
        </w:rPr>
        <w:t>到2027年，</w:t>
      </w:r>
      <w:r>
        <w:rPr>
          <w:rFonts w:hint="eastAsia" w:hAnsi="宋体" w:cs="仿宋_GB2312"/>
          <w:b w:val="0"/>
          <w:bCs w:val="0"/>
          <w:color w:val="auto"/>
          <w:kern w:val="0"/>
          <w:sz w:val="32"/>
          <w:szCs w:val="32"/>
          <w:highlight w:val="none"/>
          <w:lang w:val="en-US" w:eastAsia="zh-CN" w:bidi="ar"/>
        </w:rPr>
        <w:t>城市集中式饮用水水源地水质达标率保持100%。</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强化示范引</w:t>
      </w:r>
      <w:r>
        <w:rPr>
          <w:rFonts w:hint="eastAsia" w:ascii="仿宋_GB2312" w:eastAsia="仿宋_GB2312"/>
          <w:b w:val="0"/>
          <w:bCs w:val="0"/>
          <w:color w:val="auto"/>
          <w:highlight w:val="none"/>
          <w:lang w:val="en-US" w:eastAsia="zh-CN"/>
        </w:rPr>
        <w:t>领效应，</w:t>
      </w:r>
      <w:r>
        <w:rPr>
          <w:rFonts w:hint="eastAsia"/>
          <w:b w:val="0"/>
          <w:bCs w:val="0"/>
          <w:color w:val="auto"/>
          <w:highlight w:val="none"/>
          <w:lang w:val="en-US" w:eastAsia="zh-CN"/>
        </w:rPr>
        <w:t>推广</w:t>
      </w:r>
      <w:r>
        <w:rPr>
          <w:rFonts w:hint="eastAsia" w:ascii="仿宋_GB2312" w:eastAsia="仿宋_GB2312"/>
          <w:b w:val="0"/>
          <w:bCs w:val="0"/>
          <w:color w:val="auto"/>
          <w:highlight w:val="none"/>
          <w:lang w:val="en-US" w:eastAsia="zh-CN"/>
        </w:rPr>
        <w:t>青龙河、新开河、饮马</w:t>
      </w:r>
      <w:r>
        <w:rPr>
          <w:rFonts w:hint="eastAsia"/>
          <w:b w:val="0"/>
          <w:bCs w:val="0"/>
          <w:color w:val="auto"/>
          <w:highlight w:val="none"/>
          <w:lang w:val="en-US" w:eastAsia="zh-CN"/>
        </w:rPr>
        <w:t>河、</w:t>
      </w:r>
      <w:r>
        <w:rPr>
          <w:rFonts w:hint="eastAsia" w:ascii="仿宋_GB2312" w:eastAsia="仿宋_GB2312"/>
          <w:b w:val="0"/>
          <w:bCs w:val="0"/>
          <w:color w:val="auto"/>
          <w:highlight w:val="none"/>
          <w:lang w:val="en-US" w:eastAsia="zh-CN"/>
        </w:rPr>
        <w:t>石河、戴河美丽河湖</w:t>
      </w:r>
      <w:r>
        <w:rPr>
          <w:rFonts w:hint="eastAsia"/>
          <w:b w:val="0"/>
          <w:bCs w:val="0"/>
          <w:color w:val="auto"/>
          <w:highlight w:val="none"/>
          <w:lang w:val="en-US" w:eastAsia="zh-CN"/>
        </w:rPr>
        <w:t>建设经验，巩固拓展治理成果，推动洋河等</w:t>
      </w:r>
      <w:r>
        <w:rPr>
          <w:rFonts w:hint="eastAsia" w:ascii="仿宋_GB2312" w:eastAsia="仿宋_GB2312"/>
          <w:b w:val="0"/>
          <w:bCs w:val="0"/>
          <w:color w:val="auto"/>
          <w:highlight w:val="none"/>
          <w:lang w:val="en-US" w:eastAsia="zh-CN"/>
        </w:rPr>
        <w:t>美丽河湖建设</w:t>
      </w:r>
      <w:r>
        <w:rPr>
          <w:rFonts w:hint="eastAsia" w:ascii="仿宋_GB2312" w:eastAsia="仿宋_GB2312"/>
          <w:color w:val="auto"/>
          <w:highlight w:val="none"/>
          <w:lang w:val="en-US" w:eastAsia="zh-CN"/>
        </w:rPr>
        <w:t>。到2027年，</w:t>
      </w:r>
      <w:r>
        <w:rPr>
          <w:rFonts w:hint="default" w:ascii="仿宋_GB2312" w:hAnsi="宋体" w:eastAsia="仿宋_GB2312" w:cs="仿宋_GB2312"/>
          <w:b w:val="0"/>
          <w:bCs w:val="0"/>
          <w:color w:val="auto"/>
          <w:kern w:val="0"/>
          <w:sz w:val="32"/>
          <w:szCs w:val="32"/>
          <w:highlight w:val="none"/>
          <w:lang w:val="en-US" w:eastAsia="zh-CN" w:bidi="ar"/>
        </w:rPr>
        <w:t>美丽河湖建</w:t>
      </w:r>
      <w:r>
        <w:rPr>
          <w:rFonts w:hint="eastAsia" w:hAnsi="宋体" w:cs="仿宋_GB2312"/>
          <w:b w:val="0"/>
          <w:bCs w:val="0"/>
          <w:color w:val="auto"/>
          <w:kern w:val="0"/>
          <w:sz w:val="32"/>
          <w:szCs w:val="32"/>
          <w:highlight w:val="none"/>
          <w:lang w:val="en-US" w:eastAsia="zh-CN" w:bidi="ar"/>
        </w:rPr>
        <w:t>成率达70%以上</w:t>
      </w:r>
      <w:r>
        <w:rPr>
          <w:rFonts w:hint="eastAsia" w:ascii="仿宋_GB2312" w:eastAsia="仿宋_GB2312"/>
          <w:color w:val="auto"/>
          <w:highlight w:val="none"/>
          <w:lang w:val="en-US" w:eastAsia="zh-CN"/>
        </w:rPr>
        <w:t>。</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2.打造全域美丽海湾建设标杆</w:t>
      </w:r>
    </w:p>
    <w:p>
      <w:pPr>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ascii="仿宋_GB2312" w:hAnsi="仿宋_GB2312" w:eastAsia="仿宋_GB2312" w:cs="仿宋_GB2312"/>
          <w:b w:val="0"/>
          <w:bCs w:val="0"/>
          <w:color w:val="auto"/>
          <w:kern w:val="2"/>
          <w:sz w:val="32"/>
          <w:szCs w:val="32"/>
          <w:highlight w:val="none"/>
          <w:lang w:val="en-US" w:eastAsia="zh-CN" w:bidi="ar"/>
        </w:rPr>
        <w:t>持续开展河口及海洋污染治理</w:t>
      </w:r>
      <w:r>
        <w:rPr>
          <w:rFonts w:hint="default"/>
          <w:color w:val="auto"/>
          <w:szCs w:val="32"/>
          <w:highlight w:val="none"/>
          <w:lang w:bidi="ar"/>
        </w:rPr>
        <w:t>。</w:t>
      </w:r>
      <w:r>
        <w:rPr>
          <w:rFonts w:hint="default" w:ascii="仿宋_GB2312" w:hAnsi="仿宋_GB2312" w:eastAsia="仿宋_GB2312" w:cs="仿宋_GB2312"/>
          <w:b w:val="0"/>
          <w:bCs w:val="0"/>
          <w:color w:val="auto"/>
          <w:kern w:val="2"/>
          <w:sz w:val="32"/>
          <w:szCs w:val="32"/>
          <w:highlight w:val="none"/>
          <w:lang w:val="en-US" w:eastAsia="zh-CN" w:bidi="ar"/>
        </w:rPr>
        <w:t>以石河、潮河、排洪河、新开河、汤河、人造河、沙河、戴河、新河为重点开展入海河口</w:t>
      </w:r>
      <w:r>
        <w:rPr>
          <w:rFonts w:hint="default" w:cs="仿宋_GB2312"/>
          <w:b w:val="0"/>
          <w:bCs w:val="0"/>
          <w:color w:val="auto"/>
          <w:kern w:val="2"/>
          <w:sz w:val="32"/>
          <w:szCs w:val="32"/>
          <w:highlight w:val="none"/>
          <w:lang w:val="en-US" w:eastAsia="zh-CN" w:bidi="ar"/>
        </w:rPr>
        <w:t>精细化管控</w:t>
      </w:r>
      <w:r>
        <w:rPr>
          <w:rFonts w:hint="default" w:ascii="仿宋_GB2312" w:hAnsi="仿宋_GB2312" w:eastAsia="仿宋_GB2312" w:cs="仿宋_GB2312"/>
          <w:b w:val="0"/>
          <w:bCs w:val="0"/>
          <w:color w:val="auto"/>
          <w:kern w:val="2"/>
          <w:sz w:val="32"/>
          <w:szCs w:val="32"/>
          <w:highlight w:val="none"/>
          <w:lang w:val="en-US" w:eastAsia="zh-CN" w:bidi="ar"/>
        </w:rPr>
        <w:t>。健全入海排污口分类监管机制，强化入海排污口监管及综合治理。推进重点渔港</w:t>
      </w:r>
      <w:r>
        <w:rPr>
          <w:rFonts w:hint="eastAsia" w:cs="仿宋_GB2312"/>
          <w:b w:val="0"/>
          <w:bCs w:val="0"/>
          <w:color w:val="auto"/>
          <w:kern w:val="2"/>
          <w:sz w:val="32"/>
          <w:szCs w:val="32"/>
          <w:highlight w:val="none"/>
          <w:lang w:val="en-US" w:eastAsia="zh-CN" w:bidi="ar"/>
        </w:rPr>
        <w:t>整治维护，强化</w:t>
      </w:r>
      <w:r>
        <w:rPr>
          <w:rFonts w:hint="default" w:ascii="仿宋_GB2312" w:hAnsi="仿宋_GB2312" w:eastAsia="仿宋_GB2312" w:cs="仿宋_GB2312"/>
          <w:b w:val="0"/>
          <w:bCs w:val="0"/>
          <w:color w:val="auto"/>
          <w:kern w:val="2"/>
          <w:sz w:val="32"/>
          <w:szCs w:val="32"/>
          <w:highlight w:val="none"/>
          <w:lang w:val="en-US" w:eastAsia="zh-CN" w:bidi="ar"/>
        </w:rPr>
        <w:t>秦皇岛港</w:t>
      </w:r>
      <w:r>
        <w:rPr>
          <w:rFonts w:hint="eastAsia" w:cs="仿宋_GB2312"/>
          <w:b w:val="0"/>
          <w:bCs w:val="0"/>
          <w:color w:val="auto"/>
          <w:kern w:val="2"/>
          <w:sz w:val="32"/>
          <w:szCs w:val="32"/>
          <w:highlight w:val="none"/>
          <w:lang w:val="en-US" w:eastAsia="zh-CN" w:bidi="ar"/>
        </w:rPr>
        <w:t>污染防治</w:t>
      </w:r>
      <w:r>
        <w:rPr>
          <w:rFonts w:hint="default" w:ascii="仿宋_GB2312" w:hAnsi="仿宋_GB2312" w:eastAsia="仿宋_GB2312" w:cs="仿宋_GB2312"/>
          <w:b w:val="0"/>
          <w:bCs w:val="0"/>
          <w:color w:val="auto"/>
          <w:kern w:val="2"/>
          <w:sz w:val="32"/>
          <w:szCs w:val="32"/>
          <w:highlight w:val="none"/>
          <w:lang w:val="en-US" w:eastAsia="zh-CN" w:bidi="ar"/>
        </w:rPr>
        <w:t>，落实船舶水污染物联合监管机制。</w:t>
      </w:r>
      <w:r>
        <w:rPr>
          <w:rFonts w:hint="eastAsia" w:ascii="仿宋_GB2312" w:eastAsia="仿宋_GB2312"/>
          <w:b w:val="0"/>
          <w:bCs w:val="0"/>
          <w:color w:val="auto"/>
          <w:highlight w:val="none"/>
          <w:lang w:val="en-US" w:eastAsia="zh-CN"/>
        </w:rPr>
        <w:t>规范海水养殖尾水排放监管。加强海域海滩垃圾和海洋漂浮垃圾监测，健全“海上环卫”、岸滩常态化保洁工作机制</w:t>
      </w:r>
      <w:r>
        <w:rPr>
          <w:rFonts w:hint="eastAsia"/>
          <w:color w:val="auto"/>
          <w:highlight w:val="none"/>
          <w:lang w:eastAsia="zh-CN"/>
        </w:rPr>
        <w:t>。</w:t>
      </w:r>
    </w:p>
    <w:p>
      <w:pPr>
        <w:pageBreakBefore w:val="0"/>
        <w:kinsoku/>
        <w:wordWrap/>
        <w:overflowPunct/>
        <w:topLinePunct w:val="0"/>
        <w:autoSpaceDN/>
        <w:bidi w:val="0"/>
        <w:adjustRightInd/>
        <w:rPr>
          <w:rFonts w:hint="eastAsia" w:eastAsia="仿宋_GB2312"/>
          <w:color w:val="auto"/>
          <w:highlight w:val="none"/>
          <w:lang w:val="en-US" w:eastAsia="zh-CN"/>
        </w:rPr>
      </w:pPr>
      <w:r>
        <w:rPr>
          <w:rFonts w:hint="default"/>
          <w:color w:val="auto"/>
          <w:highlight w:val="none"/>
          <w:lang w:val="en-US" w:eastAsia="zh-CN"/>
        </w:rPr>
        <w:t>加强海域生态系统保护与</w:t>
      </w:r>
      <w:r>
        <w:rPr>
          <w:rFonts w:hint="eastAsia" w:ascii="仿宋_GB2312" w:eastAsia="仿宋_GB2312"/>
          <w:color w:val="auto"/>
          <w:highlight w:val="none"/>
          <w:lang w:val="en-US" w:eastAsia="zh-CN"/>
        </w:rPr>
        <w:t>重点岸线</w:t>
      </w:r>
      <w:r>
        <w:rPr>
          <w:rFonts w:hint="default"/>
          <w:color w:val="auto"/>
          <w:highlight w:val="none"/>
          <w:lang w:val="en-US" w:eastAsia="zh-CN"/>
        </w:rPr>
        <w:t>修复</w:t>
      </w:r>
      <w:r>
        <w:rPr>
          <w:rFonts w:hint="eastAsia" w:ascii="仿宋_GB2312" w:eastAsia="仿宋_GB2312"/>
          <w:color w:val="auto"/>
          <w:highlight w:val="none"/>
          <w:lang w:val="en-US" w:eastAsia="zh-CN"/>
        </w:rPr>
        <w:t>维护，</w:t>
      </w:r>
      <w:r>
        <w:rPr>
          <w:rFonts w:hint="default"/>
          <w:color w:val="auto"/>
          <w:highlight w:val="none"/>
          <w:lang w:val="en-US" w:eastAsia="zh-CN"/>
        </w:rPr>
        <w:t>提升海洋生态系统稳定性</w:t>
      </w:r>
      <w:r>
        <w:rPr>
          <w:rFonts w:hint="eastAsia"/>
          <w:color w:val="auto"/>
          <w:highlight w:val="none"/>
          <w:lang w:val="en-US" w:eastAsia="zh-CN"/>
        </w:rPr>
        <w:t>。</w:t>
      </w:r>
      <w:r>
        <w:rPr>
          <w:rFonts w:hint="eastAsia"/>
          <w:color w:val="auto"/>
          <w:highlight w:val="none"/>
        </w:rPr>
        <w:t>建立赤潮</w:t>
      </w:r>
      <w:r>
        <w:rPr>
          <w:rFonts w:hint="eastAsia"/>
          <w:color w:val="auto"/>
          <w:highlight w:val="none"/>
          <w:lang w:eastAsia="zh-CN"/>
        </w:rPr>
        <w:t>、</w:t>
      </w:r>
      <w:r>
        <w:rPr>
          <w:rFonts w:hint="eastAsia"/>
          <w:color w:val="auto"/>
          <w:highlight w:val="none"/>
        </w:rPr>
        <w:t>浒苔等大型藻类旺发“监测-预警-应急处置”全链条生态灾害防控体系，做好监测预警、远端管控、前置打捞等工作，防止失管失控、突然爆发。实施重点海域赤潮预警监测与应急处置、北戴河海域水母防治、旅游旺季海洋生态环境保护保障等项目。</w:t>
      </w:r>
      <w:r>
        <w:rPr>
          <w:rFonts w:hint="eastAsia"/>
          <w:color w:val="auto"/>
          <w:highlight w:val="none"/>
          <w:lang w:val="en-US" w:eastAsia="zh-CN"/>
        </w:rPr>
        <w:t>开展</w:t>
      </w:r>
      <w:r>
        <w:rPr>
          <w:rFonts w:hint="eastAsia"/>
          <w:color w:val="auto"/>
          <w:highlight w:val="none"/>
        </w:rPr>
        <w:t>海洋环境监测，健全北戴河及邻近海域水质和海水浴场预警监测网络。</w:t>
      </w:r>
    </w:p>
    <w:p>
      <w:pPr>
        <w:pageBreakBefore w:val="0"/>
        <w:kinsoku/>
        <w:wordWrap/>
        <w:overflowPunct/>
        <w:topLinePunct w:val="0"/>
        <w:autoSpaceDN/>
        <w:bidi w:val="0"/>
        <w:adjustRightInd/>
        <w:rPr>
          <w:rFonts w:hint="default"/>
          <w:color w:val="auto"/>
          <w:highlight w:val="none"/>
          <w:lang w:val="en-US" w:eastAsia="zh-CN"/>
        </w:rPr>
      </w:pPr>
      <w:r>
        <w:rPr>
          <w:rFonts w:hint="default"/>
          <w:color w:val="auto"/>
          <w:highlight w:val="none"/>
          <w:lang w:val="en-US" w:eastAsia="zh-CN"/>
        </w:rPr>
        <w:t>开展美丽海湾建设提升行动，巩固秦皇岛湾、秦皇岛北部湾区和秦皇岛港湾区美丽海湾建设成效，推进滦河口（秦皇岛段）美丽海湾建设。强化海湾生态环境长效管护，实现海湾家底“一湾一表”、综合治理“一湾一策”、风险防控“一湾一图”、智慧监管“一湾一档”。到2027年，</w:t>
      </w:r>
      <w:r>
        <w:rPr>
          <w:rFonts w:hint="default" w:ascii="仿宋_GB2312" w:hAnsi="宋体" w:eastAsia="仿宋_GB2312" w:cs="仿宋_GB2312"/>
          <w:b w:val="0"/>
          <w:bCs w:val="0"/>
          <w:color w:val="auto"/>
          <w:kern w:val="0"/>
          <w:sz w:val="32"/>
          <w:szCs w:val="32"/>
          <w:highlight w:val="none"/>
          <w:lang w:val="en-US" w:eastAsia="zh-CN" w:bidi="ar"/>
        </w:rPr>
        <w:t>美丽海湾</w:t>
      </w:r>
      <w:r>
        <w:rPr>
          <w:rFonts w:hint="eastAsia" w:hAnsi="宋体" w:cs="仿宋_GB2312"/>
          <w:b w:val="0"/>
          <w:bCs w:val="0"/>
          <w:color w:val="auto"/>
          <w:kern w:val="0"/>
          <w:sz w:val="32"/>
          <w:szCs w:val="32"/>
          <w:highlight w:val="none"/>
          <w:lang w:val="en-US" w:eastAsia="zh" w:bidi="ar"/>
        </w:rPr>
        <w:t>建</w:t>
      </w:r>
      <w:r>
        <w:rPr>
          <w:rFonts w:hint="eastAsia" w:hAnsi="宋体" w:cs="仿宋_GB2312"/>
          <w:b w:val="0"/>
          <w:bCs w:val="0"/>
          <w:color w:val="auto"/>
          <w:kern w:val="0"/>
          <w:sz w:val="32"/>
          <w:szCs w:val="32"/>
          <w:highlight w:val="none"/>
          <w:lang w:val="en-US" w:eastAsia="zh-CN" w:bidi="ar"/>
        </w:rPr>
        <w:t>成率达100%，</w:t>
      </w:r>
      <w:r>
        <w:rPr>
          <w:rFonts w:hint="default"/>
          <w:color w:val="auto"/>
          <w:highlight w:val="none"/>
          <w:lang w:val="en-US" w:eastAsia="zh-CN"/>
        </w:rPr>
        <w:t>近岸海域优良</w:t>
      </w:r>
      <w:r>
        <w:rPr>
          <w:rFonts w:hint="eastAsia"/>
          <w:color w:val="auto"/>
          <w:highlight w:val="none"/>
          <w:lang w:val="en-US" w:eastAsia="zh-CN"/>
        </w:rPr>
        <w:t>水质面积</w:t>
      </w:r>
      <w:r>
        <w:rPr>
          <w:rFonts w:hint="default"/>
          <w:color w:val="auto"/>
          <w:highlight w:val="none"/>
          <w:lang w:val="en-US" w:eastAsia="zh-CN"/>
        </w:rPr>
        <w:t>比例保持100%</w:t>
      </w:r>
      <w:r>
        <w:rPr>
          <w:rFonts w:hint="eastAsia"/>
          <w:color w:val="auto"/>
          <w:highlight w:val="none"/>
          <w:lang w:val="en-US" w:eastAsia="zh-CN"/>
        </w:rPr>
        <w:t>；</w:t>
      </w:r>
      <w:r>
        <w:rPr>
          <w:rFonts w:hint="default"/>
          <w:color w:val="auto"/>
          <w:highlight w:val="none"/>
          <w:lang w:val="en-US" w:eastAsia="zh-CN"/>
        </w:rPr>
        <w:t>旅游旺季北戴河主要海水浴场水质等级“优、良”比例保持100%。</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3.推动空气质量全面改善</w:t>
      </w:r>
    </w:p>
    <w:p>
      <w:pPr>
        <w:pageBreakBefore w:val="0"/>
        <w:kinsoku/>
        <w:wordWrap/>
        <w:overflowPunct/>
        <w:topLinePunct w:val="0"/>
        <w:autoSpaceDN/>
        <w:bidi w:val="0"/>
        <w:adjustRightInd/>
        <w:ind w:firstLine="640" w:firstLineChars="200"/>
        <w:rPr>
          <w:rFonts w:hint="eastAsia" w:eastAsia="仿宋_GB2312"/>
          <w:color w:val="auto"/>
          <w:highlight w:val="none"/>
          <w:lang w:val="en-US" w:eastAsia="zh-CN"/>
        </w:rPr>
      </w:pPr>
      <w:r>
        <w:rPr>
          <w:rFonts w:hint="eastAsia"/>
          <w:color w:val="auto"/>
          <w:highlight w:val="none"/>
          <w:lang w:val="en-US" w:eastAsia="zh-CN"/>
        </w:rPr>
        <w:t>推进</w:t>
      </w:r>
      <w:r>
        <w:rPr>
          <w:rFonts w:hint="default"/>
          <w:color w:val="auto"/>
          <w:highlight w:val="none"/>
          <w:lang w:val="en-US" w:eastAsia="zh-CN"/>
        </w:rPr>
        <w:t>65蒸吨/小时及以下</w:t>
      </w:r>
      <w:r>
        <w:rPr>
          <w:rFonts w:hint="eastAsia"/>
          <w:color w:val="auto"/>
          <w:highlight w:val="none"/>
          <w:lang w:val="en-US" w:eastAsia="zh-CN"/>
        </w:rPr>
        <w:t>、</w:t>
      </w:r>
      <w:r>
        <w:rPr>
          <w:rFonts w:hint="default"/>
          <w:color w:val="auto"/>
          <w:highlight w:val="none"/>
          <w:lang w:val="en-US" w:eastAsia="zh-CN"/>
        </w:rPr>
        <w:t>30万千瓦及以上热电联产电厂供热半径30公里范围内</w:t>
      </w:r>
      <w:r>
        <w:rPr>
          <w:rFonts w:hint="eastAsia"/>
          <w:color w:val="auto"/>
          <w:highlight w:val="none"/>
          <w:lang w:val="en-US" w:eastAsia="zh-CN"/>
        </w:rPr>
        <w:t>42台</w:t>
      </w:r>
      <w:r>
        <w:rPr>
          <w:rFonts w:hint="default"/>
          <w:color w:val="auto"/>
          <w:highlight w:val="none"/>
          <w:lang w:val="en-US" w:eastAsia="zh-CN"/>
        </w:rPr>
        <w:t>燃煤锅炉</w:t>
      </w:r>
      <w:r>
        <w:rPr>
          <w:rFonts w:hint="eastAsia"/>
          <w:color w:val="auto"/>
          <w:highlight w:val="none"/>
          <w:lang w:val="en-US" w:eastAsia="zh-CN"/>
        </w:rPr>
        <w:t>淘汰整合，</w:t>
      </w:r>
      <w:r>
        <w:rPr>
          <w:rFonts w:hint="eastAsia"/>
          <w:color w:val="auto"/>
          <w:highlight w:val="none"/>
        </w:rPr>
        <w:t>推进全市30台35蒸吨/小时及以下生物质锅炉整合升级或有序退出</w:t>
      </w:r>
      <w:r>
        <w:rPr>
          <w:rFonts w:hint="eastAsia"/>
          <w:color w:val="auto"/>
          <w:highlight w:val="none"/>
          <w:lang w:eastAsia="zh-CN"/>
        </w:rPr>
        <w:t>，</w:t>
      </w:r>
      <w:r>
        <w:rPr>
          <w:rFonts w:hint="eastAsia"/>
          <w:color w:val="auto"/>
          <w:highlight w:val="none"/>
        </w:rPr>
        <w:t>推进</w:t>
      </w:r>
      <w:r>
        <w:rPr>
          <w:rFonts w:hint="eastAsia"/>
          <w:color w:val="auto"/>
          <w:highlight w:val="none"/>
          <w:lang w:val="en-US" w:eastAsia="zh-CN"/>
        </w:rPr>
        <w:t>111</w:t>
      </w:r>
      <w:r>
        <w:rPr>
          <w:rFonts w:hint="eastAsia"/>
          <w:color w:val="auto"/>
          <w:highlight w:val="none"/>
        </w:rPr>
        <w:t>台燃油锅炉淘汰或更换醇基燃料</w:t>
      </w:r>
      <w:r>
        <w:rPr>
          <w:rFonts w:hint="eastAsia"/>
          <w:color w:val="auto"/>
          <w:highlight w:val="none"/>
          <w:lang w:eastAsia="zh-CN"/>
        </w:rPr>
        <w:t>。</w:t>
      </w:r>
      <w:r>
        <w:rPr>
          <w:rFonts w:hint="default"/>
          <w:color w:val="auto"/>
          <w:highlight w:val="none"/>
          <w:lang w:val="en-US" w:eastAsia="zh-CN"/>
        </w:rPr>
        <w:t>推进玻璃、水泥等企业退出建成区。</w:t>
      </w:r>
    </w:p>
    <w:p>
      <w:pPr>
        <w:pageBreakBefore w:val="0"/>
        <w:kinsoku/>
        <w:wordWrap/>
        <w:overflowPunct/>
        <w:topLinePunct w:val="0"/>
        <w:autoSpaceDN/>
        <w:bidi w:val="0"/>
        <w:adjustRightInd/>
        <w:ind w:firstLine="640" w:firstLineChars="200"/>
        <w:rPr>
          <w:rFonts w:hint="default"/>
          <w:color w:val="auto"/>
          <w:highlight w:val="none"/>
          <w:lang w:val="en-US" w:eastAsia="zh-CN"/>
        </w:rPr>
      </w:pPr>
      <w:r>
        <w:rPr>
          <w:rFonts w:hint="eastAsia"/>
          <w:color w:val="auto"/>
          <w:highlight w:val="none"/>
          <w:lang w:val="en-US" w:eastAsia="zh-CN"/>
        </w:rPr>
        <w:t>开展</w:t>
      </w:r>
      <w:r>
        <w:rPr>
          <w:rFonts w:hint="default"/>
          <w:color w:val="auto"/>
          <w:highlight w:val="none"/>
          <w:lang w:val="en-US" w:eastAsia="zh-CN"/>
        </w:rPr>
        <w:t>重点行业环保绩效</w:t>
      </w:r>
      <w:r>
        <w:rPr>
          <w:rFonts w:hint="eastAsia"/>
          <w:color w:val="auto"/>
          <w:highlight w:val="none"/>
          <w:lang w:val="en-US" w:eastAsia="zh-CN"/>
        </w:rPr>
        <w:t>提升行动</w:t>
      </w:r>
      <w:r>
        <w:rPr>
          <w:rFonts w:hint="default"/>
          <w:color w:val="auto"/>
          <w:highlight w:val="none"/>
          <w:lang w:val="en-US" w:eastAsia="zh-CN"/>
        </w:rPr>
        <w:t>，到2027年，</w:t>
      </w:r>
      <w:r>
        <w:rPr>
          <w:rFonts w:hint="eastAsia"/>
          <w:color w:val="auto"/>
          <w:highlight w:val="none"/>
          <w:lang w:val="en-US" w:eastAsia="zh-CN"/>
        </w:rPr>
        <w:t>新增</w:t>
      </w:r>
      <w:r>
        <w:rPr>
          <w:rFonts w:hint="default"/>
          <w:color w:val="auto"/>
          <w:highlight w:val="none"/>
          <w:lang w:val="en-US" w:eastAsia="zh-CN"/>
        </w:rPr>
        <w:t>A级企业</w:t>
      </w:r>
      <w:r>
        <w:rPr>
          <w:rFonts w:hint="eastAsia"/>
          <w:color w:val="auto"/>
          <w:highlight w:val="none"/>
          <w:lang w:val="en-US" w:eastAsia="zh-CN"/>
        </w:rPr>
        <w:t>4</w:t>
      </w:r>
      <w:r>
        <w:rPr>
          <w:rFonts w:hint="default"/>
          <w:color w:val="auto"/>
          <w:highlight w:val="none"/>
          <w:lang w:val="en-US" w:eastAsia="zh-CN"/>
        </w:rPr>
        <w:t>家</w:t>
      </w:r>
      <w:r>
        <w:rPr>
          <w:rFonts w:hint="eastAsia"/>
          <w:color w:val="auto"/>
          <w:highlight w:val="none"/>
          <w:lang w:val="en-US" w:eastAsia="zh-CN"/>
        </w:rPr>
        <w:t>。</w:t>
      </w:r>
      <w:r>
        <w:rPr>
          <w:rFonts w:hint="default"/>
          <w:color w:val="auto"/>
          <w:highlight w:val="none"/>
          <w:lang w:val="en-US" w:eastAsia="zh-CN"/>
        </w:rPr>
        <w:t>开展夏季臭氧污染防治攻坚行动，</w:t>
      </w:r>
      <w:r>
        <w:rPr>
          <w:rFonts w:hint="eastAsia"/>
          <w:color w:val="auto"/>
          <w:highlight w:val="none"/>
          <w:lang w:val="en-US" w:eastAsia="zh-CN"/>
        </w:rPr>
        <w:t>推动高挥发性有机物</w:t>
      </w:r>
      <w:r>
        <w:rPr>
          <w:rFonts w:hint="default"/>
          <w:color w:val="auto"/>
          <w:highlight w:val="none"/>
          <w:lang w:val="en-US" w:eastAsia="zh-CN"/>
        </w:rPr>
        <w:t>原辅材料替代</w:t>
      </w:r>
      <w:r>
        <w:rPr>
          <w:rFonts w:hint="eastAsia"/>
          <w:color w:val="auto"/>
          <w:highlight w:val="none"/>
          <w:lang w:val="en-US" w:eastAsia="zh-CN"/>
        </w:rPr>
        <w:t>。推进</w:t>
      </w:r>
      <w:r>
        <w:rPr>
          <w:rFonts w:hint="default"/>
          <w:color w:val="auto"/>
          <w:highlight w:val="none"/>
          <w:lang w:val="en-US" w:eastAsia="zh-CN"/>
        </w:rPr>
        <w:t>秦皇岛发电有限公</w:t>
      </w:r>
      <w:r>
        <w:rPr>
          <w:rFonts w:hint="default"/>
          <w:color w:val="auto"/>
          <w:highlight w:val="none"/>
        </w:rPr>
        <w:t>司、秦热发电有限公司、京能秦皇岛热电有限公司超低排放改造</w:t>
      </w:r>
      <w:r>
        <w:rPr>
          <w:rFonts w:hint="default"/>
          <w:color w:val="auto"/>
          <w:highlight w:val="none"/>
          <w:lang w:val="en-US" w:eastAsia="zh-CN"/>
        </w:rPr>
        <w:t>。开展钢铁行业烧结机深度治理</w:t>
      </w:r>
      <w:r>
        <w:rPr>
          <w:rFonts w:hint="eastAsia"/>
          <w:color w:val="auto"/>
          <w:highlight w:val="none"/>
          <w:lang w:val="en-US" w:eastAsia="zh-CN"/>
        </w:rPr>
        <w:t>。</w:t>
      </w:r>
      <w:r>
        <w:rPr>
          <w:rFonts w:hint="eastAsia"/>
          <w:color w:val="auto"/>
          <w:highlight w:val="none"/>
        </w:rPr>
        <w:t>完成河北武山水泥有限公司全流程超低监测公示</w:t>
      </w:r>
      <w:r>
        <w:rPr>
          <w:rFonts w:hint="default"/>
          <w:color w:val="auto"/>
          <w:highlight w:val="none"/>
          <w:lang w:val="en-US" w:eastAsia="zh-CN"/>
        </w:rPr>
        <w:t>。</w:t>
      </w:r>
    </w:p>
    <w:p>
      <w:pPr>
        <w:pageBreakBefore w:val="0"/>
        <w:kinsoku/>
        <w:wordWrap/>
        <w:overflowPunct/>
        <w:topLinePunct w:val="0"/>
        <w:autoSpaceDN/>
        <w:bidi w:val="0"/>
        <w:adjustRightInd/>
        <w:ind w:firstLine="640" w:firstLineChars="200"/>
        <w:rPr>
          <w:rFonts w:hint="default"/>
          <w:color w:val="auto"/>
          <w:highlight w:val="none"/>
          <w:lang w:val="en-US"/>
        </w:rPr>
      </w:pPr>
      <w:r>
        <w:rPr>
          <w:rFonts w:ascii="Times New Roman" w:hAnsi="Times New Roman" w:eastAsia="仿宋_GB2312" w:cs="Times New Roman"/>
          <w:color w:val="auto"/>
          <w:kern w:val="0"/>
          <w:sz w:val="32"/>
          <w:szCs w:val="32"/>
          <w:highlight w:val="none"/>
        </w:rPr>
        <w:t>划定禁止使用高排放非道路移动机械区域</w:t>
      </w:r>
      <w:r>
        <w:rPr>
          <w:rFonts w:hint="default"/>
          <w:color w:val="auto"/>
          <w:highlight w:val="none"/>
          <w:lang w:val="en-US" w:eastAsia="zh-CN"/>
        </w:rPr>
        <w:t>。</w:t>
      </w:r>
      <w:r>
        <w:rPr>
          <w:rFonts w:hint="eastAsia"/>
          <w:color w:val="auto"/>
          <w:highlight w:val="none"/>
          <w:lang w:val="en-US" w:eastAsia="zh-CN"/>
        </w:rPr>
        <w:t>2026年底前，</w:t>
      </w:r>
      <w:r>
        <w:rPr>
          <w:rFonts w:hint="default"/>
          <w:color w:val="auto"/>
          <w:highlight w:val="none"/>
        </w:rPr>
        <w:t>注销淘汰30%</w:t>
      </w:r>
      <w:r>
        <w:rPr>
          <w:rFonts w:hint="eastAsia"/>
          <w:color w:val="auto"/>
          <w:highlight w:val="none"/>
          <w:lang w:val="en-US" w:eastAsia="zh-CN"/>
        </w:rPr>
        <w:t>以上的</w:t>
      </w:r>
      <w:r>
        <w:rPr>
          <w:rFonts w:hint="default"/>
          <w:color w:val="auto"/>
          <w:highlight w:val="none"/>
        </w:rPr>
        <w:t>国二及以下排放标准非道路移动机械（以2025年底编码登记量为准）和国四及以下排放标准中重型货车（以2025年底保有量为准）</w:t>
      </w:r>
      <w:r>
        <w:rPr>
          <w:rFonts w:hint="default"/>
          <w:color w:val="auto"/>
          <w:highlight w:val="none"/>
          <w:lang w:val="en-US" w:eastAsia="zh-CN"/>
        </w:rPr>
        <w:t>。</w:t>
      </w:r>
      <w:r>
        <w:rPr>
          <w:rFonts w:hint="eastAsia"/>
          <w:color w:val="auto"/>
          <w:highlight w:val="none"/>
          <w:lang w:val="en-US" w:eastAsia="zh-CN"/>
        </w:rPr>
        <w:t>加强秦皇岛港大气污染综合治理，</w:t>
      </w:r>
      <w:r>
        <w:rPr>
          <w:rFonts w:hint="default"/>
          <w:color w:val="auto"/>
          <w:highlight w:val="none"/>
        </w:rPr>
        <w:t>常态化开展船舶燃油</w:t>
      </w:r>
      <w:r>
        <w:rPr>
          <w:rFonts w:hint="eastAsia"/>
          <w:color w:val="auto"/>
          <w:highlight w:val="none"/>
          <w:lang w:val="en-US" w:eastAsia="zh-CN"/>
        </w:rPr>
        <w:t>及其</w:t>
      </w:r>
      <w:r>
        <w:rPr>
          <w:rFonts w:hint="default"/>
          <w:color w:val="auto"/>
          <w:highlight w:val="none"/>
        </w:rPr>
        <w:t>供应单位燃油质量监督检查</w:t>
      </w:r>
      <w:r>
        <w:rPr>
          <w:rFonts w:hint="eastAsia"/>
          <w:color w:val="auto"/>
          <w:highlight w:val="none"/>
          <w:lang w:eastAsia="zh-CN"/>
        </w:rPr>
        <w:t>，</w:t>
      </w:r>
      <w:r>
        <w:rPr>
          <w:rFonts w:hint="default"/>
          <w:color w:val="auto"/>
          <w:highlight w:val="none"/>
          <w:lang w:val="en-US" w:eastAsia="zh-CN"/>
        </w:rPr>
        <w:t>加快港口作业车船升级</w:t>
      </w:r>
      <w:r>
        <w:rPr>
          <w:rFonts w:hint="eastAsia"/>
          <w:color w:val="auto"/>
          <w:highlight w:val="none"/>
          <w:lang w:val="en-US" w:eastAsia="zh-CN"/>
        </w:rPr>
        <w:t>，完善</w:t>
      </w:r>
      <w:r>
        <w:rPr>
          <w:rFonts w:hint="default"/>
          <w:color w:val="auto"/>
          <w:highlight w:val="none"/>
          <w:lang w:val="en-US" w:eastAsia="zh-CN"/>
        </w:rPr>
        <w:t>岸电</w:t>
      </w:r>
      <w:r>
        <w:rPr>
          <w:rFonts w:hint="eastAsia"/>
          <w:color w:val="auto"/>
          <w:highlight w:val="none"/>
          <w:lang w:val="en-US" w:eastAsia="zh-CN"/>
        </w:rPr>
        <w:t>基础</w:t>
      </w:r>
      <w:r>
        <w:rPr>
          <w:rFonts w:hint="default"/>
          <w:color w:val="auto"/>
          <w:highlight w:val="none"/>
          <w:lang w:val="en-US" w:eastAsia="zh-CN"/>
        </w:rPr>
        <w:t>设施</w:t>
      </w:r>
      <w:r>
        <w:rPr>
          <w:rFonts w:hint="eastAsia"/>
          <w:color w:val="auto"/>
          <w:highlight w:val="none"/>
          <w:lang w:val="en-US" w:eastAsia="zh-CN"/>
        </w:rPr>
        <w:t>建设，</w:t>
      </w:r>
      <w:r>
        <w:rPr>
          <w:rFonts w:hint="default"/>
          <w:color w:val="auto"/>
          <w:highlight w:val="none"/>
          <w:lang w:val="en-US" w:eastAsia="zh-CN"/>
        </w:rPr>
        <w:t>提高岸电设施使用率。</w:t>
      </w:r>
    </w:p>
    <w:p>
      <w:pPr>
        <w:pageBreakBefore w:val="0"/>
        <w:kinsoku/>
        <w:wordWrap/>
        <w:overflowPunct/>
        <w:topLinePunct w:val="0"/>
        <w:autoSpaceDN/>
        <w:bidi w:val="0"/>
        <w:adjustRightInd/>
        <w:rPr>
          <w:rFonts w:hint="default"/>
          <w:color w:val="auto"/>
          <w:highlight w:val="none"/>
          <w:lang w:val="en-US" w:eastAsia="zh-CN"/>
        </w:rPr>
      </w:pPr>
      <w:r>
        <w:rPr>
          <w:rFonts w:hint="default"/>
          <w:color w:val="auto"/>
          <w:highlight w:val="none"/>
          <w:lang w:val="en-US" w:eastAsia="zh-CN"/>
        </w:rPr>
        <w:t>施工工地严格落实“六个百分百”和“两个全覆盖”要求</w:t>
      </w:r>
      <w:r>
        <w:rPr>
          <w:rFonts w:hint="eastAsia"/>
          <w:color w:val="auto"/>
          <w:highlight w:val="none"/>
          <w:lang w:val="en-US" w:eastAsia="zh-CN"/>
        </w:rPr>
        <w:t>，城区道路实施</w:t>
      </w:r>
      <w:r>
        <w:rPr>
          <w:rFonts w:hint="default"/>
          <w:color w:val="auto"/>
          <w:highlight w:val="none"/>
          <w:lang w:val="en-US" w:eastAsia="zh-CN"/>
        </w:rPr>
        <w:t>“水洗机扫”作业方式</w:t>
      </w:r>
      <w:r>
        <w:rPr>
          <w:rFonts w:hint="eastAsia"/>
          <w:color w:val="auto"/>
          <w:highlight w:val="none"/>
          <w:lang w:val="en-US" w:eastAsia="zh-CN"/>
        </w:rPr>
        <w:t>，加强</w:t>
      </w:r>
      <w:r>
        <w:rPr>
          <w:rFonts w:hint="default"/>
          <w:color w:val="auto"/>
          <w:highlight w:val="none"/>
          <w:lang w:val="en-US" w:eastAsia="zh-CN"/>
        </w:rPr>
        <w:t>全域控尘</w:t>
      </w:r>
      <w:r>
        <w:rPr>
          <w:rFonts w:hint="eastAsia"/>
          <w:color w:val="auto"/>
          <w:highlight w:val="none"/>
          <w:lang w:val="en-US" w:eastAsia="zh-CN"/>
        </w:rPr>
        <w:t>。</w:t>
      </w:r>
      <w:r>
        <w:rPr>
          <w:rFonts w:hint="default"/>
          <w:color w:val="auto"/>
          <w:highlight w:val="none"/>
          <w:lang w:val="en-US" w:eastAsia="zh-CN"/>
        </w:rPr>
        <w:t>合理规划建设布局，解决餐饮油烟和恶臭异味扰民问题。</w:t>
      </w:r>
      <w:r>
        <w:rPr>
          <w:rFonts w:hint="eastAsia"/>
          <w:color w:val="auto"/>
          <w:highlight w:val="none"/>
          <w:lang w:val="en-US" w:eastAsia="zh-CN"/>
        </w:rPr>
        <w:t>强化散煤管控，</w:t>
      </w:r>
      <w:r>
        <w:rPr>
          <w:rFonts w:hint="default"/>
          <w:color w:val="auto"/>
          <w:highlight w:val="none"/>
          <w:lang w:val="en-US" w:eastAsia="zh-CN"/>
        </w:rPr>
        <w:t>严控露天焚烧秸秆，严格烟花爆竹管控。</w:t>
      </w:r>
    </w:p>
    <w:p>
      <w:pPr>
        <w:pageBreakBefore w:val="0"/>
        <w:kinsoku/>
        <w:wordWrap/>
        <w:overflowPunct/>
        <w:topLinePunct w:val="0"/>
        <w:autoSpaceDN/>
        <w:bidi w:val="0"/>
        <w:adjustRightInd/>
        <w:rPr>
          <w:rFonts w:hint="eastAsia"/>
          <w:color w:val="auto"/>
          <w:highlight w:val="none"/>
          <w:lang w:val="en-US" w:eastAsia="zh-CN"/>
        </w:rPr>
      </w:pPr>
      <w:r>
        <w:rPr>
          <w:rFonts w:hint="eastAsia" w:ascii="仿宋_GB2312" w:eastAsia="仿宋_GB2312" w:cs="仿宋_GB2312"/>
          <w:b w:val="0"/>
          <w:bCs w:val="0"/>
          <w:color w:val="auto"/>
          <w:sz w:val="32"/>
          <w:szCs w:val="32"/>
          <w:highlight w:val="none"/>
        </w:rPr>
        <w:t>建立常态化、制度化、规范化的大气污染联防联</w:t>
      </w:r>
      <w:r>
        <w:rPr>
          <w:rFonts w:ascii="仿宋_GB2312" w:eastAsia="仿宋_GB2312" w:cs="仿宋_GB2312"/>
          <w:b w:val="0"/>
          <w:bCs w:val="0"/>
          <w:color w:val="auto"/>
          <w:sz w:val="32"/>
          <w:szCs w:val="32"/>
          <w:highlight w:val="none"/>
        </w:rPr>
        <w:t>控</w:t>
      </w:r>
      <w:r>
        <w:rPr>
          <w:rFonts w:hint="eastAsia" w:ascii="仿宋_GB2312" w:eastAsia="仿宋_GB2312" w:cs="仿宋_GB2312"/>
          <w:b w:val="0"/>
          <w:bCs w:val="0"/>
          <w:color w:val="auto"/>
          <w:sz w:val="32"/>
          <w:szCs w:val="32"/>
          <w:highlight w:val="none"/>
        </w:rPr>
        <w:t>体系，实现区域信息共享</w:t>
      </w:r>
      <w:r>
        <w:rPr>
          <w:rFonts w:hint="eastAsia" w:cs="仿宋_GB2312"/>
          <w:b w:val="0"/>
          <w:bCs w:val="0"/>
          <w:color w:val="auto"/>
          <w:sz w:val="32"/>
          <w:szCs w:val="32"/>
          <w:highlight w:val="none"/>
          <w:lang w:val="en-US" w:eastAsia="zh-CN"/>
        </w:rPr>
        <w:t>及</w:t>
      </w:r>
      <w:r>
        <w:rPr>
          <w:rFonts w:hint="eastAsia" w:ascii="仿宋_GB2312" w:eastAsia="仿宋_GB2312" w:cs="仿宋_GB2312"/>
          <w:b w:val="0"/>
          <w:bCs w:val="0"/>
          <w:color w:val="auto"/>
          <w:sz w:val="32"/>
          <w:szCs w:val="32"/>
          <w:highlight w:val="none"/>
        </w:rPr>
        <w:t>监测、执法、应急联动</w:t>
      </w:r>
      <w:r>
        <w:rPr>
          <w:rFonts w:hint="eastAsia" w:cs="仿宋_GB2312"/>
          <w:b w:val="0"/>
          <w:bCs w:val="0"/>
          <w:color w:val="auto"/>
          <w:sz w:val="32"/>
          <w:szCs w:val="32"/>
          <w:highlight w:val="none"/>
          <w:lang w:eastAsia="zh-CN"/>
        </w:rPr>
        <w:t>。</w:t>
      </w:r>
      <w:r>
        <w:rPr>
          <w:rFonts w:hint="default"/>
          <w:color w:val="auto"/>
          <w:highlight w:val="none"/>
          <w:lang w:val="en-US" w:eastAsia="zh-CN"/>
        </w:rPr>
        <w:t>到2027年，细颗粒物浓度</w:t>
      </w:r>
      <w:r>
        <w:rPr>
          <w:rFonts w:hint="eastAsia"/>
          <w:color w:val="auto"/>
          <w:highlight w:val="none"/>
          <w:lang w:val="en-US" w:eastAsia="zh-CN"/>
        </w:rPr>
        <w:t>、</w:t>
      </w:r>
      <w:r>
        <w:rPr>
          <w:rFonts w:hint="eastAsia"/>
          <w:color w:val="auto"/>
          <w:highlight w:val="none"/>
        </w:rPr>
        <w:t>空气质量优良天数</w:t>
      </w:r>
      <w:r>
        <w:rPr>
          <w:rFonts w:hint="eastAsia"/>
          <w:color w:val="auto"/>
          <w:highlight w:val="none"/>
          <w:lang w:val="en-US" w:eastAsia="zh-CN"/>
        </w:rPr>
        <w:t>比例完成省定目标。</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4.推进土壤污染防治</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highlight w:val="none"/>
          <w:lang w:val="en-US" w:eastAsia="zh-CN"/>
        </w:rPr>
      </w:pPr>
      <w:r>
        <w:rPr>
          <w:rFonts w:hint="eastAsia"/>
          <w:color w:val="auto"/>
          <w:highlight w:val="none"/>
          <w:lang w:val="en-US" w:eastAsia="zh-CN"/>
        </w:rPr>
        <w:t>落实土壤污染源头防控行动计划。推进土壤污染重点监管单位隐患排查</w:t>
      </w:r>
      <w:r>
        <w:rPr>
          <w:rFonts w:hint="eastAsia"/>
          <w:color w:val="auto"/>
          <w:highlight w:val="none"/>
          <w:lang w:val="en-US" w:eastAsia="zh"/>
        </w:rPr>
        <w:t>整改</w:t>
      </w:r>
      <w:r>
        <w:rPr>
          <w:rFonts w:hint="eastAsia"/>
          <w:color w:val="auto"/>
          <w:highlight w:val="none"/>
          <w:lang w:val="en-US" w:eastAsia="zh-CN"/>
        </w:rPr>
        <w:t>提升，分类实施农用地土壤重金属污染溯源整治，制定受污染耕地安全利用和风险管控实施方案。严格建设用地准入管理，以用途变更为住宅、公共管理与公共服务用地的地块为重点，依法开展土壤污染状况调查评估。加快推进关闭搬迁地块污染管控，严控土壤污染风险。</w:t>
      </w:r>
      <w:r>
        <w:rPr>
          <w:rFonts w:hint="default" w:ascii="仿宋_GB2312" w:hAnsi="宋体" w:eastAsia="仿宋_GB2312" w:cs="仿宋_GB2312"/>
          <w:color w:val="auto"/>
          <w:kern w:val="2"/>
          <w:sz w:val="32"/>
          <w:szCs w:val="32"/>
          <w:highlight w:val="none"/>
        </w:rPr>
        <w:t>推进土壤和地下水协同防治，</w:t>
      </w:r>
      <w:r>
        <w:rPr>
          <w:rFonts w:hint="eastAsia"/>
          <w:color w:val="auto"/>
          <w:highlight w:val="none"/>
          <w:lang w:val="en-US" w:eastAsia="zh-CN"/>
        </w:rPr>
        <w:t>开展卢龙化工园区地下水环境状况详细调查评估，落实地下水污染防治重点区分区管理、分级防治各项管控措施。到2027年，重点建设用地安全利用得到有效保障。</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5.深化固体废物综合治理</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落实国家固体废物综合治理行动计划。推进“无废城市”建设，巩固“无废港口”建设成效，积极建设“无废园区”“无废集团”等“无废细胞”。与城市建设管理有机融合，加强城乡生活垃圾、农业废弃物、建筑垃圾、大宗工业固体废物等源头减量和无害化处置。</w:t>
      </w:r>
      <w:r>
        <w:rPr>
          <w:rFonts w:hint="eastAsia"/>
          <w:color w:val="auto"/>
          <w:highlight w:val="none"/>
        </w:rPr>
        <w:t>提高尾矿、除尘灰、冶炼渣、脱硫石膏等一般工业固废综合利用率，推动矿山尾矿及遗留土地砂石料深加工利用。</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强化危险废物监管和利用处置能力，实现危险废物全过程信息化监管，深化危险废物规范化环境管理评估。</w:t>
      </w:r>
      <w:r>
        <w:rPr>
          <w:rFonts w:hint="default"/>
          <w:color w:val="auto"/>
          <w:highlight w:val="none"/>
        </w:rPr>
        <w:t>推进生活垃圾焚烧飞灰</w:t>
      </w:r>
      <w:r>
        <w:rPr>
          <w:rFonts w:hint="eastAsia"/>
          <w:color w:val="auto"/>
          <w:highlight w:val="none"/>
          <w:lang w:eastAsia="zh-CN"/>
        </w:rPr>
        <w:t>、</w:t>
      </w:r>
      <w:r>
        <w:rPr>
          <w:rFonts w:hint="eastAsia"/>
          <w:color w:val="auto"/>
          <w:highlight w:val="none"/>
          <w:lang w:val="en-US" w:eastAsia="zh-CN"/>
        </w:rPr>
        <w:t>废活性炭、酸性污泥等危险废物的</w:t>
      </w:r>
      <w:r>
        <w:rPr>
          <w:rFonts w:hint="default"/>
          <w:color w:val="auto"/>
          <w:highlight w:val="none"/>
        </w:rPr>
        <w:t>协同处置</w:t>
      </w:r>
      <w:r>
        <w:rPr>
          <w:rFonts w:hint="eastAsia"/>
          <w:color w:val="auto"/>
          <w:highlight w:val="none"/>
          <w:lang w:val="en-US" w:eastAsia="zh-CN"/>
        </w:rPr>
        <w:t>和综合利用</w:t>
      </w:r>
      <w:r>
        <w:rPr>
          <w:rFonts w:hint="default"/>
          <w:color w:val="auto"/>
          <w:highlight w:val="none"/>
        </w:rPr>
        <w:t>，</w:t>
      </w:r>
      <w:r>
        <w:rPr>
          <w:rFonts w:hint="eastAsia"/>
          <w:color w:val="auto"/>
          <w:highlight w:val="none"/>
          <w:lang w:val="en-US" w:eastAsia="zh-CN"/>
        </w:rPr>
        <w:t>严格管控危险废物填埋处置。</w:t>
      </w:r>
      <w:r>
        <w:rPr>
          <w:rFonts w:hint="eastAsia"/>
          <w:color w:val="auto"/>
          <w:highlight w:val="none"/>
          <w:lang w:val="en-US" w:eastAsia="zh"/>
        </w:rPr>
        <w:t>加强医疗废物收集转运管理，提升规范化处理能力。</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实施北戴河区、海港区等区域生活垃圾收集、转运设施改造更新，城区范围内生活垃圾分类全覆盖。</w:t>
      </w:r>
      <w:r>
        <w:rPr>
          <w:rFonts w:hint="eastAsia"/>
          <w:color w:val="auto"/>
          <w:highlight w:val="none"/>
          <w:lang w:val="en-US" w:eastAsia="zh"/>
        </w:rPr>
        <w:t>强化建筑垃圾源头减量及资源化综合利用，</w:t>
      </w:r>
      <w:r>
        <w:rPr>
          <w:rFonts w:hint="eastAsia"/>
          <w:color w:val="auto"/>
          <w:highlight w:val="none"/>
        </w:rPr>
        <w:t>加快推进青龙满族自治县城区建筑垃圾处理设施、昌黎县建筑垃圾消纳场、北戴河新区团林垃圾转运调配场等建筑垃圾消纳处置利用设施建设</w:t>
      </w:r>
      <w:r>
        <w:rPr>
          <w:rFonts w:hint="eastAsia"/>
          <w:color w:val="auto"/>
          <w:highlight w:val="none"/>
          <w:lang w:val="en-US" w:eastAsia="zh-CN"/>
        </w:rPr>
        <w:t>。</w:t>
      </w:r>
    </w:p>
    <w:p>
      <w:pPr>
        <w:pStyle w:val="3"/>
        <w:pageBreakBefore w:val="0"/>
        <w:kinsoku/>
        <w:wordWrap/>
        <w:overflowPunct/>
        <w:topLinePunct w:val="0"/>
        <w:autoSpaceDN/>
        <w:bidi w:val="0"/>
        <w:adjustRightInd/>
        <w:rPr>
          <w:rFonts w:hint="default"/>
          <w:color w:val="auto"/>
          <w:highlight w:val="none"/>
          <w:lang w:val="en-US" w:eastAsia="zh-CN"/>
        </w:rPr>
      </w:pPr>
      <w:bookmarkStart w:id="30" w:name="_Toc4198"/>
      <w:r>
        <w:rPr>
          <w:rFonts w:hint="eastAsia"/>
          <w:color w:val="auto"/>
          <w:highlight w:val="none"/>
          <w:lang w:val="en-US" w:eastAsia="zh-CN"/>
        </w:rPr>
        <w:t>（二）发展方式转型，打造绿色低碳高质量发展之城</w:t>
      </w:r>
      <w:bookmarkEnd w:id="30"/>
    </w:p>
    <w:p>
      <w:pPr>
        <w:pageBreakBefore w:val="0"/>
        <w:kinsoku/>
        <w:wordWrap/>
        <w:overflowPunct/>
        <w:topLinePunct w:val="0"/>
        <w:autoSpaceDN/>
        <w:bidi w:val="0"/>
        <w:adjustRightInd/>
        <w:rPr>
          <w:rFonts w:hint="eastAsia"/>
          <w:b/>
          <w:bCs/>
          <w:color w:val="auto"/>
          <w:highlight w:val="none"/>
          <w:lang w:val="en-US" w:eastAsia="zh-CN"/>
        </w:rPr>
      </w:pPr>
      <w:r>
        <w:rPr>
          <w:rFonts w:hint="eastAsia" w:ascii="Times New Roman" w:hAnsi="Times New Roman" w:cs="Times New Roman"/>
          <w:b/>
          <w:bCs/>
          <w:color w:val="auto"/>
          <w:highlight w:val="none"/>
          <w:u w:val="none"/>
          <w:lang w:val="en-US" w:eastAsia="zh-CN"/>
        </w:rPr>
        <w:t>6.</w:t>
      </w:r>
      <w:r>
        <w:rPr>
          <w:rFonts w:hint="eastAsia"/>
          <w:b/>
          <w:bCs/>
          <w:color w:val="auto"/>
          <w:highlight w:val="none"/>
          <w:lang w:val="en-US" w:eastAsia="zh-CN"/>
        </w:rPr>
        <w:t>加快产业结构绿色低碳转型</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积极融入京津冀重点产业链，支持新能源、智能网汽车和机器人等产业协同化发展。聚焦海洋能源、海洋交通运输、海洋装备制造、海洋渔业等领域，加快发展海洋经济，打造全国重要的现代海洋产业基地，推进现代海洋产业高质量发展。推动新兴产业集群化发展，建设绿色制造体系</w:t>
      </w:r>
      <w:r>
        <w:rPr>
          <w:rFonts w:hint="default"/>
          <w:color w:val="auto"/>
          <w:highlight w:val="none"/>
          <w:lang w:eastAsia="zh-CN"/>
        </w:rPr>
        <w:t>。</w:t>
      </w:r>
    </w:p>
    <w:p>
      <w:pPr>
        <w:pageBreakBefore w:val="0"/>
        <w:kinsoku/>
        <w:wordWrap/>
        <w:overflowPunct/>
        <w:topLinePunct w:val="0"/>
        <w:autoSpaceDN/>
        <w:bidi w:val="0"/>
        <w:adjustRightInd/>
        <w:rPr>
          <w:rFonts w:hint="default"/>
          <w:color w:val="auto"/>
          <w:highlight w:val="none"/>
          <w:lang w:val="en-US" w:eastAsia="zh-CN"/>
        </w:rPr>
      </w:pPr>
      <w:r>
        <w:rPr>
          <w:rFonts w:hint="eastAsia"/>
          <w:color w:val="auto"/>
          <w:highlight w:val="none"/>
          <w:lang w:val="en-US" w:eastAsia="zh-CN"/>
        </w:rPr>
        <w:t>开展重点行业清洁生产审核，</w:t>
      </w:r>
      <w:r>
        <w:rPr>
          <w:rFonts w:hint="default"/>
          <w:color w:val="auto"/>
          <w:highlight w:val="none"/>
          <w:lang w:val="en-US" w:eastAsia="zh-CN"/>
        </w:rPr>
        <w:t>实施</w:t>
      </w:r>
      <w:r>
        <w:rPr>
          <w:rFonts w:hint="eastAsia"/>
          <w:color w:val="auto"/>
          <w:highlight w:val="none"/>
          <w:lang w:val="en-US" w:eastAsia="zh-CN"/>
        </w:rPr>
        <w:t>钢铁、水泥、玻璃、铸造等行业全流程工艺改造、资源能源梯级利用，开展中信戴卡股份有限公司、中铁山桥集团有限公司低VOCs治理</w:t>
      </w:r>
      <w:bookmarkStart w:id="65" w:name="_GoBack"/>
      <w:bookmarkEnd w:id="65"/>
      <w:r>
        <w:rPr>
          <w:rFonts w:hint="eastAsia"/>
          <w:color w:val="auto"/>
          <w:highlight w:val="none"/>
          <w:lang w:val="en-US" w:eastAsia="zh-CN"/>
        </w:rPr>
        <w:t>。新建及具备条件的改、扩建“两高”项目能效达到标杆水平，环保绩效应达到A级或引领性水平。加快钢铁行业清洁能源替代步伐，支持短流程炼钢，提升废钢资源回收利用水平。推广兴国铸造公司富氢低碳冶炼等先进技术应用。鼓励实施生物质掺烧、绿氨掺烧、碳捕集利用与封存等煤电低碳化改造技术。推进耀华公司能源综合利用和节能降碳改造。加强建材行业产能置换监管，退出低效产能，鼓励使用粉煤灰、工业废渣、尾矿渣等作为建材原料或水泥混合材料。加快推进绿色建材产品认证和应用推广。</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7.打造多能互补能源结构新格局</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22"/>
          <w:highlight w:val="none"/>
          <w:u w:val="none"/>
          <w:lang w:val="en-US" w:eastAsia="zh-CN" w:bidi="ar-SA"/>
        </w:rPr>
      </w:pPr>
      <w:r>
        <w:rPr>
          <w:rFonts w:hint="eastAsia" w:cs="仿宋_GB2312"/>
          <w:color w:val="auto"/>
          <w:kern w:val="2"/>
          <w:sz w:val="32"/>
          <w:szCs w:val="22"/>
          <w:highlight w:val="none"/>
          <w:u w:val="none"/>
          <w:lang w:val="en-US" w:eastAsia="zh" w:bidi="ar-SA"/>
        </w:rPr>
        <w:t>深化能耗“双控”管理，</w:t>
      </w:r>
      <w:r>
        <w:rPr>
          <w:rFonts w:ascii="仿宋_GB2312" w:hAnsi="仿宋_GB2312" w:eastAsia="仿宋_GB2312" w:cs="仿宋_GB2312"/>
          <w:color w:val="auto"/>
          <w:kern w:val="2"/>
          <w:sz w:val="32"/>
          <w:szCs w:val="22"/>
          <w:highlight w:val="none"/>
          <w:u w:val="none"/>
          <w:lang w:val="en-US" w:eastAsia="zh-CN" w:bidi="ar-SA"/>
        </w:rPr>
        <w:t>推动化石能源清洁高效利用</w:t>
      </w:r>
      <w:r>
        <w:rPr>
          <w:rFonts w:hint="eastAsia" w:cs="仿宋_GB2312"/>
          <w:color w:val="auto"/>
          <w:kern w:val="2"/>
          <w:sz w:val="32"/>
          <w:szCs w:val="22"/>
          <w:highlight w:val="none"/>
          <w:u w:val="none"/>
          <w:lang w:val="en-US" w:eastAsia="zh-CN" w:bidi="ar-SA"/>
        </w:rPr>
        <w:t>。</w:t>
      </w:r>
      <w:r>
        <w:rPr>
          <w:rFonts w:hint="eastAsia" w:ascii="仿宋_GB2312" w:hAnsi="仿宋_GB2312" w:eastAsia="仿宋_GB2312" w:cs="仿宋_GB2312"/>
          <w:color w:val="auto"/>
          <w:kern w:val="2"/>
          <w:sz w:val="32"/>
          <w:szCs w:val="22"/>
          <w:highlight w:val="none"/>
          <w:u w:val="none"/>
          <w:lang w:val="en-US" w:eastAsia="zh-CN" w:bidi="ar-SA"/>
        </w:rPr>
        <w:t>严格控制煤炭消费总量，</w:t>
      </w:r>
      <w:r>
        <w:rPr>
          <w:rFonts w:ascii="仿宋_GB2312" w:hAnsi="仿宋_GB2312" w:eastAsia="仿宋_GB2312" w:cs="仿宋_GB2312"/>
          <w:color w:val="auto"/>
          <w:kern w:val="2"/>
          <w:sz w:val="32"/>
          <w:szCs w:val="22"/>
          <w:highlight w:val="none"/>
          <w:u w:val="none"/>
          <w:lang w:val="en-US" w:eastAsia="zh-CN" w:bidi="ar-SA"/>
        </w:rPr>
        <w:t>有序推进煤电改造升级，加快现役煤电机组节能降碳改造、灵活性改造、供热改造“三改联动”</w:t>
      </w:r>
      <w:r>
        <w:rPr>
          <w:rFonts w:hint="eastAsia" w:ascii="仿宋_GB2312" w:hAnsi="仿宋_GB2312" w:eastAsia="仿宋_GB2312" w:cs="仿宋_GB2312"/>
          <w:color w:val="auto"/>
          <w:kern w:val="2"/>
          <w:sz w:val="32"/>
          <w:szCs w:val="22"/>
          <w:highlight w:val="none"/>
          <w:u w:val="none"/>
          <w:lang w:val="en-US" w:eastAsia="zh-CN" w:bidi="ar-SA"/>
        </w:rPr>
        <w:t>，推进</w:t>
      </w:r>
      <w:r>
        <w:rPr>
          <w:rFonts w:hint="eastAsia" w:cs="仿宋_GB2312"/>
          <w:color w:val="auto"/>
          <w:kern w:val="2"/>
          <w:sz w:val="32"/>
          <w:szCs w:val="22"/>
          <w:highlight w:val="none"/>
          <w:u w:val="none"/>
          <w:lang w:val="en-US" w:eastAsia="zh-CN" w:bidi="ar-SA"/>
        </w:rPr>
        <w:t>农村地</w:t>
      </w:r>
      <w:r>
        <w:rPr>
          <w:rFonts w:hint="eastAsia" w:ascii="仿宋_GB2312" w:hAnsi="仿宋_GB2312" w:eastAsia="仿宋_GB2312" w:cs="仿宋_GB2312"/>
          <w:color w:val="auto"/>
          <w:kern w:val="2"/>
          <w:sz w:val="32"/>
          <w:szCs w:val="22"/>
          <w:highlight w:val="none"/>
          <w:u w:val="none"/>
          <w:lang w:val="en-US" w:eastAsia="zh-CN" w:bidi="ar-SA"/>
        </w:rPr>
        <w:t>区散煤清洁能源替代</w:t>
      </w:r>
      <w:r>
        <w:rPr>
          <w:rFonts w:hint="eastAsia" w:cs="仿宋_GB2312"/>
          <w:color w:val="auto"/>
          <w:kern w:val="2"/>
          <w:sz w:val="32"/>
          <w:szCs w:val="22"/>
          <w:highlight w:val="none"/>
          <w:u w:val="none"/>
          <w:lang w:val="en-US" w:eastAsia="zh-CN" w:bidi="ar-SA"/>
        </w:rPr>
        <w:t>。</w:t>
      </w:r>
      <w:r>
        <w:rPr>
          <w:rFonts w:ascii="仿宋_GB2312" w:hAnsi="仿宋_GB2312" w:eastAsia="仿宋_GB2312" w:cs="仿宋_GB2312"/>
          <w:color w:val="auto"/>
          <w:kern w:val="2"/>
          <w:sz w:val="32"/>
          <w:szCs w:val="22"/>
          <w:highlight w:val="none"/>
          <w:u w:val="none"/>
          <w:lang w:val="en-US" w:eastAsia="zh-CN" w:bidi="ar-SA"/>
        </w:rPr>
        <w:t>实施电代油、氢代油等终端用能</w:t>
      </w:r>
      <w:r>
        <w:rPr>
          <w:rFonts w:hint="eastAsia" w:ascii="仿宋_GB2312" w:hAnsi="仿宋_GB2312" w:eastAsia="仿宋_GB2312" w:cs="仿宋_GB2312"/>
          <w:color w:val="auto"/>
          <w:kern w:val="2"/>
          <w:sz w:val="32"/>
          <w:szCs w:val="22"/>
          <w:highlight w:val="none"/>
          <w:u w:val="none"/>
          <w:lang w:val="en-US" w:eastAsia="zh-CN" w:bidi="ar-SA"/>
        </w:rPr>
        <w:t>替代，推广船舶清洁燃料。</w:t>
      </w:r>
      <w:r>
        <w:rPr>
          <w:rFonts w:hint="eastAsia" w:cs="仿宋_GB2312"/>
          <w:color w:val="auto"/>
          <w:kern w:val="2"/>
          <w:sz w:val="32"/>
          <w:szCs w:val="22"/>
          <w:highlight w:val="none"/>
          <w:u w:val="none"/>
          <w:lang w:val="en-US" w:eastAsia="zh-CN" w:bidi="ar-SA"/>
        </w:rPr>
        <w:t>到</w:t>
      </w:r>
      <w:r>
        <w:rPr>
          <w:rFonts w:hint="eastAsia" w:ascii="仿宋_GB2312" w:hAnsi="仿宋_GB2312" w:eastAsia="仿宋_GB2312" w:cs="仿宋_GB2312"/>
          <w:b w:val="0"/>
          <w:bCs w:val="0"/>
          <w:color w:val="auto"/>
          <w:kern w:val="2"/>
          <w:sz w:val="32"/>
          <w:szCs w:val="22"/>
          <w:highlight w:val="none"/>
          <w:u w:val="none"/>
          <w:lang w:val="en-US" w:eastAsia="zh-CN" w:bidi="ar-SA"/>
        </w:rPr>
        <w:t>2030年，单位地区生产总值二氧化碳排放降低</w:t>
      </w:r>
      <w:r>
        <w:rPr>
          <w:rFonts w:hint="eastAsia" w:cs="仿宋_GB2312"/>
          <w:b w:val="0"/>
          <w:bCs w:val="0"/>
          <w:color w:val="auto"/>
          <w:kern w:val="2"/>
          <w:sz w:val="32"/>
          <w:szCs w:val="22"/>
          <w:highlight w:val="none"/>
          <w:u w:val="none"/>
          <w:lang w:val="en-US" w:eastAsia="zh-CN" w:bidi="ar-SA"/>
        </w:rPr>
        <w:t>和煤炭消费总量完成省定目标。</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2"/>
          <w:sz w:val="32"/>
          <w:szCs w:val="22"/>
          <w:highlight w:val="none"/>
          <w:u w:val="none"/>
          <w:lang w:val="en-US" w:eastAsia="zh-CN" w:bidi="ar-SA"/>
        </w:rPr>
      </w:pPr>
      <w:r>
        <w:rPr>
          <w:rFonts w:hint="eastAsia" w:ascii="仿宋_GB2312" w:hAnsi="仿宋_GB2312" w:eastAsia="仿宋_GB2312" w:cs="仿宋_GB2312"/>
          <w:color w:val="auto"/>
          <w:highlight w:val="none"/>
          <w:lang w:val="en-US" w:eastAsia="zh-CN"/>
        </w:rPr>
        <w:t>大力发展非化石能源。</w:t>
      </w:r>
      <w:r>
        <w:rPr>
          <w:rFonts w:hint="eastAsia" w:ascii="仿宋_GB2312" w:hAnsi="仿宋_GB2312" w:eastAsia="仿宋_GB2312" w:cs="仿宋_GB2312"/>
          <w:b w:val="0"/>
          <w:bCs w:val="0"/>
          <w:color w:val="auto"/>
          <w:kern w:val="2"/>
          <w:sz w:val="32"/>
          <w:szCs w:val="22"/>
          <w:highlight w:val="none"/>
          <w:u w:val="none"/>
          <w:lang w:val="en-US" w:eastAsia="zh-CN" w:bidi="ar-SA"/>
        </w:rPr>
        <w:t>提升海洋能源在能源结构中的比重，</w:t>
      </w:r>
      <w:r>
        <w:rPr>
          <w:rFonts w:hint="eastAsia" w:ascii="仿宋_GB2312" w:hAnsi="仿宋_GB2312" w:eastAsia="仿宋_GB2312" w:cs="仿宋_GB2312"/>
          <w:color w:val="auto"/>
          <w:highlight w:val="none"/>
          <w:lang w:val="en-US" w:eastAsia="zh-CN"/>
        </w:rPr>
        <w:t>形成多能互补的新型能源体系。推动48个总规模409万千瓦陆上风电光伏和12个总规模530万千瓦海上风电光伏项目建成运营。</w:t>
      </w:r>
      <w:r>
        <w:rPr>
          <w:rFonts w:hint="eastAsia" w:cs="仿宋_GB2312"/>
          <w:color w:val="auto"/>
          <w:highlight w:val="none"/>
          <w:lang w:val="en-US" w:eastAsia="zh-CN"/>
        </w:rPr>
        <w:t>建设14个独立</w:t>
      </w:r>
      <w:r>
        <w:rPr>
          <w:rFonts w:hint="eastAsia" w:ascii="Times New Roman" w:hAnsi="Times New Roman" w:eastAsia="仿宋_GB2312" w:cs="Times New Roman"/>
          <w:b w:val="0"/>
          <w:bCs w:val="0"/>
          <w:color w:val="auto"/>
          <w:kern w:val="2"/>
          <w:sz w:val="32"/>
          <w:szCs w:val="22"/>
          <w:highlight w:val="none"/>
          <w:u w:val="none"/>
          <w:lang w:val="en-US" w:eastAsia="zh-CN" w:bidi="ar-SA"/>
        </w:rPr>
        <w:t>储能</w:t>
      </w:r>
      <w:r>
        <w:rPr>
          <w:rFonts w:hint="eastAsia" w:ascii="Times New Roman" w:hAnsi="Times New Roman" w:cs="Times New Roman"/>
          <w:b w:val="0"/>
          <w:bCs w:val="0"/>
          <w:color w:val="auto"/>
          <w:kern w:val="2"/>
          <w:sz w:val="32"/>
          <w:szCs w:val="22"/>
          <w:highlight w:val="none"/>
          <w:u w:val="none"/>
          <w:lang w:val="en-US" w:eastAsia="zh-CN" w:bidi="ar-SA"/>
        </w:rPr>
        <w:t>试点</w:t>
      </w:r>
      <w:r>
        <w:rPr>
          <w:rFonts w:hint="eastAsia" w:ascii="Times New Roman" w:hAnsi="Times New Roman" w:eastAsia="仿宋_GB2312" w:cs="Times New Roman"/>
          <w:b w:val="0"/>
          <w:bCs w:val="0"/>
          <w:color w:val="auto"/>
          <w:kern w:val="2"/>
          <w:sz w:val="32"/>
          <w:szCs w:val="22"/>
          <w:highlight w:val="none"/>
          <w:u w:val="none"/>
          <w:lang w:val="en-US" w:eastAsia="zh-CN" w:bidi="ar-SA"/>
        </w:rPr>
        <w:t>项目</w:t>
      </w:r>
      <w:r>
        <w:rPr>
          <w:rFonts w:hint="eastAsia" w:ascii="Times New Roman" w:hAnsi="Times New Roman" w:cs="Times New Roman"/>
          <w:b w:val="0"/>
          <w:bCs w:val="0"/>
          <w:color w:val="auto"/>
          <w:kern w:val="2"/>
          <w:sz w:val="32"/>
          <w:szCs w:val="22"/>
          <w:highlight w:val="none"/>
          <w:u w:val="none"/>
          <w:lang w:val="en-US" w:eastAsia="zh-CN" w:bidi="ar-SA"/>
        </w:rPr>
        <w:t>。推动氢能产业园建设，开展中氢科技氢燃料电池及核心零部件等项目建设，推进氢能“制、储、运、研、用”全链条产业。促进非化石能源消费，</w:t>
      </w:r>
      <w:r>
        <w:rPr>
          <w:rFonts w:hint="eastAsia" w:ascii="仿宋_GB2312" w:hAnsi="仿宋_GB2312" w:eastAsia="仿宋_GB2312" w:cs="仿宋_GB2312"/>
          <w:b w:val="0"/>
          <w:bCs w:val="0"/>
          <w:color w:val="auto"/>
          <w:kern w:val="2"/>
          <w:sz w:val="32"/>
          <w:szCs w:val="22"/>
          <w:highlight w:val="none"/>
          <w:u w:val="none"/>
          <w:lang w:val="en-US" w:eastAsia="zh-CN" w:bidi="ar-SA"/>
        </w:rPr>
        <w:t>到20</w:t>
      </w:r>
      <w:r>
        <w:rPr>
          <w:rFonts w:hint="eastAsia" w:cs="仿宋_GB2312"/>
          <w:b w:val="0"/>
          <w:bCs w:val="0"/>
          <w:color w:val="auto"/>
          <w:kern w:val="2"/>
          <w:sz w:val="32"/>
          <w:szCs w:val="22"/>
          <w:highlight w:val="none"/>
          <w:u w:val="none"/>
          <w:lang w:val="en-US" w:eastAsia="zh-CN" w:bidi="ar-SA"/>
        </w:rPr>
        <w:t>27</w:t>
      </w:r>
      <w:r>
        <w:rPr>
          <w:rFonts w:hint="eastAsia" w:ascii="仿宋_GB2312" w:hAnsi="仿宋_GB2312" w:eastAsia="仿宋_GB2312" w:cs="仿宋_GB2312"/>
          <w:b w:val="0"/>
          <w:bCs w:val="0"/>
          <w:color w:val="auto"/>
          <w:kern w:val="2"/>
          <w:sz w:val="32"/>
          <w:szCs w:val="22"/>
          <w:highlight w:val="none"/>
          <w:u w:val="none"/>
          <w:lang w:val="en-US" w:eastAsia="zh-CN" w:bidi="ar-SA"/>
        </w:rPr>
        <w:t>年，</w:t>
      </w:r>
      <w:r>
        <w:rPr>
          <w:rFonts w:hint="eastAsia" w:ascii="Times New Roman" w:hAnsi="Times New Roman" w:eastAsia="仿宋_GB2312" w:cs="Times New Roman"/>
          <w:b w:val="0"/>
          <w:bCs w:val="0"/>
          <w:color w:val="auto"/>
          <w:kern w:val="2"/>
          <w:sz w:val="32"/>
          <w:szCs w:val="22"/>
          <w:highlight w:val="none"/>
          <w:u w:val="none"/>
          <w:lang w:val="en-US" w:eastAsia="zh-CN" w:bidi="ar-SA"/>
        </w:rPr>
        <w:t>非化石能源消费占</w:t>
      </w:r>
      <w:r>
        <w:rPr>
          <w:rFonts w:hint="eastAsia" w:ascii="仿宋_GB2312" w:hAnsi="仿宋_GB2312" w:eastAsia="仿宋_GB2312" w:cs="仿宋_GB2312"/>
          <w:b w:val="0"/>
          <w:bCs w:val="0"/>
          <w:color w:val="auto"/>
          <w:kern w:val="2"/>
          <w:sz w:val="32"/>
          <w:szCs w:val="22"/>
          <w:highlight w:val="none"/>
          <w:u w:val="none"/>
          <w:lang w:val="en-US" w:eastAsia="zh-CN" w:bidi="ar-SA"/>
        </w:rPr>
        <w:t>比达到1</w:t>
      </w:r>
      <w:r>
        <w:rPr>
          <w:rFonts w:hint="eastAsia" w:cs="仿宋_GB2312"/>
          <w:b w:val="0"/>
          <w:bCs w:val="0"/>
          <w:color w:val="auto"/>
          <w:kern w:val="2"/>
          <w:sz w:val="32"/>
          <w:szCs w:val="22"/>
          <w:highlight w:val="none"/>
          <w:u w:val="none"/>
          <w:lang w:val="en-US" w:eastAsia="zh-CN" w:bidi="ar-SA"/>
        </w:rPr>
        <w:t>7</w:t>
      </w:r>
      <w:r>
        <w:rPr>
          <w:rFonts w:hint="eastAsia" w:ascii="仿宋_GB2312" w:hAnsi="仿宋_GB2312" w:eastAsia="仿宋_GB2312" w:cs="仿宋_GB2312"/>
          <w:b w:val="0"/>
          <w:bCs w:val="0"/>
          <w:color w:val="auto"/>
          <w:kern w:val="2"/>
          <w:sz w:val="32"/>
          <w:szCs w:val="22"/>
          <w:highlight w:val="none"/>
          <w:u w:val="none"/>
          <w:lang w:val="en-US" w:eastAsia="zh-CN" w:bidi="ar-SA"/>
        </w:rPr>
        <w:t>%</w:t>
      </w:r>
      <w:r>
        <w:rPr>
          <w:rFonts w:hint="eastAsia" w:ascii="Times New Roman" w:hAnsi="Times New Roman" w:eastAsia="仿宋_GB2312" w:cs="Times New Roman"/>
          <w:b w:val="0"/>
          <w:bCs w:val="0"/>
          <w:color w:val="auto"/>
          <w:kern w:val="2"/>
          <w:sz w:val="32"/>
          <w:szCs w:val="22"/>
          <w:highlight w:val="none"/>
          <w:u w:val="none"/>
          <w:lang w:val="en-US" w:eastAsia="zh-CN" w:bidi="ar-SA"/>
        </w:rPr>
        <w:t>以上。</w:t>
      </w:r>
    </w:p>
    <w:p>
      <w:pPr>
        <w:keepNext w:val="0"/>
        <w:keepLines w:val="0"/>
        <w:pageBreakBefore w:val="0"/>
        <w:widowControl/>
        <w:numPr>
          <w:ilvl w:val="0"/>
          <w:numId w:val="0"/>
        </w:numPr>
        <w:kinsoku/>
        <w:wordWrap/>
        <w:overflowPunct/>
        <w:topLinePunct w:val="0"/>
        <w:autoSpaceDE/>
        <w:autoSpaceDN/>
        <w:bidi w:val="0"/>
        <w:adjustRightInd/>
        <w:snapToGrid/>
        <w:ind w:firstLine="642" w:firstLineChars="200"/>
        <w:textAlignment w:val="auto"/>
        <w:rPr>
          <w:rFonts w:hint="eastAsia" w:ascii="Times New Roman" w:hAnsi="Times New Roman" w:eastAsia="仿宋_GB2312" w:cs="Times New Roman"/>
          <w:b/>
          <w:bCs/>
          <w:color w:val="auto"/>
          <w:kern w:val="2"/>
          <w:sz w:val="32"/>
          <w:szCs w:val="22"/>
          <w:highlight w:val="none"/>
          <w:u w:val="none"/>
          <w:lang w:val="en-US" w:eastAsia="zh-CN" w:bidi="ar-SA"/>
        </w:rPr>
      </w:pPr>
      <w:r>
        <w:rPr>
          <w:rFonts w:hint="eastAsia" w:cs="仿宋_GB2312"/>
          <w:b/>
          <w:bCs/>
          <w:color w:val="auto"/>
          <w:highlight w:val="none"/>
          <w:u w:val="none"/>
          <w:lang w:val="en-US" w:eastAsia="zh-CN"/>
        </w:rPr>
        <w:t>8.</w:t>
      </w:r>
      <w:r>
        <w:rPr>
          <w:rFonts w:hint="eastAsia" w:ascii="仿宋_GB2312" w:hAnsi="仿宋_GB2312" w:eastAsia="仿宋_GB2312" w:cs="仿宋_GB2312"/>
          <w:b/>
          <w:bCs/>
          <w:color w:val="auto"/>
          <w:highlight w:val="none"/>
          <w:u w:val="none"/>
        </w:rPr>
        <w:t>发展</w:t>
      </w:r>
      <w:r>
        <w:rPr>
          <w:rFonts w:hint="eastAsia" w:ascii="Times New Roman" w:hAnsi="Times New Roman" w:cs="Times New Roman"/>
          <w:b/>
          <w:bCs/>
          <w:color w:val="auto"/>
          <w:highlight w:val="none"/>
          <w:u w:val="none"/>
        </w:rPr>
        <w:t>集约循环低碳园区</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Times New Roman"/>
          <w:color w:val="auto"/>
          <w:kern w:val="0"/>
          <w:sz w:val="32"/>
          <w:szCs w:val="32"/>
          <w:highlight w:val="none"/>
          <w:u w:val="none"/>
          <w:lang w:val="en-US" w:eastAsia="zh-CN" w:bidi="ar-SA"/>
        </w:rPr>
      </w:pPr>
      <w:r>
        <w:rPr>
          <w:rFonts w:hint="eastAsia" w:ascii="Times New Roman" w:hAnsi="Times New Roman" w:cs="Times New Roman"/>
          <w:b w:val="0"/>
          <w:bCs w:val="0"/>
          <w:color w:val="auto"/>
          <w:kern w:val="2"/>
          <w:sz w:val="32"/>
          <w:szCs w:val="22"/>
          <w:highlight w:val="none"/>
          <w:u w:val="none"/>
          <w:lang w:val="en-US" w:eastAsia="zh-CN" w:bidi="ar-SA"/>
        </w:rPr>
        <w:t>推进产业园区</w:t>
      </w:r>
      <w:r>
        <w:rPr>
          <w:rFonts w:ascii="仿宋_GB2312" w:hAnsi="宋体" w:eastAsia="仿宋_GB2312" w:cs="仿宋_GB2312"/>
          <w:color w:val="auto"/>
          <w:kern w:val="0"/>
          <w:sz w:val="31"/>
          <w:szCs w:val="31"/>
          <w:highlight w:val="none"/>
          <w:lang w:val="en-US" w:eastAsia="zh-CN" w:bidi="ar"/>
        </w:rPr>
        <w:t>低碳化、循环化、生态化、智慧化</w:t>
      </w:r>
      <w:r>
        <w:rPr>
          <w:rFonts w:hint="eastAsia" w:hAnsi="宋体" w:cs="仿宋_GB2312"/>
          <w:color w:val="auto"/>
          <w:kern w:val="0"/>
          <w:sz w:val="31"/>
          <w:szCs w:val="31"/>
          <w:highlight w:val="none"/>
          <w:lang w:val="en-US" w:eastAsia="zh-CN" w:bidi="ar"/>
        </w:rPr>
        <w:t>建设</w:t>
      </w:r>
      <w:r>
        <w:rPr>
          <w:rFonts w:hint="eastAsia" w:ascii="Times New Roman" w:hAnsi="Times New Roman" w:cs="Times New Roman"/>
          <w:b w:val="0"/>
          <w:bCs w:val="0"/>
          <w:color w:val="auto"/>
          <w:kern w:val="2"/>
          <w:sz w:val="32"/>
          <w:szCs w:val="22"/>
          <w:highlight w:val="none"/>
          <w:u w:val="none"/>
          <w:lang w:val="en-US" w:eastAsia="zh-CN" w:bidi="ar-SA"/>
        </w:rPr>
        <w:t>，</w:t>
      </w:r>
      <w:r>
        <w:rPr>
          <w:rFonts w:hint="eastAsia" w:ascii="Times New Roman" w:hAnsi="Times New Roman" w:cs="Times New Roman"/>
          <w:b w:val="0"/>
          <w:bCs w:val="0"/>
          <w:color w:val="auto"/>
          <w:highlight w:val="none"/>
          <w:u w:val="none"/>
          <w:lang w:eastAsia="zh-CN"/>
        </w:rPr>
        <w:t>实施废物综合利用、能量梯级利用、水资源循环利用</w:t>
      </w:r>
      <w:r>
        <w:rPr>
          <w:rFonts w:hint="eastAsia" w:cs="Times New Roman"/>
          <w:b w:val="0"/>
          <w:bCs w:val="0"/>
          <w:color w:val="auto"/>
          <w:highlight w:val="none"/>
          <w:u w:val="none"/>
          <w:lang w:eastAsia="zh-CN"/>
        </w:rPr>
        <w:t>，</w:t>
      </w:r>
      <w:r>
        <w:rPr>
          <w:rFonts w:hint="eastAsia" w:ascii="Times New Roman" w:hAnsi="Times New Roman" w:cs="Times New Roman"/>
          <w:b w:val="0"/>
          <w:bCs w:val="0"/>
          <w:color w:val="auto"/>
          <w:highlight w:val="none"/>
          <w:u w:val="none"/>
          <w:lang w:val="en-US" w:eastAsia="zh-CN"/>
        </w:rPr>
        <w:t>推进</w:t>
      </w:r>
      <w:r>
        <w:rPr>
          <w:rFonts w:hint="eastAsia" w:ascii="Times New Roman" w:hAnsi="Times New Roman" w:cs="Times New Roman"/>
          <w:b w:val="0"/>
          <w:bCs w:val="0"/>
          <w:color w:val="auto"/>
          <w:highlight w:val="none"/>
          <w:u w:val="none"/>
          <w:lang w:eastAsia="zh-CN"/>
        </w:rPr>
        <w:t>省级以上</w:t>
      </w:r>
      <w:r>
        <w:rPr>
          <w:rFonts w:hint="eastAsia" w:cs="Times New Roman"/>
          <w:b w:val="0"/>
          <w:bCs w:val="0"/>
          <w:color w:val="auto"/>
          <w:highlight w:val="none"/>
          <w:u w:val="none"/>
          <w:lang w:val="en-US" w:eastAsia="zh-CN"/>
        </w:rPr>
        <w:t>重点产业</w:t>
      </w:r>
      <w:r>
        <w:rPr>
          <w:rFonts w:hint="eastAsia" w:ascii="Times New Roman" w:hAnsi="Times New Roman" w:cs="Times New Roman"/>
          <w:b w:val="0"/>
          <w:bCs w:val="0"/>
          <w:color w:val="auto"/>
          <w:highlight w:val="none"/>
          <w:u w:val="none"/>
          <w:lang w:eastAsia="zh-CN"/>
        </w:rPr>
        <w:t>园区</w:t>
      </w:r>
      <w:r>
        <w:rPr>
          <w:rFonts w:hint="eastAsia" w:cs="Times New Roman"/>
          <w:b w:val="0"/>
          <w:bCs w:val="0"/>
          <w:color w:val="auto"/>
          <w:highlight w:val="none"/>
          <w:u w:val="none"/>
          <w:lang w:val="en-US" w:eastAsia="zh-CN"/>
        </w:rPr>
        <w:t>循环化</w:t>
      </w:r>
      <w:r>
        <w:rPr>
          <w:rFonts w:hint="eastAsia" w:ascii="Times New Roman" w:hAnsi="Times New Roman" w:cs="Times New Roman"/>
          <w:b w:val="0"/>
          <w:bCs w:val="0"/>
          <w:color w:val="auto"/>
          <w:highlight w:val="none"/>
          <w:u w:val="none"/>
          <w:lang w:eastAsia="zh-CN"/>
        </w:rPr>
        <w:t>低碳化零碳化改造</w:t>
      </w:r>
      <w:r>
        <w:rPr>
          <w:rFonts w:hint="eastAsia" w:ascii="Times New Roman" w:hAnsi="Times New Roman" w:cs="Times New Roman"/>
          <w:b w:val="0"/>
          <w:bCs w:val="0"/>
          <w:color w:val="auto"/>
          <w:highlight w:val="none"/>
          <w:u w:val="none"/>
          <w:lang w:val="en-US" w:eastAsia="zh-CN"/>
        </w:rPr>
        <w:t>。</w:t>
      </w:r>
      <w:r>
        <w:rPr>
          <w:rFonts w:hint="eastAsia" w:cs="仿宋_GB2312"/>
          <w:color w:val="auto"/>
          <w:sz w:val="32"/>
          <w:szCs w:val="32"/>
          <w:highlight w:val="none"/>
          <w:u w:val="none"/>
          <w:lang w:val="en-US" w:eastAsia="zh-CN"/>
        </w:rPr>
        <w:t>开展</w:t>
      </w:r>
      <w:r>
        <w:rPr>
          <w:rFonts w:hint="eastAsia" w:ascii="仿宋_GB2312" w:hAnsi="仿宋_GB2312" w:eastAsia="仿宋_GB2312" w:cs="仿宋_GB2312"/>
          <w:color w:val="auto"/>
          <w:sz w:val="32"/>
          <w:szCs w:val="32"/>
          <w:highlight w:val="none"/>
          <w:u w:val="none"/>
        </w:rPr>
        <w:t>零碳园区、</w:t>
      </w:r>
      <w:r>
        <w:rPr>
          <w:rFonts w:hint="eastAsia" w:cs="仿宋_GB2312"/>
          <w:color w:val="auto"/>
          <w:sz w:val="32"/>
          <w:szCs w:val="32"/>
          <w:highlight w:val="none"/>
          <w:u w:val="none"/>
          <w:lang w:val="en-US" w:eastAsia="zh-CN"/>
        </w:rPr>
        <w:t>共享工厂</w:t>
      </w:r>
      <w:r>
        <w:rPr>
          <w:rFonts w:hint="eastAsia" w:ascii="仿宋_GB2312" w:hAnsi="仿宋_GB2312" w:eastAsia="仿宋_GB2312" w:cs="仿宋_GB2312"/>
          <w:color w:val="auto"/>
          <w:sz w:val="32"/>
          <w:szCs w:val="32"/>
          <w:highlight w:val="none"/>
          <w:u w:val="none"/>
        </w:rPr>
        <w:t>示范创建。</w:t>
      </w:r>
      <w:r>
        <w:rPr>
          <w:rFonts w:hint="eastAsia" w:ascii="仿宋_GB2312" w:hAnsi="仿宋_GB2312" w:eastAsia="仿宋_GB2312" w:cs="仿宋_GB2312"/>
          <w:i w:val="0"/>
          <w:iCs w:val="0"/>
          <w:caps w:val="0"/>
          <w:color w:val="auto"/>
          <w:spacing w:val="0"/>
          <w:kern w:val="2"/>
          <w:sz w:val="32"/>
          <w:szCs w:val="32"/>
          <w:highlight w:val="none"/>
          <w:u w:val="none"/>
          <w:shd w:val="clear" w:fill="auto"/>
        </w:rPr>
        <w:t>发展以绿色能源制造绿色产品的“以绿制绿”模式</w:t>
      </w:r>
      <w:r>
        <w:rPr>
          <w:rFonts w:hint="eastAsia" w:ascii="仿宋_GB2312" w:hAnsi="仿宋_GB2312" w:eastAsia="仿宋_GB2312" w:cs="仿宋_GB2312"/>
          <w:i w:val="0"/>
          <w:iCs w:val="0"/>
          <w:caps w:val="0"/>
          <w:color w:val="auto"/>
          <w:spacing w:val="0"/>
          <w:kern w:val="2"/>
          <w:sz w:val="32"/>
          <w:szCs w:val="32"/>
          <w:highlight w:val="none"/>
          <w:u w:val="none"/>
          <w:shd w:val="clear" w:fill="auto"/>
          <w:lang w:eastAsia="zh"/>
        </w:rPr>
        <w:t>，</w:t>
      </w:r>
      <w:r>
        <w:rPr>
          <w:rFonts w:hint="eastAsia" w:ascii="仿宋_GB2312" w:hAnsi="仿宋_GB2312" w:eastAsia="仿宋_GB2312" w:cs="仿宋_GB2312"/>
          <w:color w:val="auto"/>
          <w:sz w:val="32"/>
          <w:szCs w:val="32"/>
          <w:highlight w:val="none"/>
          <w:u w:val="none"/>
        </w:rPr>
        <w:t>推</w:t>
      </w:r>
      <w:r>
        <w:rPr>
          <w:rFonts w:hint="eastAsia" w:cs="仿宋_GB2312"/>
          <w:color w:val="auto"/>
          <w:sz w:val="32"/>
          <w:szCs w:val="32"/>
          <w:highlight w:val="none"/>
          <w:u w:val="none"/>
          <w:lang w:val="en-US" w:eastAsia="zh-CN"/>
        </w:rPr>
        <w:t>动</w:t>
      </w:r>
      <w:r>
        <w:rPr>
          <w:rFonts w:hint="eastAsia" w:ascii="仿宋_GB2312" w:hAnsi="仿宋_GB2312" w:eastAsia="仿宋_GB2312" w:cs="仿宋_GB2312"/>
          <w:color w:val="auto"/>
          <w:sz w:val="32"/>
          <w:szCs w:val="32"/>
          <w:highlight w:val="none"/>
          <w:u w:val="none"/>
        </w:rPr>
        <w:t>秦皇岛经济技术开发区建设零碳园区</w:t>
      </w:r>
      <w:r>
        <w:rPr>
          <w:rFonts w:hint="eastAsia" w:cs="仿宋_GB2312"/>
          <w:color w:val="auto"/>
          <w:sz w:val="32"/>
          <w:szCs w:val="32"/>
          <w:highlight w:val="none"/>
          <w:u w:val="none"/>
          <w:lang w:eastAsia="zh"/>
        </w:rPr>
        <w:t>。</w:t>
      </w:r>
      <w:r>
        <w:rPr>
          <w:rFonts w:hint="default"/>
          <w:color w:val="auto"/>
          <w:highlight w:val="none"/>
          <w:lang w:val="en-US" w:eastAsia="zh-CN"/>
        </w:rPr>
        <w:t>推动</w:t>
      </w:r>
      <w:r>
        <w:rPr>
          <w:rFonts w:hint="eastAsia"/>
          <w:color w:val="auto"/>
          <w:highlight w:val="none"/>
          <w:lang w:val="en-US" w:eastAsia="zh-CN"/>
        </w:rPr>
        <w:t>重点</w:t>
      </w:r>
      <w:r>
        <w:rPr>
          <w:rFonts w:hint="default"/>
          <w:color w:val="auto"/>
          <w:highlight w:val="none"/>
          <w:lang w:val="en-US" w:eastAsia="zh-CN"/>
        </w:rPr>
        <w:t>企业建立碳排放双控管理制度，</w:t>
      </w:r>
      <w:r>
        <w:rPr>
          <w:rFonts w:hint="default"/>
          <w:color w:val="auto"/>
          <w:highlight w:val="none"/>
          <w:lang w:eastAsia="zh-CN"/>
        </w:rPr>
        <w:t>实施绿色低碳改造</w:t>
      </w:r>
      <w:r>
        <w:rPr>
          <w:rFonts w:hint="eastAsia" w:cs="仿宋_GB2312"/>
          <w:color w:val="auto"/>
          <w:sz w:val="32"/>
          <w:szCs w:val="32"/>
          <w:highlight w:val="none"/>
          <w:u w:val="none"/>
          <w:lang w:eastAsia="zh-CN"/>
        </w:rPr>
        <w:t>。</w:t>
      </w:r>
      <w:r>
        <w:rPr>
          <w:rFonts w:hint="eastAsia"/>
          <w:color w:val="auto"/>
          <w:highlight w:val="none"/>
          <w:lang w:val="en-US" w:eastAsia="zh-CN"/>
        </w:rPr>
        <w:t>到2027年，建设</w:t>
      </w:r>
      <w:r>
        <w:rPr>
          <w:rFonts w:hint="eastAsia" w:ascii="仿宋_GB2312" w:hAnsi="仿宋_GB2312" w:eastAsia="仿宋_GB2312" w:cs="仿宋_GB2312"/>
          <w:color w:val="auto"/>
          <w:sz w:val="32"/>
          <w:szCs w:val="32"/>
          <w:highlight w:val="none"/>
          <w:u w:val="none"/>
        </w:rPr>
        <w:t>零碳园区</w:t>
      </w:r>
      <w:r>
        <w:rPr>
          <w:rFonts w:hint="eastAsia" w:cs="仿宋_GB2312"/>
          <w:color w:val="auto"/>
          <w:sz w:val="32"/>
          <w:szCs w:val="32"/>
          <w:highlight w:val="none"/>
          <w:u w:val="none"/>
          <w:lang w:val="en-US" w:eastAsia="zh-CN"/>
        </w:rPr>
        <w:t>1个，</w:t>
      </w:r>
      <w:r>
        <w:rPr>
          <w:rFonts w:hint="eastAsia"/>
          <w:color w:val="auto"/>
          <w:highlight w:val="none"/>
          <w:lang w:val="en-US" w:eastAsia="zh-CN"/>
        </w:rPr>
        <w:t>新增国家级绿色工厂5家、省级绿色工厂10家、市级绿色工厂30家，</w:t>
      </w:r>
      <w:r>
        <w:rPr>
          <w:rFonts w:hint="eastAsia" w:cs="仿宋_GB2312"/>
          <w:color w:val="auto"/>
          <w:sz w:val="32"/>
          <w:szCs w:val="32"/>
          <w:highlight w:val="none"/>
          <w:u w:val="none"/>
          <w:lang w:val="en-US" w:eastAsia="zh-CN"/>
        </w:rPr>
        <w:t>新增共享工厂2家</w:t>
      </w:r>
      <w:r>
        <w:rPr>
          <w:rFonts w:hint="eastAsia"/>
          <w:color w:val="auto"/>
          <w:highlight w:val="none"/>
          <w:lang w:val="en-US" w:eastAsia="zh-CN"/>
        </w:rPr>
        <w:t>。</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9.完善</w:t>
      </w:r>
      <w:r>
        <w:rPr>
          <w:rFonts w:hint="eastAsia"/>
          <w:b/>
          <w:bCs/>
          <w:color w:val="auto"/>
          <w:highlight w:val="none"/>
        </w:rPr>
        <w:t>集约低碳绿色交通</w:t>
      </w:r>
      <w:r>
        <w:rPr>
          <w:rFonts w:hint="eastAsia"/>
          <w:b/>
          <w:bCs/>
          <w:color w:val="auto"/>
          <w:highlight w:val="none"/>
          <w:lang w:val="en-US" w:eastAsia="zh-CN"/>
        </w:rPr>
        <w:t>体系</w:t>
      </w:r>
    </w:p>
    <w:p>
      <w:pPr>
        <w:pageBreakBefore w:val="0"/>
        <w:kinsoku/>
        <w:wordWrap/>
        <w:overflowPunct/>
        <w:topLinePunct w:val="0"/>
        <w:autoSpaceDN/>
        <w:bidi w:val="0"/>
        <w:adjustRightInd/>
        <w:rPr>
          <w:rFonts w:hint="eastAsia" w:eastAsia="仿宋_GB2312"/>
          <w:color w:val="auto"/>
          <w:highlight w:val="none"/>
          <w:lang w:eastAsia="zh-CN"/>
        </w:rPr>
      </w:pPr>
      <w:r>
        <w:rPr>
          <w:rFonts w:hint="eastAsia"/>
          <w:color w:val="auto"/>
          <w:highlight w:val="none"/>
          <w:lang w:val="en-US" w:eastAsia="zh-CN"/>
        </w:rPr>
        <w:t>推动大宗货物“公转铁”“公转水”，发展多式联运，建立企业、园区绿色集疏运体系，加快推进西港区东部片区改造开发和东港区码头升级改造，高标准打造知名旅游港和现代综合贸易港</w:t>
      </w:r>
      <w:r>
        <w:rPr>
          <w:rFonts w:hint="eastAsia"/>
          <w:color w:val="auto"/>
          <w:highlight w:val="none"/>
          <w:lang w:val="en-US" w:eastAsia="zh"/>
        </w:rPr>
        <w:t>。</w:t>
      </w:r>
      <w:r>
        <w:rPr>
          <w:rFonts w:hint="default"/>
          <w:color w:val="auto"/>
          <w:highlight w:val="none"/>
        </w:rPr>
        <w:t>到2027年，</w:t>
      </w:r>
      <w:r>
        <w:rPr>
          <w:rFonts w:hint="eastAsia"/>
          <w:color w:val="auto"/>
          <w:highlight w:val="none"/>
          <w:lang w:val="en-US" w:eastAsia="zh-CN"/>
        </w:rPr>
        <w:t>重点监测的货运量150万吨以上大型工矿企业清洁低碳运输比例达到80%以上，</w:t>
      </w:r>
      <w:r>
        <w:rPr>
          <w:rFonts w:hint="default"/>
          <w:color w:val="auto"/>
          <w:highlight w:val="none"/>
        </w:rPr>
        <w:t>重点行业大宗货物清洁运输比例达到</w:t>
      </w:r>
      <w:r>
        <w:rPr>
          <w:rFonts w:hint="eastAsia"/>
          <w:color w:val="auto"/>
          <w:highlight w:val="none"/>
          <w:lang w:val="en-US" w:eastAsia="zh-CN"/>
        </w:rPr>
        <w:t>9</w:t>
      </w:r>
      <w:r>
        <w:rPr>
          <w:rFonts w:hint="default"/>
          <w:color w:val="auto"/>
          <w:highlight w:val="none"/>
        </w:rPr>
        <w:t>0%以上，煤炭集疏港清洁运输比例保持100%</w:t>
      </w:r>
      <w:r>
        <w:rPr>
          <w:rFonts w:hint="eastAsia"/>
          <w:color w:val="auto"/>
          <w:highlight w:val="none"/>
          <w:lang w:val="en-US" w:eastAsia="zh-CN"/>
        </w:rPr>
        <w:t>。</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推广运输工具低碳转型。加大城市公交车、出租车新能源车替代力度，到2027年，新增或更新公交车辆全部采用新能源，新能源公交车占比达到98%以上；新增或更新出租汽车（含网约车）中新能源车型占比不低于80%。完善城市慢行系统与绿色出行服务体系，建设滨海慢行道、滨河慢行道、城市慢行道，到2027年，城区绿色出行比例不低于70%。</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
        </w:rPr>
        <w:t>完善充电网络</w:t>
      </w:r>
      <w:r>
        <w:rPr>
          <w:rFonts w:hint="eastAsia"/>
          <w:color w:val="auto"/>
          <w:highlight w:val="none"/>
          <w:lang w:val="en-US" w:eastAsia="zh-CN"/>
        </w:rPr>
        <w:t>设施</w:t>
      </w:r>
      <w:r>
        <w:rPr>
          <w:rFonts w:hint="eastAsia"/>
          <w:color w:val="auto"/>
          <w:highlight w:val="none"/>
          <w:lang w:val="en-US" w:eastAsia="zh"/>
        </w:rPr>
        <w:t>布局</w:t>
      </w:r>
      <w:r>
        <w:rPr>
          <w:rFonts w:hint="eastAsia"/>
          <w:color w:val="auto"/>
          <w:highlight w:val="none"/>
          <w:lang w:val="en-US" w:eastAsia="zh-CN"/>
        </w:rPr>
        <w:t>，构建</w:t>
      </w:r>
      <w:r>
        <w:rPr>
          <w:rFonts w:hint="eastAsia"/>
          <w:color w:val="auto"/>
          <w:highlight w:val="none"/>
          <w:lang w:val="en-US" w:eastAsia="zh"/>
        </w:rPr>
        <w:t>城市面状、公路线状、乡村点状布局的充电网络</w:t>
      </w:r>
      <w:r>
        <w:rPr>
          <w:rFonts w:hint="eastAsia"/>
          <w:color w:val="auto"/>
          <w:highlight w:val="none"/>
          <w:lang w:val="en-US" w:eastAsia="zh-CN"/>
        </w:rPr>
        <w:t>。</w:t>
      </w:r>
      <w:r>
        <w:rPr>
          <w:rFonts w:hint="eastAsia"/>
          <w:color w:val="auto"/>
          <w:highlight w:val="none"/>
          <w:lang w:val="en-US" w:eastAsia="zh"/>
        </w:rPr>
        <w:t>到2030年</w:t>
      </w:r>
      <w:r>
        <w:rPr>
          <w:rFonts w:hint="eastAsia"/>
          <w:color w:val="auto"/>
          <w:highlight w:val="none"/>
          <w:lang w:val="en-US" w:eastAsia="zh-CN"/>
        </w:rPr>
        <w:t>底</w:t>
      </w:r>
      <w:r>
        <w:rPr>
          <w:rFonts w:hint="eastAsia"/>
          <w:color w:val="auto"/>
          <w:highlight w:val="none"/>
          <w:lang w:val="en-US" w:eastAsia="zh"/>
        </w:rPr>
        <w:t>，</w:t>
      </w:r>
      <w:r>
        <w:rPr>
          <w:rFonts w:hint="eastAsia"/>
          <w:color w:val="auto"/>
          <w:highlight w:val="none"/>
          <w:lang w:val="en-US" w:eastAsia="zh-CN"/>
        </w:rPr>
        <w:t>中心城区形成半径1.5公里充电服务圈，乡镇地区形成半径4公里充电服务圈，实现城市各类停车场充电桩全覆盖、农村地区村村全覆盖、A级以上景区全覆盖</w:t>
      </w:r>
      <w:r>
        <w:rPr>
          <w:rFonts w:hint="eastAsia"/>
          <w:color w:val="auto"/>
          <w:highlight w:val="none"/>
          <w:lang w:val="en-US" w:eastAsia="zh"/>
        </w:rPr>
        <w:t>。</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强化秦唐高速光储充一体化绿色交通示范项目示范引领效应，加快推广绿色交通建设经验。加强绿色公路基础设施建设，到2027年，高速公路、普通干线公路废旧路面材料循环利用率分别不低于95%、85%。</w:t>
      </w:r>
    </w:p>
    <w:p>
      <w:pPr>
        <w:pageBreakBefore w:val="0"/>
        <w:widowControl/>
        <w:numPr>
          <w:ilvl w:val="0"/>
          <w:numId w:val="0"/>
        </w:numPr>
        <w:kinsoku/>
        <w:wordWrap/>
        <w:overflowPunct/>
        <w:topLinePunct w:val="0"/>
        <w:autoSpaceDN/>
        <w:bidi w:val="0"/>
        <w:adjustRightInd/>
        <w:ind w:firstLine="640"/>
        <w:rPr>
          <w:rFonts w:hint="eastAsia" w:ascii="仿宋_GB2312" w:hAnsi="仿宋_GB2312" w:eastAsia="仿宋_GB2312" w:cs="仿宋_GB2312"/>
          <w:b/>
          <w:bCs/>
          <w:color w:val="auto"/>
          <w:highlight w:val="none"/>
          <w:u w:val="none"/>
          <w:lang w:val="en-US" w:eastAsia="zh-CN"/>
        </w:rPr>
      </w:pPr>
      <w:r>
        <w:rPr>
          <w:rFonts w:hint="eastAsia" w:cs="仿宋_GB2312"/>
          <w:b/>
          <w:bCs/>
          <w:color w:val="auto"/>
          <w:highlight w:val="none"/>
          <w:u w:val="none"/>
          <w:lang w:val="en-US" w:eastAsia="zh-CN"/>
        </w:rPr>
        <w:t>10</w:t>
      </w:r>
      <w:r>
        <w:rPr>
          <w:rFonts w:hint="eastAsia" w:ascii="仿宋_GB2312" w:hAnsi="仿宋_GB2312" w:eastAsia="仿宋_GB2312" w:cs="仿宋_GB2312"/>
          <w:b/>
          <w:bCs/>
          <w:color w:val="auto"/>
          <w:highlight w:val="none"/>
          <w:u w:val="none"/>
          <w:lang w:val="en-US" w:eastAsia="zh-CN"/>
        </w:rPr>
        <w:t>.推进绿色建筑高质量发展</w:t>
      </w:r>
    </w:p>
    <w:p>
      <w:pPr>
        <w:pageBreakBefore w:val="0"/>
        <w:widowControl/>
        <w:numPr>
          <w:ilvl w:val="0"/>
          <w:numId w:val="0"/>
        </w:numPr>
        <w:kinsoku/>
        <w:wordWrap/>
        <w:overflowPunct/>
        <w:topLinePunct w:val="0"/>
        <w:autoSpaceDN/>
        <w:bidi w:val="0"/>
        <w:adjustRightInd/>
        <w:ind w:firstLine="640"/>
        <w:rPr>
          <w:rFonts w:hint="default"/>
          <w:color w:val="auto"/>
          <w:highlight w:val="none"/>
          <w:lang w:val="en-US" w:eastAsia="zh-CN"/>
        </w:rPr>
      </w:pPr>
      <w:r>
        <w:rPr>
          <w:rFonts w:hint="default"/>
          <w:color w:val="auto"/>
          <w:highlight w:val="none"/>
          <w:lang w:val="en-US" w:eastAsia="zh-CN"/>
        </w:rPr>
        <w:t>有序推动安全、舒适、绿色、智慧“好房子”建设。发展装配式建筑，强化绿色设计</w:t>
      </w:r>
      <w:r>
        <w:rPr>
          <w:rFonts w:hint="eastAsia"/>
          <w:color w:val="auto"/>
          <w:highlight w:val="none"/>
          <w:lang w:val="en-US" w:eastAsia="zh-CN"/>
        </w:rPr>
        <w:t>、</w:t>
      </w:r>
      <w:r>
        <w:rPr>
          <w:rFonts w:hint="default"/>
          <w:color w:val="auto"/>
          <w:highlight w:val="none"/>
          <w:lang w:val="en-US" w:eastAsia="zh-CN"/>
        </w:rPr>
        <w:t>绿色施工管理</w:t>
      </w:r>
      <w:r>
        <w:rPr>
          <w:rFonts w:hint="eastAsia"/>
          <w:color w:val="auto"/>
          <w:highlight w:val="none"/>
          <w:lang w:val="en-US" w:eastAsia="zh-CN"/>
        </w:rPr>
        <w:t>及绿色运维</w:t>
      </w:r>
      <w:r>
        <w:rPr>
          <w:rFonts w:hint="default"/>
          <w:color w:val="auto"/>
          <w:highlight w:val="none"/>
          <w:lang w:val="en-US" w:eastAsia="zh-CN"/>
        </w:rPr>
        <w:t>。深化卢龙县</w:t>
      </w:r>
      <w:r>
        <w:rPr>
          <w:rFonts w:hint="eastAsia"/>
          <w:color w:val="auto"/>
          <w:highlight w:val="none"/>
          <w:lang w:val="en-US" w:eastAsia="zh-CN"/>
        </w:rPr>
        <w:t>省级</w:t>
      </w:r>
      <w:r>
        <w:rPr>
          <w:rFonts w:hint="default"/>
          <w:color w:val="auto"/>
          <w:highlight w:val="none"/>
          <w:lang w:val="en-US" w:eastAsia="zh-CN"/>
        </w:rPr>
        <w:t>装配式建筑</w:t>
      </w:r>
      <w:r>
        <w:rPr>
          <w:rFonts w:hint="eastAsia"/>
          <w:color w:val="auto"/>
          <w:highlight w:val="none"/>
          <w:lang w:val="en-US" w:eastAsia="zh-CN"/>
        </w:rPr>
        <w:t>示范</w:t>
      </w:r>
      <w:r>
        <w:rPr>
          <w:rFonts w:hint="default"/>
          <w:color w:val="auto"/>
          <w:highlight w:val="none"/>
          <w:lang w:val="en-US" w:eastAsia="zh-CN"/>
        </w:rPr>
        <w:t>县引领作用，开展装配式建筑</w:t>
      </w:r>
      <w:r>
        <w:rPr>
          <w:rFonts w:hint="eastAsia"/>
          <w:color w:val="auto"/>
          <w:highlight w:val="none"/>
          <w:lang w:val="en-US" w:eastAsia="zh-CN"/>
        </w:rPr>
        <w:t>部品部件生产</w:t>
      </w:r>
      <w:r>
        <w:rPr>
          <w:rFonts w:hint="default"/>
          <w:color w:val="auto"/>
          <w:highlight w:val="none"/>
          <w:lang w:val="en-US" w:eastAsia="zh-CN"/>
        </w:rPr>
        <w:t>智能化升级改造，</w:t>
      </w:r>
      <w:r>
        <w:rPr>
          <w:rFonts w:hint="eastAsia"/>
          <w:color w:val="auto"/>
          <w:highlight w:val="none"/>
          <w:lang w:val="en-US" w:eastAsia="zh-CN"/>
        </w:rPr>
        <w:t>推动</w:t>
      </w:r>
      <w:r>
        <w:rPr>
          <w:rFonts w:hint="default"/>
          <w:color w:val="auto"/>
          <w:highlight w:val="none"/>
          <w:lang w:val="en-US" w:eastAsia="zh-CN"/>
        </w:rPr>
        <w:t>装配式建筑应用</w:t>
      </w:r>
      <w:r>
        <w:rPr>
          <w:rFonts w:hint="eastAsia"/>
          <w:color w:val="auto"/>
          <w:highlight w:val="none"/>
          <w:lang w:val="en-US" w:eastAsia="zh-CN"/>
        </w:rPr>
        <w:t>。推进超低能耗和被动式建筑建设，</w:t>
      </w:r>
      <w:r>
        <w:rPr>
          <w:rFonts w:hint="default"/>
          <w:color w:val="auto"/>
          <w:highlight w:val="none"/>
          <w:lang w:val="en-US" w:eastAsia="zh-CN"/>
        </w:rPr>
        <w:t>城镇民用建筑推行超低能耗建筑标准</w:t>
      </w:r>
      <w:r>
        <w:rPr>
          <w:rFonts w:hint="eastAsia"/>
          <w:color w:val="auto"/>
          <w:highlight w:val="none"/>
          <w:lang w:val="en-US" w:eastAsia="zh-CN"/>
        </w:rPr>
        <w:t>，</w:t>
      </w:r>
      <w:r>
        <w:rPr>
          <w:rFonts w:hint="default"/>
          <w:color w:val="auto"/>
          <w:highlight w:val="none"/>
          <w:lang w:val="en-US" w:eastAsia="zh-CN"/>
        </w:rPr>
        <w:t>鼓励可再生能源与绿色建筑融合应用。新建民用建筑全面执行绿色建筑标准，到2027年，新建星级绿色建筑占比</w:t>
      </w:r>
      <w:r>
        <w:rPr>
          <w:rFonts w:hint="eastAsia"/>
          <w:color w:val="auto"/>
          <w:highlight w:val="none"/>
          <w:lang w:val="en-US" w:eastAsia="zh-CN"/>
        </w:rPr>
        <w:t>不低于70%</w:t>
      </w:r>
      <w:r>
        <w:rPr>
          <w:rFonts w:hint="default"/>
          <w:color w:val="auto"/>
          <w:highlight w:val="none"/>
          <w:lang w:val="en-US" w:eastAsia="zh-CN"/>
        </w:rPr>
        <w:t>。</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11.推广绿色生活方式</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楷体_GB2312" w:cs="Times New Roman"/>
          <w:color w:val="auto"/>
          <w:kern w:val="0"/>
          <w:szCs w:val="32"/>
          <w:highlight w:val="none"/>
          <w:u w:val="none"/>
          <w:lang w:eastAsia="zh-CN"/>
        </w:rPr>
      </w:pPr>
      <w:r>
        <w:rPr>
          <w:rFonts w:hint="eastAsia"/>
          <w:lang w:val="en-US" w:eastAsia="zh-CN"/>
        </w:rPr>
        <w:t>倡导简约适度、绿色低碳、文明健康的生活方式，将绿色理念和节约要求融入市民公约、学生守则等社会规范，增强全民节约意识、环保意识、生态意识。</w:t>
      </w:r>
      <w:r>
        <w:rPr>
          <w:rFonts w:hint="default"/>
          <w:lang w:val="en-US" w:eastAsia="zh-CN"/>
        </w:rPr>
        <w:t>开展</w:t>
      </w:r>
      <w:r>
        <w:rPr>
          <w:rFonts w:hint="eastAsia"/>
          <w:lang w:val="en-US" w:eastAsia="zh-CN"/>
        </w:rPr>
        <w:t>建设</w:t>
      </w:r>
      <w:r>
        <w:rPr>
          <w:rFonts w:hint="default"/>
          <w:lang w:val="en-US" w:eastAsia="zh-CN"/>
        </w:rPr>
        <w:t>节约型机关、绿色家庭、绿色学校、绿色商场</w:t>
      </w:r>
      <w:r>
        <w:rPr>
          <w:rFonts w:hint="eastAsia"/>
          <w:lang w:val="en-US" w:eastAsia="zh-CN"/>
        </w:rPr>
        <w:t>等</w:t>
      </w:r>
      <w:r>
        <w:rPr>
          <w:rFonts w:hint="default"/>
          <w:lang w:val="en-US" w:eastAsia="zh-CN"/>
        </w:rPr>
        <w:t>主题行动</w:t>
      </w:r>
      <w:r>
        <w:rPr>
          <w:rFonts w:hint="eastAsia"/>
          <w:lang w:val="en-US" w:eastAsia="zh-CN"/>
        </w:rPr>
        <w:t>，引导公众节约用水用电，推广“光盘行动”，反对铺张浪费，引导公众优先选择公共交通、步行、自行车等绿色出行方式，抵制过度包装，减少一次性塑料制品使用，形成人人、事事、时时、处处崇尚生态文明的社会氛围。</w:t>
      </w:r>
    </w:p>
    <w:p>
      <w:pPr>
        <w:pStyle w:val="3"/>
        <w:pageBreakBefore w:val="0"/>
        <w:kinsoku/>
        <w:wordWrap/>
        <w:overflowPunct/>
        <w:topLinePunct w:val="0"/>
        <w:autoSpaceDN/>
        <w:bidi w:val="0"/>
        <w:adjustRightInd/>
        <w:rPr>
          <w:rFonts w:hint="eastAsia"/>
          <w:color w:val="auto"/>
          <w:highlight w:val="none"/>
          <w:lang w:val="en-US" w:eastAsia="zh-CN"/>
        </w:rPr>
      </w:pPr>
      <w:bookmarkStart w:id="31" w:name="_Toc6946"/>
      <w:bookmarkStart w:id="32" w:name="_Toc4471"/>
      <w:bookmarkStart w:id="33" w:name="_Toc17234"/>
      <w:r>
        <w:rPr>
          <w:rFonts w:hint="eastAsia"/>
          <w:color w:val="auto"/>
          <w:highlight w:val="none"/>
          <w:lang w:val="en-US" w:eastAsia="zh-CN"/>
        </w:rPr>
        <w:t>（三）筑牢生态屏障，打造园林式高品质</w:t>
      </w:r>
      <w:r>
        <w:rPr>
          <w:rFonts w:hint="eastAsia"/>
          <w:color w:val="auto"/>
          <w:highlight w:val="none"/>
          <w:lang w:val="en-US" w:eastAsia="zh"/>
        </w:rPr>
        <w:t>宜居</w:t>
      </w:r>
      <w:r>
        <w:rPr>
          <w:rFonts w:hint="eastAsia"/>
          <w:color w:val="auto"/>
          <w:highlight w:val="none"/>
          <w:lang w:val="en-US" w:eastAsia="zh-CN"/>
        </w:rPr>
        <w:t>之城</w:t>
      </w:r>
      <w:bookmarkEnd w:id="31"/>
      <w:bookmarkEnd w:id="32"/>
      <w:bookmarkEnd w:id="33"/>
    </w:p>
    <w:p>
      <w:pPr>
        <w:pageBreakBefore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b/>
          <w:bCs/>
          <w:color w:val="auto"/>
          <w:highlight w:val="none"/>
          <w:u w:val="none"/>
          <w:lang w:val="en-US" w:eastAsia="zh-CN"/>
        </w:rPr>
      </w:pPr>
      <w:bookmarkStart w:id="34" w:name="_Toc14254"/>
      <w:bookmarkStart w:id="35" w:name="_Toc12949"/>
      <w:r>
        <w:rPr>
          <w:rFonts w:hint="eastAsia"/>
          <w:b/>
          <w:bCs/>
          <w:color w:val="auto"/>
          <w:highlight w:val="none"/>
          <w:u w:val="none"/>
          <w:lang w:val="en-US" w:eastAsia="zh-CN"/>
        </w:rPr>
        <w:t>12.构建从山顶到海洋的生态安全格局</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b w:val="0"/>
          <w:bCs w:val="0"/>
          <w:color w:val="auto"/>
          <w:highlight w:val="none"/>
          <w:u w:val="none"/>
          <w:lang w:val="en-US" w:eastAsia="zh-CN"/>
        </w:rPr>
      </w:pPr>
      <w:r>
        <w:rPr>
          <w:rFonts w:hint="eastAsia" w:hAnsi="Times New Roman" w:cs="仿宋_GB2312"/>
          <w:b w:val="0"/>
          <w:bCs w:val="0"/>
          <w:color w:val="auto"/>
          <w:kern w:val="2"/>
          <w:sz w:val="32"/>
          <w:szCs w:val="32"/>
          <w:highlight w:val="none"/>
          <w:lang w:val="en-US" w:eastAsia="zh-CN"/>
        </w:rPr>
        <w:t>深化</w:t>
      </w:r>
      <w:r>
        <w:rPr>
          <w:rFonts w:hint="default" w:ascii="仿宋_GB2312" w:hAnsi="Times New Roman" w:eastAsia="仿宋_GB2312" w:cs="仿宋_GB2312"/>
          <w:b w:val="0"/>
          <w:bCs w:val="0"/>
          <w:color w:val="auto"/>
          <w:kern w:val="2"/>
          <w:sz w:val="32"/>
          <w:szCs w:val="32"/>
          <w:highlight w:val="none"/>
        </w:rPr>
        <w:t>生态环境分区管控体系</w:t>
      </w:r>
      <w:r>
        <w:rPr>
          <w:rFonts w:hint="eastAsia" w:hAnsi="Times New Roman" w:cs="仿宋_GB2312"/>
          <w:b w:val="0"/>
          <w:bCs w:val="0"/>
          <w:color w:val="auto"/>
          <w:kern w:val="2"/>
          <w:sz w:val="32"/>
          <w:szCs w:val="32"/>
          <w:highlight w:val="none"/>
          <w:lang w:eastAsia="zh-CN"/>
        </w:rPr>
        <w:t>，</w:t>
      </w:r>
      <w:r>
        <w:rPr>
          <w:rFonts w:hint="default" w:ascii="仿宋_GB2312" w:hAnsi="Times New Roman" w:eastAsia="仿宋_GB2312" w:cs="仿宋_GB2312"/>
          <w:b w:val="0"/>
          <w:bCs w:val="0"/>
          <w:color w:val="auto"/>
          <w:kern w:val="2"/>
          <w:sz w:val="32"/>
          <w:szCs w:val="32"/>
          <w:highlight w:val="none"/>
        </w:rPr>
        <w:t>精准编制差异化准入清单，实施</w:t>
      </w:r>
      <w:r>
        <w:rPr>
          <w:rFonts w:hint="eastAsia" w:hAnsi="Times New Roman" w:cs="仿宋_GB2312"/>
          <w:b w:val="0"/>
          <w:bCs w:val="0"/>
          <w:color w:val="auto"/>
          <w:kern w:val="2"/>
          <w:sz w:val="32"/>
          <w:szCs w:val="32"/>
          <w:highlight w:val="none"/>
          <w:lang w:eastAsia="zh-CN"/>
        </w:rPr>
        <w:t>“</w:t>
      </w:r>
      <w:r>
        <w:rPr>
          <w:rFonts w:hint="default" w:ascii="仿宋_GB2312" w:hAnsi="Times New Roman" w:eastAsia="仿宋_GB2312" w:cs="仿宋_GB2312"/>
          <w:b w:val="0"/>
          <w:bCs w:val="0"/>
          <w:color w:val="auto"/>
          <w:kern w:val="2"/>
          <w:sz w:val="32"/>
          <w:szCs w:val="32"/>
          <w:highlight w:val="none"/>
        </w:rPr>
        <w:t>一单元一策略</w:t>
      </w:r>
      <w:r>
        <w:rPr>
          <w:rFonts w:hint="eastAsia" w:hAnsi="Times New Roman" w:cs="仿宋_GB2312"/>
          <w:b w:val="0"/>
          <w:bCs w:val="0"/>
          <w:color w:val="auto"/>
          <w:kern w:val="2"/>
          <w:sz w:val="32"/>
          <w:szCs w:val="32"/>
          <w:highlight w:val="none"/>
          <w:lang w:eastAsia="zh-CN"/>
        </w:rPr>
        <w:t>”</w:t>
      </w:r>
      <w:r>
        <w:rPr>
          <w:rFonts w:hint="default" w:ascii="仿宋_GB2312" w:hAnsi="Times New Roman" w:eastAsia="仿宋_GB2312" w:cs="仿宋_GB2312"/>
          <w:b w:val="0"/>
          <w:bCs w:val="0"/>
          <w:color w:val="auto"/>
          <w:kern w:val="2"/>
          <w:sz w:val="32"/>
          <w:szCs w:val="32"/>
          <w:highlight w:val="none"/>
        </w:rPr>
        <w:t>管控要求</w:t>
      </w:r>
      <w:r>
        <w:rPr>
          <w:rFonts w:hint="eastAsia" w:ascii="仿宋_GB2312" w:hAnsi="仿宋_GB2312" w:eastAsia="仿宋_GB2312" w:cs="仿宋_GB2312"/>
          <w:b w:val="0"/>
          <w:bCs w:val="0"/>
          <w:color w:val="auto"/>
          <w:kern w:val="2"/>
          <w:sz w:val="32"/>
          <w:szCs w:val="22"/>
          <w:highlight w:val="none"/>
          <w:u w:val="none"/>
        </w:rPr>
        <w:t>。</w:t>
      </w:r>
      <w:r>
        <w:rPr>
          <w:rFonts w:hint="eastAsia"/>
          <w:b w:val="0"/>
          <w:bCs w:val="0"/>
          <w:color w:val="auto"/>
          <w:highlight w:val="none"/>
          <w:u w:val="none"/>
          <w:lang w:val="en-US" w:eastAsia="zh-CN"/>
        </w:rPr>
        <w:t>构建</w:t>
      </w:r>
      <w:r>
        <w:rPr>
          <w:rFonts w:hint="eastAsia" w:ascii="仿宋_GB2312" w:hAnsi="仿宋_GB2312"/>
          <w:b w:val="0"/>
          <w:bCs w:val="0"/>
          <w:color w:val="auto"/>
          <w:highlight w:val="none"/>
          <w:u w:val="none"/>
          <w:lang w:val="en-US" w:eastAsia="zh-CN"/>
        </w:rPr>
        <w:t>“一屏一带多廊”</w:t>
      </w:r>
      <w:r>
        <w:rPr>
          <w:rFonts w:hint="eastAsia"/>
          <w:b w:val="0"/>
          <w:bCs w:val="0"/>
          <w:color w:val="auto"/>
          <w:highlight w:val="none"/>
          <w:u w:val="none"/>
          <w:lang w:val="en-US" w:eastAsia="zh-CN"/>
        </w:rPr>
        <w:t>从山顶到海洋的生态安全格局，系统开展山水林田湖草沙一体化保护和修复。</w:t>
      </w:r>
      <w:r>
        <w:rPr>
          <w:rFonts w:hint="eastAsia" w:ascii="仿宋_GB2312" w:hAnsi="仿宋_GB2312" w:eastAsia="仿宋_GB2312" w:cs="仿宋_GB2312"/>
          <w:color w:val="auto"/>
          <w:sz w:val="32"/>
          <w:szCs w:val="22"/>
          <w:highlight w:val="none"/>
          <w:u w:val="none"/>
        </w:rPr>
        <w:t>充分发挥燕山山区生态系统功能</w:t>
      </w:r>
      <w:r>
        <w:rPr>
          <w:rFonts w:hint="eastAsia"/>
          <w:b w:val="0"/>
          <w:bCs w:val="0"/>
          <w:color w:val="auto"/>
          <w:highlight w:val="none"/>
          <w:u w:val="none"/>
          <w:lang w:val="en-US" w:eastAsia="zh-CN"/>
        </w:rPr>
        <w:t>，加强生态保育和生态修复，重点开展国土绿化、水源地保护、矿山综合治理等系统工程，推进植被修复和水土流失防治。</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构建重点水系生态廊道，以滦河-青龙河、石河、洋河、戴河、新河、饮马河、汤河等具有重要生态功能的河流为重点，构建连通山海的水系生态廊道。严格地下水开采管控，巩固地下水超采综合治理成效。实施抚宁区王汉沟项目区、卢龙县石门项目区、青龙满族自治县石城子项目区等生态清洁小流域综合治理提质增效项目，提升流域的生态功能。</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强化海岸海域生态保护带保护修复，统筹海岸线、海域、海岛开发保护。保护优质沙滩资源，以北戴河新区葡萄岛-人造河、人造河-东沙河、黄金海岸旅游区、七里海、北戴河浴场、金梦海湾浴场、天使湾岸滩等岸线为重点，推进岸线生态维护。严格执行海岸建筑退缩线管理规定，健全常态化监管体系；落实低效用海退出要求，实施海域清退整治。</w:t>
      </w:r>
      <w:r>
        <w:rPr>
          <w:rFonts w:hint="eastAsia"/>
          <w:b w:val="0"/>
          <w:bCs w:val="0"/>
          <w:color w:val="auto"/>
          <w:highlight w:val="none"/>
          <w:lang w:val="en-US" w:eastAsia="zh-CN"/>
        </w:rPr>
        <w:t>科学实施石河南岛生态系统保护与修复，有效保护海岛生境。</w:t>
      </w:r>
      <w:r>
        <w:rPr>
          <w:rFonts w:hint="eastAsia" w:ascii="仿宋_GB2312" w:hAnsi="宋体" w:eastAsia="仿宋_GB2312" w:cs="仿宋_GB2312"/>
          <w:b w:val="0"/>
          <w:bCs w:val="0"/>
          <w:color w:val="auto"/>
          <w:kern w:val="2"/>
          <w:sz w:val="32"/>
          <w:szCs w:val="32"/>
          <w:highlight w:val="none"/>
          <w:lang w:val="en-US" w:eastAsia="zh-CN"/>
        </w:rPr>
        <w:t>保护</w:t>
      </w:r>
      <w:r>
        <w:rPr>
          <w:rFonts w:hint="default" w:ascii="仿宋_GB2312" w:hAnsi="宋体" w:eastAsia="仿宋_GB2312" w:cs="仿宋_GB2312"/>
          <w:b w:val="0"/>
          <w:bCs w:val="0"/>
          <w:color w:val="auto"/>
          <w:kern w:val="2"/>
          <w:sz w:val="32"/>
          <w:szCs w:val="32"/>
          <w:highlight w:val="none"/>
          <w:lang w:val="en-US" w:eastAsia="zh-CN"/>
        </w:rPr>
        <w:t>黄金海岸翡翠岛沙山</w:t>
      </w:r>
      <w:r>
        <w:rPr>
          <w:rFonts w:hint="eastAsia" w:ascii="仿宋_GB2312" w:hAnsi="宋体" w:eastAsia="仿宋_GB2312" w:cs="仿宋_GB2312"/>
          <w:b w:val="0"/>
          <w:bCs w:val="0"/>
          <w:color w:val="auto"/>
          <w:kern w:val="2"/>
          <w:sz w:val="32"/>
          <w:szCs w:val="32"/>
          <w:highlight w:val="none"/>
          <w:lang w:val="en-US" w:eastAsia="zh-CN"/>
        </w:rPr>
        <w:t>原貌，</w:t>
      </w:r>
      <w:r>
        <w:rPr>
          <w:rFonts w:hint="default" w:ascii="仿宋_GB2312" w:hAnsi="宋体" w:eastAsia="仿宋_GB2312" w:cs="仿宋_GB2312"/>
          <w:b w:val="0"/>
          <w:bCs w:val="0"/>
          <w:color w:val="auto"/>
          <w:kern w:val="2"/>
          <w:sz w:val="32"/>
          <w:szCs w:val="32"/>
          <w:highlight w:val="none"/>
          <w:lang w:val="en-US" w:eastAsia="zh-CN"/>
        </w:rPr>
        <w:t>严禁人为破坏</w:t>
      </w:r>
      <w:r>
        <w:rPr>
          <w:rFonts w:hint="eastAsia" w:ascii="仿宋_GB2312" w:hAnsi="宋体" w:eastAsia="仿宋_GB2312" w:cs="仿宋_GB2312"/>
          <w:b w:val="0"/>
          <w:bCs w:val="0"/>
          <w:color w:val="auto"/>
          <w:kern w:val="2"/>
          <w:sz w:val="32"/>
          <w:szCs w:val="32"/>
          <w:highlight w:val="none"/>
          <w:lang w:val="en-US" w:eastAsia="zh-CN"/>
        </w:rPr>
        <w:t>。</w:t>
      </w:r>
      <w:r>
        <w:rPr>
          <w:rFonts w:hint="eastAsia"/>
          <w:b w:val="0"/>
          <w:bCs w:val="0"/>
          <w:color w:val="auto"/>
          <w:highlight w:val="none"/>
          <w:u w:val="none"/>
          <w:lang w:val="en-US" w:eastAsia="zh-CN"/>
        </w:rPr>
        <w:t>到2027年，全市生态质量指数（EQI）基本稳定</w:t>
      </w:r>
      <w:r>
        <w:rPr>
          <w:rFonts w:hint="eastAsia"/>
          <w:b w:val="0"/>
          <w:bCs w:val="0"/>
          <w:color w:val="auto"/>
          <w:highlight w:val="none"/>
          <w:u w:val="none"/>
          <w:lang w:val="en-US" w:eastAsia="zh"/>
        </w:rPr>
        <w:t>，森林覆盖率完成省下达任务</w:t>
      </w:r>
      <w:r>
        <w:rPr>
          <w:rFonts w:hint="eastAsia"/>
          <w:b w:val="0"/>
          <w:bCs w:val="0"/>
          <w:color w:val="auto"/>
          <w:highlight w:val="none"/>
          <w:u w:val="none"/>
          <w:lang w:val="en-US" w:eastAsia="zh-CN"/>
        </w:rPr>
        <w:t>，</w:t>
      </w:r>
      <w:r>
        <w:rPr>
          <w:rFonts w:hint="default" w:ascii="仿宋_GB2312" w:hAnsi="宋体" w:eastAsia="仿宋_GB2312" w:cs="仿宋_GB2312"/>
          <w:b w:val="0"/>
          <w:bCs w:val="0"/>
          <w:color w:val="auto"/>
          <w:kern w:val="2"/>
          <w:sz w:val="32"/>
          <w:szCs w:val="32"/>
          <w:highlight w:val="none"/>
        </w:rPr>
        <w:t>大陆自然岸线保有率不低于</w:t>
      </w:r>
      <w:r>
        <w:rPr>
          <w:rFonts w:hint="eastAsia" w:hAnsi="宋体" w:cs="仿宋_GB2312"/>
          <w:b w:val="0"/>
          <w:bCs w:val="0"/>
          <w:color w:val="auto"/>
          <w:kern w:val="2"/>
          <w:sz w:val="32"/>
          <w:szCs w:val="32"/>
          <w:highlight w:val="none"/>
          <w:lang w:val="en-US" w:eastAsia="zh-CN"/>
        </w:rPr>
        <w:t>49.05</w:t>
      </w:r>
      <w:r>
        <w:rPr>
          <w:rFonts w:hint="default"/>
          <w:b w:val="0"/>
          <w:bCs w:val="0"/>
          <w:color w:val="auto"/>
          <w:highlight w:val="none"/>
          <w:lang w:val="en-US" w:eastAsia="zh-CN"/>
        </w:rPr>
        <w:t>%</w:t>
      </w:r>
      <w:r>
        <w:rPr>
          <w:rFonts w:hint="eastAsia"/>
          <w:b w:val="0"/>
          <w:bCs w:val="0"/>
          <w:color w:val="auto"/>
          <w:highlight w:val="none"/>
          <w:lang w:val="en-US" w:eastAsia="zh-CN"/>
        </w:rPr>
        <w:t>，生态保护红线面积不低于1998.65平方千米</w:t>
      </w:r>
      <w:r>
        <w:rPr>
          <w:rFonts w:hint="eastAsia"/>
          <w:b w:val="0"/>
          <w:bCs w:val="0"/>
          <w:color w:val="auto"/>
          <w:highlight w:val="none"/>
          <w:u w:val="none"/>
          <w:lang w:val="en-US" w:eastAsia="zh-CN"/>
        </w:rPr>
        <w:t>。</w:t>
      </w:r>
    </w:p>
    <w:p>
      <w:pPr>
        <w:pageBreakBefore w:val="0"/>
        <w:kinsoku/>
        <w:wordWrap/>
        <w:overflowPunct/>
        <w:topLinePunct w:val="0"/>
        <w:autoSpaceDE/>
        <w:autoSpaceDN/>
        <w:bidi w:val="0"/>
        <w:adjustRightInd/>
        <w:snapToGrid/>
        <w:spacing w:line="560" w:lineRule="exact"/>
        <w:ind w:left="0" w:leftChars="0" w:firstLine="642" w:firstLineChars="200"/>
        <w:textAlignment w:val="auto"/>
        <w:rPr>
          <w:rFonts w:hint="eastAsia"/>
          <w:b/>
          <w:bCs/>
          <w:color w:val="auto"/>
          <w:highlight w:val="none"/>
          <w:u w:val="none"/>
          <w:lang w:val="en-US" w:eastAsia="zh-CN"/>
        </w:rPr>
      </w:pPr>
      <w:r>
        <w:rPr>
          <w:rFonts w:hint="eastAsia"/>
          <w:b/>
          <w:bCs/>
          <w:color w:val="auto"/>
          <w:highlight w:val="none"/>
          <w:u w:val="none"/>
          <w:lang w:val="en-US" w:eastAsia="zh-CN"/>
        </w:rPr>
        <w:t>13.加强城市生物多样性保护</w:t>
      </w:r>
    </w:p>
    <w:p>
      <w:pPr>
        <w:pageBreakBefore w:val="0"/>
        <w:kinsoku/>
        <w:wordWrap/>
        <w:overflowPunct/>
        <w:topLinePunct w:val="0"/>
        <w:autoSpaceDN/>
        <w:bidi w:val="0"/>
        <w:adjustRightInd/>
        <w:rPr>
          <w:rFonts w:hint="eastAsia"/>
          <w:color w:val="auto"/>
          <w:highlight w:val="none"/>
        </w:rPr>
      </w:pPr>
      <w:r>
        <w:rPr>
          <w:rFonts w:hint="eastAsia"/>
          <w:b w:val="0"/>
          <w:bCs w:val="0"/>
          <w:color w:val="auto"/>
          <w:highlight w:val="none"/>
          <w:lang w:val="en-US" w:eastAsia="zh-CN"/>
        </w:rPr>
        <w:t>开展古树名木资源普查，更新信息库，动态监测生长状况。</w:t>
      </w:r>
      <w:r>
        <w:rPr>
          <w:rFonts w:hint="eastAsia" w:ascii="仿宋_GB2312" w:hAnsi="仿宋_GB2312" w:eastAsia="仿宋_GB2312" w:cs="仿宋_GB2312"/>
          <w:color w:val="auto"/>
          <w:highlight w:val="none"/>
          <w:u w:val="none"/>
          <w:lang w:val="en-US" w:eastAsia="zh-CN"/>
        </w:rPr>
        <w:t>加强河北昌黎黄金海岸国家级自然保护区</w:t>
      </w:r>
      <w:r>
        <w:rPr>
          <w:rFonts w:hint="eastAsia" w:cs="仿宋_GB2312"/>
          <w:color w:val="auto"/>
          <w:highlight w:val="none"/>
          <w:u w:val="none"/>
          <w:lang w:val="en-US" w:eastAsia="zh-CN"/>
        </w:rPr>
        <w:t>，特别是</w:t>
      </w:r>
      <w:r>
        <w:rPr>
          <w:rFonts w:hint="eastAsia" w:ascii="仿宋_GB2312" w:hAnsi="仿宋_GB2312" w:eastAsia="仿宋_GB2312" w:cs="仿宋_GB2312"/>
          <w:color w:val="auto"/>
          <w:highlight w:val="none"/>
          <w:u w:val="none"/>
          <w:lang w:val="en-US" w:eastAsia="zh-CN"/>
        </w:rPr>
        <w:t>七里海潟湖湿地等</w:t>
      </w:r>
      <w:r>
        <w:rPr>
          <w:rFonts w:hint="eastAsia" w:cs="仿宋_GB2312"/>
          <w:color w:val="auto"/>
          <w:highlight w:val="none"/>
          <w:u w:val="none"/>
          <w:lang w:val="en-US" w:eastAsia="zh-CN"/>
        </w:rPr>
        <w:t>重点</w:t>
      </w:r>
      <w:r>
        <w:rPr>
          <w:rFonts w:hint="eastAsia" w:ascii="仿宋_GB2312" w:hAnsi="仿宋_GB2312" w:eastAsia="仿宋_GB2312" w:cs="仿宋_GB2312"/>
          <w:color w:val="auto"/>
          <w:highlight w:val="none"/>
          <w:u w:val="none"/>
          <w:lang w:val="en-US" w:eastAsia="zh-CN"/>
        </w:rPr>
        <w:t>物种监测地保护</w:t>
      </w:r>
      <w:r>
        <w:rPr>
          <w:rFonts w:hint="eastAsia" w:cs="仿宋_GB2312"/>
          <w:color w:val="auto"/>
          <w:highlight w:val="none"/>
          <w:u w:val="none"/>
          <w:lang w:val="en-US" w:eastAsia="zh-CN"/>
        </w:rPr>
        <w:t>。</w:t>
      </w:r>
      <w:r>
        <w:rPr>
          <w:rFonts w:hint="eastAsia" w:ascii="仿宋_GB2312" w:hAnsi="仿宋_GB2312" w:eastAsia="仿宋_GB2312" w:cs="仿宋_GB2312"/>
          <w:color w:val="auto"/>
          <w:highlight w:val="none"/>
          <w:u w:val="none"/>
          <w:lang w:val="en-US" w:eastAsia="zh-CN"/>
        </w:rPr>
        <w:t>开展国家一</w:t>
      </w:r>
      <w:r>
        <w:rPr>
          <w:rFonts w:hint="eastAsia" w:cs="仿宋_GB2312"/>
          <w:color w:val="auto"/>
          <w:highlight w:val="none"/>
          <w:u w:val="none"/>
          <w:lang w:val="en-US" w:eastAsia="zh-CN"/>
        </w:rPr>
        <w:t>、</w:t>
      </w:r>
      <w:r>
        <w:rPr>
          <w:rFonts w:hint="eastAsia" w:ascii="仿宋_GB2312" w:hAnsi="仿宋_GB2312" w:eastAsia="仿宋_GB2312" w:cs="仿宋_GB2312"/>
          <w:color w:val="auto"/>
          <w:highlight w:val="none"/>
          <w:u w:val="none"/>
          <w:lang w:val="en-US" w:eastAsia="zh-CN"/>
        </w:rPr>
        <w:t>二级保护鸟类监测，</w:t>
      </w:r>
      <w:r>
        <w:rPr>
          <w:rFonts w:hint="eastAsia"/>
          <w:color w:val="auto"/>
          <w:highlight w:val="none"/>
          <w:u w:val="none"/>
          <w:lang w:val="en-US" w:eastAsia="zh-CN"/>
        </w:rPr>
        <w:t>配合上级</w:t>
      </w:r>
      <w:r>
        <w:rPr>
          <w:rFonts w:hint="eastAsia" w:ascii="仿宋_GB2312" w:hAnsi="仿宋_GB2312" w:eastAsia="仿宋_GB2312" w:cs="仿宋_GB2312"/>
          <w:color w:val="auto"/>
          <w:highlight w:val="none"/>
          <w:u w:val="none"/>
          <w:lang w:val="en-US" w:eastAsia="zh-CN"/>
        </w:rPr>
        <w:t>建立健全海洋生物生态监测评估网络体系</w:t>
      </w:r>
      <w:r>
        <w:rPr>
          <w:rFonts w:hint="eastAsia"/>
          <w:b w:val="0"/>
          <w:bCs w:val="0"/>
          <w:color w:val="auto"/>
          <w:highlight w:val="none"/>
          <w:lang w:val="en-US" w:eastAsia="zh-CN"/>
        </w:rPr>
        <w:t>。</w:t>
      </w:r>
      <w:r>
        <w:rPr>
          <w:rFonts w:hint="eastAsia"/>
          <w:color w:val="auto"/>
          <w:highlight w:val="none"/>
        </w:rPr>
        <w:t>加强国家重点保护和珍稀濒危野生动植物及其栖息地、原生境的保护修复，连通重要物种迁徙扩散生态廊道。保护</w:t>
      </w:r>
      <w:r>
        <w:rPr>
          <w:rFonts w:hint="eastAsia"/>
          <w:color w:val="auto"/>
          <w:highlight w:val="none"/>
          <w:lang w:val="en-US" w:eastAsia="zh-CN"/>
        </w:rPr>
        <w:t>东亚—澳大利西亚候鸟等鸟类</w:t>
      </w:r>
      <w:r>
        <w:rPr>
          <w:rFonts w:hint="eastAsia"/>
          <w:color w:val="auto"/>
          <w:highlight w:val="none"/>
        </w:rPr>
        <w:t>迁飞通道关键栖息地</w:t>
      </w:r>
      <w:r>
        <w:rPr>
          <w:rFonts w:hint="eastAsia"/>
          <w:color w:val="auto"/>
          <w:highlight w:val="none"/>
          <w:lang w:val="en-US" w:eastAsia="zh-CN"/>
        </w:rPr>
        <w:t>及</w:t>
      </w:r>
      <w:r>
        <w:rPr>
          <w:rFonts w:hint="eastAsia"/>
          <w:color w:val="auto"/>
          <w:highlight w:val="none"/>
        </w:rPr>
        <w:t>重要迁徙停歇地。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auto"/>
          <w:highlight w:val="none"/>
          <w:lang w:val="en-US" w:eastAsia="zh-CN"/>
        </w:rPr>
      </w:pPr>
      <w:r>
        <w:rPr>
          <w:rFonts w:hint="default"/>
          <w:color w:val="auto"/>
          <w:highlight w:val="none"/>
          <w:lang w:val="en-US" w:eastAsia="zh-CN"/>
        </w:rPr>
        <w:t>全面落实伏季休渔制度</w:t>
      </w:r>
      <w:r>
        <w:rPr>
          <w:rFonts w:hint="eastAsia"/>
          <w:color w:val="auto"/>
          <w:highlight w:val="none"/>
          <w:lang w:val="en-US" w:eastAsia="zh-CN"/>
        </w:rPr>
        <w:t>。</w:t>
      </w:r>
      <w:r>
        <w:rPr>
          <w:rFonts w:hint="eastAsia"/>
          <w:color w:val="auto"/>
          <w:highlight w:val="none"/>
          <w:u w:val="none"/>
          <w:lang w:val="en-US" w:eastAsia="zh-CN"/>
        </w:rPr>
        <w:t>加强国家二级保护动物</w:t>
      </w:r>
      <w:r>
        <w:rPr>
          <w:rFonts w:hint="eastAsia" w:cs="仿宋_GB2312"/>
          <w:color w:val="auto"/>
          <w:highlight w:val="none"/>
          <w:u w:val="none"/>
          <w:lang w:val="en-US" w:eastAsia="zh-CN"/>
        </w:rPr>
        <w:t>文昌鱼等海洋生物保护。</w:t>
      </w:r>
      <w:r>
        <w:rPr>
          <w:rFonts w:hint="default"/>
          <w:color w:val="auto"/>
          <w:highlight w:val="none"/>
          <w:lang w:val="en-US" w:eastAsia="zh-CN"/>
        </w:rPr>
        <w:t>科学</w:t>
      </w:r>
      <w:r>
        <w:rPr>
          <w:rFonts w:hint="default" w:ascii="仿宋_GB2312" w:hAnsi="宋体" w:eastAsia="仿宋_GB2312" w:cs="仿宋_GB2312"/>
          <w:color w:val="auto"/>
          <w:kern w:val="2"/>
          <w:sz w:val="32"/>
          <w:szCs w:val="32"/>
          <w:highlight w:val="none"/>
        </w:rPr>
        <w:t>实施渔业资源增殖放流、海藻播殖、人工鱼樵投放，恢复浅海渔业生物种群</w:t>
      </w:r>
      <w:r>
        <w:rPr>
          <w:rFonts w:hint="eastAsia" w:hAnsi="宋体" w:cs="仿宋_GB2312"/>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u w:val="none"/>
          <w:lang w:val="en-US" w:eastAsia="zh-CN"/>
        </w:rPr>
      </w:pPr>
      <w:r>
        <w:rPr>
          <w:rFonts w:hint="eastAsia" w:hAnsi="宋体" w:cs="仿宋_GB2312"/>
          <w:b w:val="0"/>
          <w:bCs w:val="0"/>
          <w:color w:val="auto"/>
          <w:kern w:val="0"/>
          <w:sz w:val="32"/>
          <w:szCs w:val="32"/>
          <w:highlight w:val="none"/>
          <w:lang w:val="en-US" w:eastAsia="zh-CN" w:bidi="ar"/>
        </w:rPr>
        <w:t>举办观鸟爱鸟护鸟活动，</w:t>
      </w:r>
      <w:r>
        <w:rPr>
          <w:rFonts w:hint="eastAsia"/>
          <w:color w:val="auto"/>
          <w:highlight w:val="none"/>
          <w:u w:val="none"/>
          <w:lang w:val="en-US" w:eastAsia="zh-CN"/>
        </w:rPr>
        <w:t>开展爱鸟周、野生动物保护月科普宣传、救助放飞仪式，依托鸟类博物馆开展科普活动，推动生物多样性保护理念深入人心。推进生物多样性体验地建设，力争北戴河区翼展鸟类救养中心到2027年建成。</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14.建设特色滨海园林城市</w:t>
      </w:r>
    </w:p>
    <w:p>
      <w:pPr>
        <w:pageBreakBefore w:val="0"/>
        <w:kinsoku/>
        <w:wordWrap/>
        <w:overflowPunct/>
        <w:topLinePunct w:val="0"/>
        <w:autoSpaceDN/>
        <w:bidi w:val="0"/>
        <w:adjustRightInd/>
        <w:rPr>
          <w:rFonts w:hint="eastAsia" w:ascii="Times New Roman" w:hAnsi="Times New Roman"/>
          <w:color w:val="auto"/>
          <w:highlight w:val="none"/>
          <w:u w:val="none"/>
          <w:lang w:val="en-US" w:eastAsia="zh"/>
        </w:rPr>
      </w:pPr>
      <w:r>
        <w:rPr>
          <w:rFonts w:hint="eastAsia" w:ascii="Times New Roman" w:hAnsi="Times New Roman"/>
          <w:color w:val="auto"/>
          <w:highlight w:val="none"/>
          <w:u w:val="none"/>
          <w:lang w:val="en-US" w:eastAsia="zh-CN"/>
        </w:rPr>
        <w:t>按照森林围城、青山融城、碧水穿城、绿园满城的建设思路，传承“山、海、关、城、港”一体的滨海城市特色</w:t>
      </w:r>
      <w:r>
        <w:rPr>
          <w:rFonts w:hint="eastAsia" w:ascii="Times New Roman" w:hAnsi="Times New Roman"/>
          <w:color w:val="auto"/>
          <w:highlight w:val="none"/>
          <w:u w:val="none"/>
          <w:lang w:val="en-US" w:eastAsia="zh"/>
        </w:rPr>
        <w:t>，构建城区绿地生态格局，形成“三带六廊、三块多园、城绿交织”的复合生态绿地空间结构。</w:t>
      </w:r>
    </w:p>
    <w:p>
      <w:pPr>
        <w:pageBreakBefore w:val="0"/>
        <w:kinsoku/>
        <w:wordWrap/>
        <w:overflowPunct/>
        <w:topLinePunct w:val="0"/>
        <w:autoSpaceDN/>
        <w:bidi w:val="0"/>
        <w:adjustRightInd/>
        <w:rPr>
          <w:rFonts w:hint="eastAsia" w:ascii="Times New Roman" w:hAnsi="Times New Roman"/>
          <w:color w:val="auto"/>
          <w:highlight w:val="none"/>
          <w:u w:val="none"/>
          <w:lang w:val="en-US" w:eastAsia="zh"/>
        </w:rPr>
      </w:pPr>
      <w:r>
        <w:rPr>
          <w:rFonts w:hint="eastAsia" w:ascii="Times New Roman" w:hAnsi="Times New Roman"/>
          <w:color w:val="auto"/>
          <w:highlight w:val="none"/>
          <w:u w:val="none"/>
          <w:lang w:val="en-US" w:eastAsia="zh"/>
        </w:rPr>
        <w:t>依托京哈高速防护林生态绿带、京哈铁路防护林生态绿带及滨海风景林带，打造贯穿城区的生态防护屏障与滨海景观界面。以石河、沙河、新开河、汤河、戴河、洋河六条河流为生态廊道主脉，串联支流、贯通水系，构建连续贯通的城区水系生态网络。以角山-长寿山-燕塞湖生态斑块、山海关-海港组团隔离生态斑块、海港-开发区-北戴河组团隔离生态斑块为主体，形成城市组团间生态隔离屏障。</w:t>
      </w:r>
    </w:p>
    <w:p>
      <w:pPr>
        <w:pageBreakBefore w:val="0"/>
        <w:kinsoku/>
        <w:wordWrap/>
        <w:overflowPunct/>
        <w:topLinePunct w:val="0"/>
        <w:autoSpaceDN/>
        <w:bidi w:val="0"/>
        <w:adjustRightInd/>
        <w:rPr>
          <w:rStyle w:val="29"/>
          <w:rFonts w:hint="eastAsia" w:ascii="仿宋_GB2312" w:hAnsi="仿宋_GB2312" w:eastAsia="仿宋_GB2312" w:cs="仿宋_GB2312"/>
          <w:color w:val="auto"/>
          <w:sz w:val="32"/>
          <w:szCs w:val="22"/>
          <w:highlight w:val="none"/>
          <w:lang w:eastAsia="zh-CN" w:bidi="ar"/>
        </w:rPr>
      </w:pPr>
      <w:r>
        <w:rPr>
          <w:rFonts w:hint="eastAsia" w:cs="仿宋_GB2312"/>
          <w:color w:val="auto"/>
          <w:kern w:val="2"/>
          <w:sz w:val="32"/>
          <w:szCs w:val="22"/>
          <w:highlight w:val="none"/>
          <w:lang w:val="en-US" w:eastAsia="zh-CN" w:bidi="ar"/>
        </w:rPr>
        <w:t>建立综合公园、社区公园、专类公园、游园为主的公园体系，逐步实施</w:t>
      </w:r>
      <w:r>
        <w:rPr>
          <w:rFonts w:hint="eastAsia"/>
          <w:color w:val="auto"/>
          <w:highlight w:val="none"/>
          <w:lang w:val="en-US" w:eastAsia="zh-CN" w:bidi="ar"/>
        </w:rPr>
        <w:t>联峰山、栖云山、紫金山、戴河生态园等7处郊野公园，人民公园、森林体育公园、秦皇半岛公园、新世纪公园、秦皇植物园等25处城市公园，人民公园等13座精品公园提质改造。</w:t>
      </w:r>
      <w:r>
        <w:rPr>
          <w:rFonts w:hint="eastAsia" w:cs="仿宋_GB2312"/>
          <w:color w:val="auto"/>
          <w:kern w:val="2"/>
          <w:sz w:val="32"/>
          <w:szCs w:val="22"/>
          <w:highlight w:val="none"/>
          <w:lang w:val="en-US" w:eastAsia="zh-CN" w:bidi="ar"/>
        </w:rPr>
        <w:t>通过留白增绿、拆墙透绿、见缝插绿和立体植绿等方式，拓</w:t>
      </w:r>
      <w:r>
        <w:rPr>
          <w:rFonts w:hint="eastAsia" w:ascii="仿宋_GB2312" w:hAnsi="仿宋_GB2312" w:eastAsia="仿宋_GB2312" w:cs="仿宋_GB2312"/>
          <w:color w:val="auto"/>
          <w:kern w:val="2"/>
          <w:sz w:val="32"/>
          <w:szCs w:val="22"/>
          <w:highlight w:val="none"/>
          <w:lang w:val="en-US" w:eastAsia="zh-CN" w:bidi="ar"/>
        </w:rPr>
        <w:t>展绿化空间</w:t>
      </w:r>
      <w:r>
        <w:rPr>
          <w:rFonts w:hint="eastAsia" w:ascii="仿宋_GB2312" w:hAnsi="仿宋_GB2312" w:eastAsia="仿宋_GB2312" w:cs="仿宋_GB2312"/>
          <w:color w:val="auto"/>
          <w:sz w:val="32"/>
          <w:szCs w:val="22"/>
          <w:highlight w:val="none"/>
          <w:lang w:bidi="ar"/>
        </w:rPr>
        <w:t>，因地制宜</w:t>
      </w:r>
      <w:r>
        <w:rPr>
          <w:rFonts w:hint="eastAsia" w:cs="仿宋_GB2312"/>
          <w:color w:val="auto"/>
          <w:sz w:val="32"/>
          <w:szCs w:val="22"/>
          <w:highlight w:val="none"/>
          <w:lang w:val="en-US" w:eastAsia="zh-CN" w:bidi="ar"/>
        </w:rPr>
        <w:t>推进</w:t>
      </w:r>
      <w:r>
        <w:rPr>
          <w:rFonts w:hint="eastAsia" w:ascii="仿宋_GB2312" w:hAnsi="仿宋_GB2312" w:eastAsia="仿宋_GB2312" w:cs="仿宋_GB2312"/>
          <w:color w:val="auto"/>
          <w:sz w:val="32"/>
          <w:szCs w:val="22"/>
          <w:highlight w:val="none"/>
          <w:lang w:bidi="ar"/>
        </w:rPr>
        <w:t>社区游园</w:t>
      </w:r>
      <w:r>
        <w:rPr>
          <w:rFonts w:hint="eastAsia" w:cs="仿宋_GB2312"/>
          <w:color w:val="auto"/>
          <w:sz w:val="32"/>
          <w:szCs w:val="22"/>
          <w:highlight w:val="none"/>
          <w:lang w:eastAsia="zh-CN" w:bidi="ar"/>
        </w:rPr>
        <w:t>、</w:t>
      </w:r>
      <w:r>
        <w:rPr>
          <w:rStyle w:val="29"/>
          <w:rFonts w:hint="eastAsia" w:ascii="仿宋_GB2312" w:hAnsi="仿宋_GB2312" w:eastAsia="仿宋_GB2312" w:cs="仿宋_GB2312"/>
          <w:color w:val="auto"/>
          <w:sz w:val="32"/>
          <w:szCs w:val="22"/>
          <w:highlight w:val="none"/>
          <w:lang w:bidi="ar"/>
        </w:rPr>
        <w:t>口袋公园</w:t>
      </w:r>
      <w:r>
        <w:rPr>
          <w:rFonts w:hint="eastAsia" w:ascii="仿宋_GB2312" w:hAnsi="仿宋_GB2312" w:eastAsia="仿宋_GB2312" w:cs="仿宋_GB2312"/>
          <w:color w:val="auto"/>
          <w:sz w:val="32"/>
          <w:szCs w:val="22"/>
          <w:highlight w:val="none"/>
          <w:lang w:bidi="ar"/>
        </w:rPr>
        <w:t>建设</w:t>
      </w:r>
      <w:r>
        <w:rPr>
          <w:rStyle w:val="29"/>
          <w:rFonts w:hint="eastAsia" w:ascii="仿宋_GB2312" w:hAnsi="仿宋_GB2312" w:eastAsia="仿宋_GB2312" w:cs="仿宋_GB2312"/>
          <w:color w:val="auto"/>
          <w:sz w:val="32"/>
          <w:szCs w:val="22"/>
          <w:highlight w:val="none"/>
          <w:lang w:eastAsia="zh-CN" w:bidi="ar"/>
        </w:rPr>
        <w:t>。</w:t>
      </w:r>
      <w:r>
        <w:rPr>
          <w:rFonts w:hint="eastAsia"/>
          <w:b w:val="0"/>
          <w:bCs w:val="0"/>
          <w:color w:val="auto"/>
          <w:highlight w:val="none"/>
          <w:u w:val="none"/>
          <w:lang w:val="en-US" w:eastAsia="zh"/>
        </w:rPr>
        <w:t>推进城市湿地与小微空间一体化生态保护修复</w:t>
      </w:r>
      <w:r>
        <w:rPr>
          <w:rFonts w:hint="eastAsia"/>
          <w:b w:val="0"/>
          <w:bCs w:val="0"/>
          <w:color w:val="auto"/>
          <w:highlight w:val="none"/>
          <w:u w:val="none"/>
          <w:lang w:val="en-US" w:eastAsia="zh-CN"/>
        </w:rPr>
        <w:t>。</w:t>
      </w:r>
      <w:r>
        <w:rPr>
          <w:rStyle w:val="29"/>
          <w:rFonts w:hint="eastAsia" w:ascii="仿宋_GB2312" w:hAnsi="仿宋_GB2312" w:eastAsia="仿宋_GB2312" w:cs="仿宋_GB2312"/>
          <w:color w:val="auto"/>
          <w:sz w:val="32"/>
          <w:szCs w:val="22"/>
          <w:highlight w:val="none"/>
          <w:lang w:eastAsia="zh-CN" w:bidi="ar"/>
        </w:rPr>
        <w:t>科学实施杨柳飞絮治理</w:t>
      </w:r>
      <w:r>
        <w:rPr>
          <w:rStyle w:val="29"/>
          <w:rFonts w:hint="eastAsia" w:cs="仿宋_GB2312"/>
          <w:color w:val="auto"/>
          <w:sz w:val="32"/>
          <w:szCs w:val="22"/>
          <w:highlight w:val="none"/>
          <w:lang w:eastAsia="zh-CN" w:bidi="ar"/>
        </w:rPr>
        <w:t>。</w:t>
      </w:r>
    </w:p>
    <w:p>
      <w:pPr>
        <w:pageBreakBefore w:val="0"/>
        <w:kinsoku/>
        <w:wordWrap/>
        <w:overflowPunct/>
        <w:topLinePunct w:val="0"/>
        <w:autoSpaceDN/>
        <w:bidi w:val="0"/>
        <w:adjustRightInd/>
        <w:rPr>
          <w:rFonts w:hint="eastAsia" w:ascii="Times New Roman" w:hAnsi="Times New Roman"/>
          <w:color w:val="auto"/>
          <w:highlight w:val="none"/>
          <w:u w:val="none"/>
          <w:lang w:val="en-US" w:eastAsia="zh-CN"/>
        </w:rPr>
      </w:pPr>
      <w:r>
        <w:rPr>
          <w:rFonts w:hint="eastAsia"/>
          <w:color w:val="auto"/>
          <w:highlight w:val="none"/>
          <w:lang w:val="en-US" w:eastAsia="zh-CN"/>
        </w:rPr>
        <w:t>系统推进长城沿线绿廊、沿海防护林、通风廊道、城市绿道、景观廊道建设，配套完善基础设施。</w:t>
      </w:r>
      <w:r>
        <w:rPr>
          <w:rFonts w:hint="eastAsia" w:ascii="仿宋_GB2312" w:hAnsi="仿宋_GB2312" w:eastAsia="仿宋_GB2312" w:cs="仿宋_GB2312"/>
          <w:color w:val="auto"/>
          <w:highlight w:val="none"/>
          <w:u w:val="none"/>
          <w:lang w:val="en-US" w:eastAsia="zh-CN"/>
        </w:rPr>
        <w:t>到2027年，中心城区公园绿地300米见绿、500米见园持续巩固</w:t>
      </w:r>
      <w:r>
        <w:rPr>
          <w:rFonts w:hint="eastAsia" w:cs="仿宋_GB2312"/>
          <w:color w:val="auto"/>
          <w:highlight w:val="none"/>
          <w:u w:val="none"/>
          <w:lang w:val="en-US" w:eastAsia="zh"/>
        </w:rPr>
        <w:t>，人均公园绿地面积</w:t>
      </w:r>
      <w:r>
        <w:rPr>
          <w:rFonts w:hint="eastAsia" w:cs="仿宋_GB2312"/>
          <w:color w:val="auto"/>
          <w:highlight w:val="none"/>
          <w:u w:val="none"/>
          <w:lang w:val="en-US" w:eastAsia="zh-CN"/>
        </w:rPr>
        <w:t>达到17</w:t>
      </w:r>
      <w:r>
        <w:rPr>
          <w:rFonts w:hint="eastAsia" w:cs="仿宋_GB2312"/>
          <w:color w:val="auto"/>
          <w:highlight w:val="none"/>
          <w:u w:val="none"/>
          <w:lang w:val="en-US" w:eastAsia="zh"/>
        </w:rPr>
        <w:t>平方米</w:t>
      </w:r>
      <w:r>
        <w:rPr>
          <w:rFonts w:hint="eastAsia" w:cs="仿宋_GB2312"/>
          <w:color w:val="auto"/>
          <w:highlight w:val="none"/>
          <w:u w:val="none"/>
          <w:lang w:val="en-US" w:eastAsia="zh-CN"/>
        </w:rPr>
        <w:t>以上</w:t>
      </w:r>
      <w:r>
        <w:rPr>
          <w:rFonts w:hint="eastAsia" w:ascii="Times New Roman" w:hAnsi="Times New Roman"/>
          <w:color w:val="auto"/>
          <w:highlight w:val="none"/>
          <w:u w:val="none"/>
          <w:lang w:val="en-US" w:eastAsia="zh-CN"/>
        </w:rPr>
        <w:t>。</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15.建设高品质宜居生态社区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Cs w:val="32"/>
          <w:highlight w:val="none"/>
          <w:u w:val="none"/>
          <w:lang w:val="en-US" w:eastAsia="zh-CN"/>
        </w:rPr>
      </w:pPr>
      <w:r>
        <w:rPr>
          <w:rFonts w:hint="eastAsia" w:ascii="Times New Roman" w:hAnsi="Times New Roman"/>
          <w:color w:val="auto"/>
          <w:highlight w:val="none"/>
          <w:u w:val="none"/>
          <w:lang w:val="en-US" w:eastAsia="zh-CN"/>
        </w:rPr>
        <w:t>打造全龄友好、安全健康、宁静和谐的社区环境，夯实城市宜居基础。实施城市更新项目，对老旧街区进行织补式更新改造，清理背街小巷卫生死角，开展铁新里、迎春里片区、桥东南里片区</w:t>
      </w:r>
      <w:r>
        <w:rPr>
          <w:rFonts w:hint="eastAsia" w:ascii="仿宋_GB2312" w:hAnsi="仿宋_GB2312" w:eastAsia="仿宋_GB2312" w:cs="仿宋_GB2312"/>
          <w:color w:val="auto"/>
          <w:highlight w:val="none"/>
          <w:u w:val="none"/>
          <w:lang w:val="en-US" w:eastAsia="zh-CN"/>
        </w:rPr>
        <w:t>等5个片区城中村改造，着力打造一批精品街道、美丽街区、城市客厅等活力街区。完善社区基本公共服务设施、公用设施及安全设施，推进城市15分钟便民生活圈建设。提升垃圾分类管理水平，加强社区垃圾分类投放和分选利用，</w:t>
      </w:r>
      <w:r>
        <w:rPr>
          <w:rFonts w:hint="eastAsia" w:cs="仿宋_GB2312"/>
          <w:color w:val="auto"/>
          <w:highlight w:val="none"/>
          <w:u w:val="none"/>
          <w:lang w:val="en-US" w:eastAsia="zh-CN"/>
        </w:rPr>
        <w:t>推动</w:t>
      </w:r>
      <w:r>
        <w:rPr>
          <w:rFonts w:hint="eastAsia" w:ascii="仿宋_GB2312" w:hAnsi="仿宋_GB2312" w:eastAsia="仿宋_GB2312" w:cs="仿宋_GB2312"/>
          <w:color w:val="auto"/>
          <w:highlight w:val="none"/>
          <w:u w:val="none"/>
          <w:lang w:val="en-US" w:eastAsia="zh-CN"/>
        </w:rPr>
        <w:t>餐厨废弃物资源化利用和无害化处理。实施噪声污染防治行动，开展声环境功能区划分调整和噪声敏感建筑物集中区域划定。到2027年，全市声环境功能区夜间达标率完成省定目标</w:t>
      </w:r>
      <w:r>
        <w:rPr>
          <w:rFonts w:hint="eastAsia" w:ascii="Times New Roman" w:hAnsi="Times New Roman"/>
          <w:color w:val="auto"/>
          <w:highlight w:val="none"/>
          <w:u w:val="none"/>
          <w:lang w:val="en-US" w:eastAsia="zh-CN"/>
        </w:rPr>
        <w:t>。</w:t>
      </w:r>
    </w:p>
    <w:p>
      <w:pPr>
        <w:pageBreakBefore w:val="0"/>
        <w:kinsoku/>
        <w:wordWrap/>
        <w:overflowPunct/>
        <w:topLinePunct w:val="0"/>
        <w:autoSpaceDN/>
        <w:bidi w:val="0"/>
        <w:adjustRightInd/>
        <w:rPr>
          <w:rFonts w:hint="default"/>
          <w:b/>
          <w:bCs/>
          <w:color w:val="auto"/>
          <w:highlight w:val="none"/>
          <w:lang w:val="en-US" w:eastAsia="zh-CN"/>
        </w:rPr>
      </w:pPr>
      <w:r>
        <w:rPr>
          <w:rFonts w:hint="eastAsia"/>
          <w:b/>
          <w:bCs/>
          <w:color w:val="auto"/>
          <w:highlight w:val="none"/>
          <w:lang w:val="en-US" w:eastAsia="zh-CN"/>
        </w:rPr>
        <w:t>16.推进生态产品价值实现</w:t>
      </w:r>
    </w:p>
    <w:p>
      <w:pPr>
        <w:pageBreakBefore w:val="0"/>
        <w:kinsoku/>
        <w:wordWrap/>
        <w:overflowPunct/>
        <w:topLinePunct w:val="0"/>
        <w:autoSpaceDN/>
        <w:bidi w:val="0"/>
        <w:adjustRightInd/>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highlight w:val="none"/>
          <w:u w:val="none"/>
          <w:lang w:val="en-US" w:eastAsia="zh-CN"/>
        </w:rPr>
        <w:t>拓宽“两山”转化路径，提升生态产品附加值</w:t>
      </w:r>
      <w:r>
        <w:rPr>
          <w:rFonts w:hint="eastAsia" w:cs="仿宋_GB2312"/>
          <w:color w:val="auto"/>
          <w:highlight w:val="none"/>
          <w:u w:val="none"/>
          <w:lang w:val="en-US" w:eastAsia="zh-CN"/>
        </w:rPr>
        <w:t>，加大生态环境导向的开发模式（EOD）项目建设。</w:t>
      </w:r>
    </w:p>
    <w:p>
      <w:pPr>
        <w:pageBreakBefore w:val="0"/>
        <w:kinsoku/>
        <w:wordWrap/>
        <w:overflowPunct/>
        <w:topLinePunct w:val="0"/>
        <w:autoSpaceDN/>
        <w:bidi w:val="0"/>
        <w:adjustRightInd/>
        <w:rPr>
          <w:rFonts w:hint="eastAsia" w:ascii="仿宋_GB2312" w:hAnsi="仿宋_GB2312" w:eastAsia="仿宋_GB2312" w:cs="仿宋_GB2312"/>
          <w:color w:val="auto"/>
          <w:highlight w:val="none"/>
          <w:u w:val="none"/>
          <w:lang w:val="en-US" w:eastAsia="zh-CN"/>
        </w:rPr>
      </w:pPr>
      <w:r>
        <w:rPr>
          <w:rFonts w:hint="eastAsia" w:cs="仿宋_GB2312"/>
          <w:color w:val="auto"/>
          <w:highlight w:val="none"/>
          <w:u w:val="none"/>
          <w:lang w:val="en-US" w:eastAsia="zh-CN"/>
        </w:rPr>
        <w:t>完善生态产品价值核算机制，探索开展森林、湿地、海洋等碳汇核算。借鉴“</w:t>
      </w:r>
      <w:r>
        <w:rPr>
          <w:rFonts w:hint="eastAsia" w:ascii="仿宋_GB2312" w:hAnsi="仿宋_GB2312" w:eastAsia="仿宋_GB2312" w:cs="仿宋_GB2312"/>
          <w:color w:val="auto"/>
          <w:highlight w:val="none"/>
          <w:u w:val="none"/>
          <w:lang w:val="en-US" w:eastAsia="zh-CN"/>
        </w:rPr>
        <w:t>海水养殖双壳贝类固碳生态产品开发试点</w:t>
      </w:r>
      <w:r>
        <w:rPr>
          <w:rFonts w:hint="eastAsia" w:cs="仿宋_GB2312"/>
          <w:color w:val="auto"/>
          <w:highlight w:val="none"/>
          <w:u w:val="none"/>
          <w:lang w:val="en-US" w:eastAsia="zh-CN"/>
        </w:rPr>
        <w:t>”河北省首个</w:t>
      </w:r>
      <w:r>
        <w:rPr>
          <w:rFonts w:hint="eastAsia" w:ascii="仿宋_GB2312" w:hAnsi="仿宋_GB2312" w:eastAsia="仿宋_GB2312" w:cs="仿宋_GB2312"/>
          <w:color w:val="auto"/>
          <w:highlight w:val="none"/>
          <w:u w:val="none"/>
          <w:lang w:val="en-US" w:eastAsia="zh-CN"/>
        </w:rPr>
        <w:t>“蓝碳”</w:t>
      </w:r>
      <w:r>
        <w:rPr>
          <w:rFonts w:hint="eastAsia" w:cs="仿宋_GB2312"/>
          <w:color w:val="auto"/>
          <w:highlight w:val="none"/>
          <w:u w:val="none"/>
          <w:lang w:val="en-US" w:eastAsia="zh-CN"/>
        </w:rPr>
        <w:t>项目经验，开发海洋碳汇项目，推动海洋碳汇交易</w:t>
      </w:r>
      <w:r>
        <w:rPr>
          <w:rFonts w:hint="eastAsia" w:ascii="仿宋_GB2312" w:hAnsi="仿宋_GB2312" w:eastAsia="仿宋_GB2312" w:cs="仿宋_GB2312"/>
          <w:color w:val="auto"/>
          <w:highlight w:val="none"/>
          <w:u w:val="none"/>
          <w:lang w:val="en-US" w:eastAsia="zh-CN"/>
        </w:rPr>
        <w:t>。推动青龙等生态优势县区开展林业碳汇交易。</w:t>
      </w:r>
    </w:p>
    <w:p>
      <w:pPr>
        <w:pageBreakBefore w:val="0"/>
        <w:kinsoku/>
        <w:wordWrap/>
        <w:overflowPunct/>
        <w:topLinePunct w:val="0"/>
        <w:autoSpaceDN/>
        <w:bidi w:val="0"/>
        <w:adjustRightInd/>
        <w:rPr>
          <w:rFonts w:hint="eastAsia" w:cs="仿宋_GB2312"/>
          <w:color w:val="auto"/>
          <w:highlight w:val="none"/>
          <w:u w:val="none"/>
          <w:lang w:val="en-US" w:eastAsia="zh-CN"/>
        </w:rPr>
      </w:pPr>
      <w:r>
        <w:rPr>
          <w:rFonts w:hint="eastAsia" w:ascii="仿宋_GB2312" w:hAnsi="仿宋_GB2312" w:eastAsia="仿宋_GB2312" w:cs="仿宋_GB2312"/>
          <w:color w:val="auto"/>
          <w:highlight w:val="none"/>
          <w:u w:val="none"/>
          <w:lang w:val="en-US" w:eastAsia="zh-CN"/>
        </w:rPr>
        <w:t>用好碳减排支持工具，引导金融机构加大对绿色低碳</w:t>
      </w:r>
      <w:r>
        <w:rPr>
          <w:rFonts w:hint="eastAsia" w:cs="仿宋_GB2312"/>
          <w:color w:val="auto"/>
          <w:highlight w:val="none"/>
          <w:u w:val="none"/>
          <w:lang w:val="en-US" w:eastAsia="zh-CN"/>
        </w:rPr>
        <w:t>产业</w:t>
      </w:r>
      <w:r>
        <w:rPr>
          <w:rFonts w:hint="eastAsia" w:ascii="仿宋_GB2312" w:hAnsi="仿宋_GB2312" w:eastAsia="仿宋_GB2312" w:cs="仿宋_GB2312"/>
          <w:color w:val="auto"/>
          <w:highlight w:val="none"/>
          <w:u w:val="none"/>
          <w:lang w:val="en-US" w:eastAsia="zh-CN"/>
        </w:rPr>
        <w:t>的支持力度</w:t>
      </w:r>
      <w:r>
        <w:rPr>
          <w:rFonts w:hint="eastAsia" w:cs="仿宋_GB2312"/>
          <w:color w:val="auto"/>
          <w:highlight w:val="none"/>
          <w:u w:val="none"/>
          <w:lang w:val="en-US" w:eastAsia="zh-CN"/>
        </w:rPr>
        <w:t>。推广</w:t>
      </w:r>
      <w:r>
        <w:rPr>
          <w:rFonts w:hint="eastAsia" w:ascii="仿宋_GB2312" w:hAnsi="仿宋_GB2312" w:eastAsia="仿宋_GB2312" w:cs="仿宋_GB2312"/>
          <w:color w:val="auto"/>
          <w:highlight w:val="none"/>
          <w:u w:val="none"/>
          <w:lang w:val="en-US" w:eastAsia="zh-CN"/>
        </w:rPr>
        <w:t>贝壳养殖海洋碳汇收益权质押贷款</w:t>
      </w:r>
      <w:r>
        <w:rPr>
          <w:rFonts w:hint="eastAsia" w:cs="仿宋_GB2312"/>
          <w:color w:val="auto"/>
          <w:highlight w:val="none"/>
          <w:u w:val="none"/>
          <w:lang w:val="en-US" w:eastAsia="zh-CN"/>
        </w:rPr>
        <w:t>经验，盘活碳汇“绿色资产”。</w:t>
      </w:r>
    </w:p>
    <w:p>
      <w:pPr>
        <w:pStyle w:val="3"/>
        <w:pageBreakBefore w:val="0"/>
        <w:kinsoku/>
        <w:wordWrap/>
        <w:overflowPunct/>
        <w:topLinePunct w:val="0"/>
        <w:autoSpaceDN/>
        <w:bidi w:val="0"/>
        <w:adjustRightInd/>
        <w:rPr>
          <w:rFonts w:hint="default"/>
          <w:color w:val="auto"/>
          <w:highlight w:val="none"/>
          <w:lang w:val="en-US" w:eastAsia="zh-CN"/>
        </w:rPr>
      </w:pPr>
      <w:bookmarkStart w:id="36" w:name="_Toc27673"/>
      <w:r>
        <w:rPr>
          <w:rFonts w:hint="eastAsia"/>
          <w:color w:val="auto"/>
          <w:highlight w:val="none"/>
          <w:lang w:val="en-US" w:eastAsia="zh-CN"/>
        </w:rPr>
        <w:t>（四）强化风险防控，打造环境健康安全韧性之城</w:t>
      </w:r>
      <w:bookmarkEnd w:id="34"/>
      <w:bookmarkEnd w:id="35"/>
      <w:bookmarkEnd w:id="36"/>
    </w:p>
    <w:p>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pacing w:beforeAutospacing="0" w:afterAutospacing="0"/>
        <w:ind w:left="0" w:right="0"/>
        <w:jc w:val="both"/>
        <w:rPr>
          <w:rFonts w:hint="eastAsia"/>
          <w:b/>
          <w:bCs/>
          <w:color w:val="auto"/>
          <w:highlight w:val="none"/>
          <w:u w:val="none"/>
          <w:lang w:val="en-US" w:eastAsia="zh-CN"/>
        </w:rPr>
      </w:pPr>
      <w:r>
        <w:rPr>
          <w:rFonts w:hint="eastAsia" w:ascii="Times New Roman" w:hAnsi="Times New Roman"/>
          <w:b/>
          <w:bCs/>
          <w:color w:val="auto"/>
          <w:highlight w:val="none"/>
          <w:u w:val="none"/>
          <w:lang w:val="en-US" w:eastAsia="zh-CN"/>
        </w:rPr>
        <w:t>17.高质量完成</w:t>
      </w:r>
      <w:r>
        <w:rPr>
          <w:rFonts w:hint="eastAsia"/>
          <w:b/>
          <w:bCs/>
          <w:color w:val="auto"/>
          <w:highlight w:val="none"/>
          <w:u w:val="none"/>
          <w:lang w:val="en-US" w:eastAsia="zh-CN"/>
        </w:rPr>
        <w:t>国家环境健康管理试点工作</w:t>
      </w:r>
    </w:p>
    <w:p>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pacing w:beforeAutospacing="0" w:afterAutospacing="0"/>
        <w:ind w:left="0" w:right="0"/>
        <w:jc w:val="both"/>
        <w:rPr>
          <w:rFonts w:hint="eastAsia" w:ascii="Times New Roman" w:hAnsi="Times New Roman" w:eastAsia="楷体_GB2312" w:cs="Times New Roman"/>
          <w:color w:val="auto"/>
          <w:kern w:val="2"/>
          <w:sz w:val="32"/>
          <w:szCs w:val="22"/>
          <w:highlight w:val="none"/>
          <w:u w:val="none"/>
          <w:lang w:val="en-US" w:eastAsia="zh-CN" w:bidi="ar-SA"/>
        </w:rPr>
      </w:pPr>
      <w:r>
        <w:rPr>
          <w:rFonts w:hint="eastAsia"/>
          <w:color w:val="auto"/>
          <w:highlight w:val="none"/>
          <w:u w:val="none"/>
          <w:lang w:val="en-US" w:eastAsia="zh-CN"/>
        </w:rPr>
        <w:t>以北戴河生命健康产业创新示范区和北戴河海湾为核心区，建立环境健康风险源清单，开展区域环境健康风险评估、分级管控，实施环境健康风险源清单动态更新，绘制环境健康风险分区图集，形成环境健康风险动态评估、分级管理长效工作机制。完善海洋环境监测网络，探索北戴河海湾海洋环境健康监测预警体系建设，逐步提升海水浴场环境健康监测与预警能力。推动健康风险管控融入生态环境管理制度。实施居民生态环境健康素养监测和提升行动，推广环境健康理念。将环境健康理念深度融入康养、旅游、体育、农渔业等产业发展，</w:t>
      </w:r>
      <w:r>
        <w:rPr>
          <w:rFonts w:hint="eastAsia" w:ascii="仿宋_GB2312" w:hAnsi="宋体" w:cs="仿宋_GB2312"/>
          <w:color w:val="auto"/>
          <w:kern w:val="0"/>
          <w:sz w:val="32"/>
          <w:szCs w:val="32"/>
          <w:highlight w:val="none"/>
          <w:u w:val="none"/>
          <w:lang w:val="en-US" w:eastAsia="zh-CN" w:bidi="ar"/>
        </w:rPr>
        <w:t>实现“环境健康+”多价值转换</w:t>
      </w:r>
      <w:r>
        <w:rPr>
          <w:rFonts w:hint="eastAsia" w:ascii="Times New Roman" w:hAnsi="Times New Roman"/>
          <w:color w:val="auto"/>
          <w:highlight w:val="none"/>
          <w:u w:val="none"/>
          <w:lang w:val="en-US" w:eastAsia="zh-CN"/>
        </w:rPr>
        <w:t>。</w:t>
      </w:r>
      <w:r>
        <w:rPr>
          <w:rFonts w:hint="eastAsia"/>
          <w:color w:val="auto"/>
          <w:highlight w:val="none"/>
          <w:u w:val="none"/>
          <w:lang w:val="en-US" w:eastAsia="zh-CN"/>
        </w:rPr>
        <w:t>2026年底前通过国家环境健康管理试点验收，在探索经验的基础上按照国家和省级要求推进。</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18.打造气候适应型城市样板</w:t>
      </w:r>
    </w:p>
    <w:p>
      <w:pPr>
        <w:pageBreakBefore w:val="0"/>
        <w:kinsoku/>
        <w:wordWrap/>
        <w:overflowPunct/>
        <w:topLinePunct w:val="0"/>
        <w:autoSpaceDN/>
        <w:bidi w:val="0"/>
        <w:adjustRightInd/>
        <w:rPr>
          <w:rFonts w:hint="default" w:eastAsia="仿宋_GB2312"/>
          <w:color w:val="auto"/>
          <w:highlight w:val="none"/>
          <w:lang w:val="en-US" w:eastAsia="zh-CN"/>
        </w:rPr>
      </w:pPr>
      <w:r>
        <w:rPr>
          <w:rFonts w:hint="eastAsia"/>
          <w:color w:val="auto"/>
          <w:highlight w:val="none"/>
          <w:lang w:val="en-US" w:eastAsia="zh-CN"/>
        </w:rPr>
        <w:t>巩固提升“洪涝潮系统治理、山水城全域融合”的“海绵城市”建设经验</w:t>
      </w:r>
      <w:r>
        <w:rPr>
          <w:rFonts w:hint="eastAsia"/>
          <w:color w:val="auto"/>
          <w:highlight w:val="none"/>
          <w:lang w:val="en-US" w:eastAsia="zh"/>
        </w:rPr>
        <w:t>，系统推进海绵城市建设提质增效</w:t>
      </w:r>
      <w:r>
        <w:rPr>
          <w:rFonts w:hint="eastAsia"/>
          <w:color w:val="auto"/>
          <w:highlight w:val="none"/>
          <w:lang w:val="en-US" w:eastAsia="zh-CN"/>
        </w:rPr>
        <w:t>。健全城市防洪排涝体系，</w:t>
      </w:r>
      <w:r>
        <w:rPr>
          <w:rFonts w:hint="default"/>
          <w:color w:val="auto"/>
          <w:highlight w:val="none"/>
        </w:rPr>
        <w:t>划定洪涝风险控制线，</w:t>
      </w:r>
      <w:r>
        <w:rPr>
          <w:rFonts w:hint="eastAsia"/>
          <w:color w:val="auto"/>
          <w:highlight w:val="none"/>
          <w:lang w:val="en-US" w:eastAsia="zh"/>
        </w:rPr>
        <w:t>加强排水及防洪排涝系统建设</w:t>
      </w:r>
      <w:r>
        <w:rPr>
          <w:rFonts w:hint="eastAsia"/>
          <w:color w:val="auto"/>
          <w:highlight w:val="none"/>
          <w:lang w:val="en-US" w:eastAsia="zh-CN"/>
        </w:rPr>
        <w:t>，</w:t>
      </w:r>
      <w:r>
        <w:rPr>
          <w:rFonts w:hint="default"/>
          <w:color w:val="auto"/>
          <w:highlight w:val="none"/>
        </w:rPr>
        <w:t>整治易积水区域</w:t>
      </w:r>
      <w:r>
        <w:rPr>
          <w:rFonts w:hint="eastAsia"/>
          <w:color w:val="auto"/>
          <w:highlight w:val="none"/>
          <w:lang w:eastAsia="zh"/>
        </w:rPr>
        <w:t>。</w:t>
      </w:r>
      <w:r>
        <w:rPr>
          <w:rFonts w:hint="eastAsia"/>
          <w:color w:val="auto"/>
          <w:highlight w:val="none"/>
          <w:lang w:val="en-US" w:eastAsia="zh-CN"/>
        </w:rPr>
        <w:t>实施地下排水管网和内涝点在线监测，完成</w:t>
      </w:r>
      <w:r>
        <w:rPr>
          <w:rFonts w:hint="default"/>
          <w:color w:val="auto"/>
          <w:highlight w:val="none"/>
        </w:rPr>
        <w:t>城市内涝监测、预警、指挥信息化平台</w:t>
      </w:r>
      <w:r>
        <w:rPr>
          <w:rFonts w:hint="eastAsia"/>
          <w:color w:val="auto"/>
          <w:highlight w:val="none"/>
          <w:lang w:val="en-US" w:eastAsia="zh-CN"/>
        </w:rPr>
        <w:t>建设，提高海绵城市智慧化管理水平。实施新增及扩建调蓄水体建设，改造地道桥雨水泵站，增加调蓄能力185.08万立方米。到2027年，</w:t>
      </w:r>
      <w:r>
        <w:rPr>
          <w:rFonts w:hint="default"/>
          <w:color w:val="auto"/>
          <w:highlight w:val="none"/>
        </w:rPr>
        <w:t>中心城区透水面积比例</w:t>
      </w:r>
      <w:r>
        <w:rPr>
          <w:rFonts w:hint="eastAsia"/>
          <w:color w:val="auto"/>
          <w:highlight w:val="none"/>
          <w:lang w:val="en-US" w:eastAsia="zh-CN"/>
        </w:rPr>
        <w:t>达到43%</w:t>
      </w:r>
      <w:r>
        <w:rPr>
          <w:rFonts w:hint="eastAsia"/>
          <w:color w:val="auto"/>
          <w:highlight w:val="none"/>
          <w:lang w:val="en-US" w:eastAsia="zh"/>
        </w:rPr>
        <w:t>，</w:t>
      </w:r>
      <w:r>
        <w:rPr>
          <w:rFonts w:hint="default"/>
          <w:color w:val="auto"/>
          <w:highlight w:val="none"/>
        </w:rPr>
        <w:t>城市排水防涝能力和灾害应对能力</w:t>
      </w:r>
      <w:r>
        <w:rPr>
          <w:rFonts w:hint="eastAsia"/>
          <w:color w:val="auto"/>
          <w:highlight w:val="none"/>
          <w:lang w:val="en-US" w:eastAsia="zh-CN"/>
        </w:rPr>
        <w:t>稳步</w:t>
      </w:r>
      <w:r>
        <w:rPr>
          <w:rFonts w:hint="default"/>
          <w:color w:val="auto"/>
          <w:highlight w:val="none"/>
        </w:rPr>
        <w:t>提升</w:t>
      </w:r>
      <w:r>
        <w:rPr>
          <w:rFonts w:hint="eastAsia"/>
          <w:color w:val="auto"/>
          <w:highlight w:val="none"/>
          <w:lang w:eastAsia="zh"/>
        </w:rPr>
        <w:t>。</w:t>
      </w:r>
    </w:p>
    <w:p>
      <w:pPr>
        <w:pageBreakBefore w:val="0"/>
        <w:kinsoku/>
        <w:wordWrap/>
        <w:overflowPunct/>
        <w:topLinePunct w:val="0"/>
        <w:autoSpaceDN/>
        <w:bidi w:val="0"/>
        <w:adjustRightInd/>
        <w:rPr>
          <w:rFonts w:hint="default"/>
          <w:color w:val="auto"/>
          <w:highlight w:val="none"/>
          <w:lang w:val="en-US" w:eastAsia="zh-CN"/>
        </w:rPr>
      </w:pPr>
      <w:r>
        <w:rPr>
          <w:rFonts w:hint="eastAsia"/>
          <w:color w:val="auto"/>
          <w:highlight w:val="none"/>
          <w:lang w:val="en-US" w:eastAsia="zh-CN"/>
        </w:rPr>
        <w:t>加强海洋灾害应对，建设陆海统筹的海岸带防灾屏障工程和岸线防潮坝及挡潮闸工程，加强海洋灾害预警系统建设，提升沿海设施抗风强度与风暴潮应对能力。</w:t>
      </w:r>
    </w:p>
    <w:p>
      <w:pPr>
        <w:pageBreakBefore w:val="0"/>
        <w:kinsoku/>
        <w:wordWrap/>
        <w:overflowPunct/>
        <w:topLinePunct w:val="0"/>
        <w:autoSpaceDN/>
        <w:bidi w:val="0"/>
        <w:adjustRightInd/>
        <w:rPr>
          <w:rFonts w:hint="eastAsia"/>
          <w:color w:val="auto"/>
          <w:highlight w:val="none"/>
          <w:lang w:val="en-US" w:eastAsia="zh-CN"/>
        </w:rPr>
      </w:pPr>
      <w:r>
        <w:rPr>
          <w:rFonts w:hint="eastAsia" w:ascii="仿宋_GB2312" w:eastAsia="仿宋_GB2312" w:cs="仿宋_GB2312"/>
          <w:color w:val="auto"/>
          <w:sz w:val="32"/>
          <w:szCs w:val="32"/>
          <w:highlight w:val="none"/>
          <w:lang w:val="en-US" w:eastAsia="zh-CN"/>
        </w:rPr>
        <w:t>完善适应气候变化工作体系，</w:t>
      </w:r>
      <w:r>
        <w:rPr>
          <w:rFonts w:hint="eastAsia"/>
          <w:color w:val="auto"/>
          <w:highlight w:val="none"/>
          <w:lang w:val="en-US" w:eastAsia="zh-CN"/>
        </w:rPr>
        <w:t>提升气候风险防范能力。建立健全气候风险预报预警体系，加强极端天气气候事件风险监测预警和应急管理。到2027年，应对降雨内涝、干旱缺水、高温热浪、强风雨雪、冰冻灾害等防灾</w:t>
      </w:r>
      <w:r>
        <w:rPr>
          <w:rFonts w:hint="eastAsia"/>
          <w:color w:val="auto"/>
          <w:highlight w:val="none"/>
          <w:lang w:val="en-US" w:eastAsia="zh"/>
        </w:rPr>
        <w:t>预</w:t>
      </w:r>
      <w:r>
        <w:rPr>
          <w:rFonts w:hint="eastAsia"/>
          <w:color w:val="auto"/>
          <w:highlight w:val="none"/>
          <w:lang w:val="en-US" w:eastAsia="zh-CN"/>
        </w:rPr>
        <w:t>灾能力明显增强；到2030年，实现基础设施气候适应性全面提升，适应气候变化观测预测、影响评估、风险管理体系基本形成，</w:t>
      </w:r>
      <w:r>
        <w:rPr>
          <w:rFonts w:hint="eastAsia" w:ascii="仿宋_GB2312" w:eastAsia="仿宋_GB2312" w:cs="仿宋_GB2312"/>
          <w:color w:val="auto"/>
          <w:sz w:val="32"/>
          <w:szCs w:val="32"/>
          <w:highlight w:val="none"/>
        </w:rPr>
        <w:t>气候相关重大风险防范和灾害防治能力显著提升。</w:t>
      </w:r>
    </w:p>
    <w:p>
      <w:pPr>
        <w:pStyle w:val="14"/>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b/>
          <w:bCs/>
          <w:color w:val="auto"/>
          <w:highlight w:val="none"/>
          <w:u w:val="none"/>
          <w:lang w:val="en-US" w:eastAsia="zh-CN"/>
        </w:rPr>
      </w:pPr>
      <w:r>
        <w:rPr>
          <w:rFonts w:hint="eastAsia" w:ascii="Times New Roman" w:hAnsi="Times New Roman"/>
          <w:b/>
          <w:bCs/>
          <w:color w:val="auto"/>
          <w:highlight w:val="none"/>
          <w:u w:val="none"/>
          <w:lang w:val="en-US" w:eastAsia="zh-CN"/>
        </w:rPr>
        <w:t>19.加强环境风险防范与应急管理</w:t>
      </w:r>
    </w:p>
    <w:p>
      <w:pPr>
        <w:pageBreakBefore w:val="0"/>
        <w:kinsoku/>
        <w:wordWrap/>
        <w:overflowPunct/>
        <w:topLinePunct w:val="0"/>
        <w:autoSpaceDN/>
        <w:bidi w:val="0"/>
        <w:adjustRightInd/>
        <w:ind w:firstLine="640"/>
        <w:rPr>
          <w:rFonts w:hint="default"/>
          <w:color w:val="auto"/>
          <w:highlight w:val="none"/>
          <w:lang w:val="en-US" w:eastAsia="zh-CN"/>
        </w:rPr>
      </w:pPr>
      <w:r>
        <w:rPr>
          <w:rFonts w:hint="eastAsia"/>
          <w:color w:val="auto"/>
          <w:highlight w:val="none"/>
          <w:lang w:val="en-US" w:eastAsia="zh"/>
        </w:rPr>
        <w:t>强化</w:t>
      </w:r>
      <w:r>
        <w:rPr>
          <w:rFonts w:hint="eastAsia"/>
          <w:color w:val="auto"/>
          <w:highlight w:val="none"/>
          <w:lang w:val="en-US" w:eastAsia="zh-CN"/>
        </w:rPr>
        <w:t>涉危险废物、尾矿库、重金属</w:t>
      </w:r>
      <w:r>
        <w:rPr>
          <w:rFonts w:hint="eastAsia"/>
          <w:color w:val="auto"/>
          <w:highlight w:val="none"/>
          <w:lang w:val="en-US" w:eastAsia="zh"/>
        </w:rPr>
        <w:t>等</w:t>
      </w:r>
      <w:r>
        <w:rPr>
          <w:rFonts w:hint="eastAsia"/>
          <w:color w:val="auto"/>
          <w:highlight w:val="none"/>
          <w:lang w:val="en-US" w:eastAsia="zh-CN"/>
        </w:rPr>
        <w:t>企业</w:t>
      </w:r>
      <w:r>
        <w:rPr>
          <w:rFonts w:hint="eastAsia"/>
          <w:color w:val="auto"/>
          <w:highlight w:val="none"/>
          <w:lang w:val="en-US" w:eastAsia="zh"/>
        </w:rPr>
        <w:t>环境隐患排查整治和风险防控。</w:t>
      </w:r>
      <w:r>
        <w:rPr>
          <w:rFonts w:hint="eastAsia"/>
          <w:color w:val="auto"/>
          <w:highlight w:val="none"/>
          <w:lang w:val="en-US" w:eastAsia="zh-CN"/>
        </w:rPr>
        <w:t>严厉</w:t>
      </w:r>
      <w:r>
        <w:rPr>
          <w:rFonts w:hint="eastAsia"/>
          <w:color w:val="auto"/>
          <w:highlight w:val="none"/>
          <w:lang w:val="en-US" w:eastAsia="zh"/>
        </w:rPr>
        <w:t>打击非法倾倒工业固体废物、</w:t>
      </w:r>
      <w:r>
        <w:rPr>
          <w:rFonts w:hint="eastAsia"/>
          <w:color w:val="auto"/>
          <w:highlight w:val="none"/>
          <w:lang w:val="en-US" w:eastAsia="zh-CN"/>
        </w:rPr>
        <w:t>非法</w:t>
      </w:r>
      <w:r>
        <w:rPr>
          <w:rFonts w:hint="eastAsia"/>
          <w:color w:val="auto"/>
          <w:highlight w:val="none"/>
          <w:lang w:val="en-US" w:eastAsia="zh"/>
        </w:rPr>
        <w:t>汽车拆解</w:t>
      </w:r>
      <w:r>
        <w:rPr>
          <w:rFonts w:hint="eastAsia"/>
          <w:color w:val="auto"/>
          <w:highlight w:val="none"/>
          <w:lang w:val="en-US" w:eastAsia="zh-CN"/>
        </w:rPr>
        <w:t>等环境违法行为。动态更新全市环境风险重点行业、企业清单及重点风险物质清单。开展生活垃圾填埋场环境隐患排查和“一场一策”综合治理，到2027年底，基本完成卢龙县生活垃圾卫生填埋场填埋场综合治理。开展尾矿库综合治理，编制重点尾矿库突发水污染事件应急处置方案，绘制环境应急指挥一张图，到2027年底前实现重点尾矿库“一库一策一图”全覆盖。</w:t>
      </w:r>
    </w:p>
    <w:p>
      <w:pPr>
        <w:pageBreakBefore w:val="0"/>
        <w:kinsoku/>
        <w:wordWrap/>
        <w:overflowPunct/>
        <w:topLinePunct w:val="0"/>
        <w:autoSpaceDN/>
        <w:bidi w:val="0"/>
        <w:adjustRightInd/>
        <w:rPr>
          <w:rFonts w:hint="eastAsia"/>
          <w:color w:val="auto"/>
          <w:highlight w:val="none"/>
          <w:lang w:val="en-US" w:eastAsia="zh"/>
        </w:rPr>
      </w:pPr>
      <w:r>
        <w:rPr>
          <w:rFonts w:hint="eastAsia"/>
          <w:color w:val="auto"/>
          <w:highlight w:val="none"/>
          <w:lang w:val="en-US" w:eastAsia="zh"/>
        </w:rPr>
        <w:t>深化流域上下游及管辖海域突发环境事件联防联控。</w:t>
      </w:r>
      <w:r>
        <w:rPr>
          <w:rFonts w:hint="eastAsia"/>
          <w:color w:val="auto"/>
          <w:highlight w:val="none"/>
          <w:lang w:val="en-US" w:eastAsia="zh-CN"/>
        </w:rPr>
        <w:t>健全桃林口水库、洋河水库、石河水库、水胡同水库等重点湖库水华防控工作体系。编制完成青龙河、南河、都源河</w:t>
      </w:r>
      <w:r>
        <w:rPr>
          <w:rFonts w:hint="eastAsia"/>
          <w:color w:val="auto"/>
          <w:highlight w:val="none"/>
          <w:lang w:val="en-US" w:eastAsia="zh"/>
        </w:rPr>
        <w:t>等河流突发水污染事件环境应急</w:t>
      </w:r>
      <w:r>
        <w:rPr>
          <w:rFonts w:hint="eastAsia"/>
          <w:color w:val="auto"/>
          <w:highlight w:val="none"/>
          <w:lang w:val="en-US" w:eastAsia="zh-CN"/>
        </w:rPr>
        <w:t>“一河一策一图”。强化</w:t>
      </w:r>
      <w:r>
        <w:rPr>
          <w:rFonts w:hint="eastAsia"/>
          <w:color w:val="auto"/>
          <w:highlight w:val="none"/>
          <w:lang w:val="en-US" w:eastAsia="zh"/>
        </w:rPr>
        <w:t>饮用水水源地环境风险防范和应急应对</w:t>
      </w:r>
      <w:r>
        <w:rPr>
          <w:rFonts w:hint="eastAsia"/>
          <w:color w:val="auto"/>
          <w:highlight w:val="none"/>
          <w:lang w:val="en-US" w:eastAsia="zh-CN"/>
        </w:rPr>
        <w:t>处置</w:t>
      </w:r>
      <w:r>
        <w:rPr>
          <w:rFonts w:hint="eastAsia"/>
          <w:color w:val="auto"/>
          <w:highlight w:val="none"/>
          <w:lang w:val="en-US" w:eastAsia="zh"/>
        </w:rPr>
        <w:t>。</w:t>
      </w:r>
      <w:r>
        <w:rPr>
          <w:rFonts w:hint="eastAsia"/>
          <w:color w:val="auto"/>
          <w:highlight w:val="none"/>
          <w:lang w:val="en-US" w:eastAsia="zh-CN"/>
        </w:rPr>
        <w:t>完善</w:t>
      </w:r>
      <w:r>
        <w:rPr>
          <w:rFonts w:hint="eastAsia"/>
          <w:color w:val="auto"/>
          <w:highlight w:val="none"/>
        </w:rPr>
        <w:t>山海关港区</w:t>
      </w:r>
      <w:r>
        <w:rPr>
          <w:rFonts w:hint="eastAsia"/>
          <w:color w:val="auto"/>
          <w:highlight w:val="none"/>
          <w:lang w:eastAsia="zh-CN"/>
        </w:rPr>
        <w:t>、</w:t>
      </w:r>
      <w:r>
        <w:rPr>
          <w:rFonts w:hint="eastAsia"/>
          <w:color w:val="auto"/>
          <w:highlight w:val="none"/>
        </w:rPr>
        <w:t>秦皇岛</w:t>
      </w:r>
      <w:r>
        <w:rPr>
          <w:rFonts w:hint="eastAsia"/>
          <w:color w:val="auto"/>
          <w:highlight w:val="none"/>
          <w:lang w:val="en-US" w:eastAsia="zh-CN"/>
        </w:rPr>
        <w:t>港</w:t>
      </w:r>
      <w:r>
        <w:rPr>
          <w:rFonts w:hint="eastAsia"/>
          <w:color w:val="auto"/>
          <w:highlight w:val="none"/>
        </w:rPr>
        <w:t>东西港区防治船舶污染海洋环境的码头联防体</w:t>
      </w:r>
      <w:r>
        <w:rPr>
          <w:rFonts w:hint="eastAsia"/>
          <w:color w:val="auto"/>
          <w:highlight w:val="none"/>
          <w:lang w:val="en-US" w:eastAsia="zh-CN"/>
        </w:rPr>
        <w:t>建设</w:t>
      </w:r>
      <w:r>
        <w:rPr>
          <w:rFonts w:hint="eastAsia"/>
          <w:color w:val="auto"/>
          <w:highlight w:val="none"/>
          <w:lang w:eastAsia="zh-CN"/>
        </w:rPr>
        <w:t>，</w:t>
      </w:r>
      <w:r>
        <w:rPr>
          <w:rFonts w:hint="eastAsia"/>
          <w:color w:val="auto"/>
          <w:highlight w:val="none"/>
        </w:rPr>
        <w:t>提升重大海上污染事故和外来污染的防范能力</w:t>
      </w:r>
      <w:r>
        <w:rPr>
          <w:rFonts w:hint="eastAsia"/>
          <w:color w:val="auto"/>
          <w:highlight w:val="none"/>
          <w:lang w:eastAsia="zh-CN"/>
        </w:rPr>
        <w:t>。</w:t>
      </w:r>
    </w:p>
    <w:p>
      <w:pPr>
        <w:pageBreakBefore w:val="0"/>
        <w:kinsoku/>
        <w:wordWrap/>
        <w:overflowPunct/>
        <w:topLinePunct w:val="0"/>
        <w:autoSpaceDN/>
        <w:bidi w:val="0"/>
        <w:adjustRightInd/>
        <w:rPr>
          <w:rFonts w:hint="eastAsia"/>
          <w:color w:val="auto"/>
          <w:highlight w:val="none"/>
          <w:lang w:val="en-US" w:eastAsia="zh"/>
        </w:rPr>
      </w:pPr>
      <w:r>
        <w:rPr>
          <w:rFonts w:hint="eastAsia"/>
          <w:color w:val="auto"/>
          <w:highlight w:val="none"/>
          <w:lang w:val="en-US" w:eastAsia="zh-CN"/>
        </w:rPr>
        <w:t>对重点管控新污染物实施“一品一策”管控措施，严格石化、涂料、橡胶、农药、医药等行业新污染物排放及环境风险管控</w:t>
      </w:r>
      <w:r>
        <w:rPr>
          <w:rFonts w:hint="eastAsia"/>
          <w:color w:val="auto"/>
          <w:highlight w:val="none"/>
          <w:lang w:val="en-US" w:eastAsia="zh"/>
        </w:rPr>
        <w:t>。</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修订市突发环境事件应急预案，健全跨流域、跨区域、跨部门的突发环境事件应急协同联动机制，提升突发环境事件应急处置能力。加强常态化、差异化应急演练，健全应急物资储备体系。加强核与辐射安全隐患排查，提升辐射事故应急处置能力。</w:t>
      </w:r>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20.强化生物安全防控</w:t>
      </w:r>
    </w:p>
    <w:p>
      <w:pPr>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right="0" w:firstLine="640" w:firstLineChars="200"/>
        <w:jc w:val="both"/>
        <w:rPr>
          <w:rFonts w:hint="default" w:ascii="Times New Roman" w:hAnsi="Times New Roman" w:eastAsia="仿宋_GB2312" w:cs="仿宋_GB2312"/>
          <w:color w:val="auto"/>
          <w:kern w:val="2"/>
          <w:sz w:val="32"/>
          <w:szCs w:val="32"/>
          <w:highlight w:val="none"/>
        </w:rPr>
      </w:pPr>
      <w:r>
        <w:rPr>
          <w:rFonts w:hint="eastAsia" w:ascii="Times New Roman" w:hAnsi="Times New Roman"/>
          <w:color w:val="auto"/>
          <w:kern w:val="0"/>
          <w:szCs w:val="32"/>
          <w:highlight w:val="none"/>
          <w:u w:val="none"/>
          <w:lang w:bidi="ar"/>
        </w:rPr>
        <w:t>加强重点管控外来入侵物种的监测</w:t>
      </w:r>
      <w:r>
        <w:rPr>
          <w:rFonts w:hint="eastAsia" w:ascii="Times New Roman" w:hAnsi="Times New Roman"/>
          <w:color w:val="auto"/>
          <w:kern w:val="0"/>
          <w:szCs w:val="32"/>
          <w:highlight w:val="none"/>
          <w:u w:val="none"/>
          <w:lang w:eastAsia="zh-CN" w:bidi="ar"/>
        </w:rPr>
        <w:t>、</w:t>
      </w:r>
      <w:r>
        <w:rPr>
          <w:rFonts w:hint="eastAsia" w:ascii="Times New Roman" w:hAnsi="Times New Roman"/>
          <w:color w:val="auto"/>
          <w:kern w:val="0"/>
          <w:szCs w:val="32"/>
          <w:highlight w:val="none"/>
          <w:u w:val="none"/>
          <w:lang w:bidi="ar"/>
        </w:rPr>
        <w:t>预警和防控</w:t>
      </w:r>
      <w:r>
        <w:rPr>
          <w:rFonts w:hint="eastAsia" w:ascii="Times New Roman" w:hAnsi="Times New Roman"/>
          <w:color w:val="auto"/>
          <w:kern w:val="0"/>
          <w:szCs w:val="32"/>
          <w:highlight w:val="none"/>
          <w:u w:val="none"/>
          <w:lang w:eastAsia="zh-CN" w:bidi="ar"/>
        </w:rPr>
        <w:t>。</w:t>
      </w:r>
      <w:r>
        <w:rPr>
          <w:rFonts w:hint="eastAsia" w:ascii="Times New Roman" w:hAnsi="Times New Roman" w:cs="仿宋_GB2312"/>
          <w:color w:val="auto"/>
          <w:kern w:val="0"/>
          <w:sz w:val="32"/>
          <w:szCs w:val="32"/>
          <w:highlight w:val="none"/>
          <w:u w:val="none"/>
          <w:lang w:val="en-US" w:eastAsia="zh-CN" w:bidi="ar"/>
        </w:rPr>
        <w:t>在农田、渔业水域、森林、湿地、近岸海域等重点区域开展外来入侵物种普查，摸清种类数量、分布范围、危害程度等状况，综合施治、及时治理</w:t>
      </w:r>
      <w:r>
        <w:rPr>
          <w:rFonts w:hint="default" w:ascii="仿宋_GB2312" w:hAnsi="Times New Roman" w:eastAsia="仿宋_GB2312" w:cs="仿宋_GB2312"/>
          <w:color w:val="auto"/>
          <w:kern w:val="2"/>
          <w:sz w:val="32"/>
          <w:szCs w:val="32"/>
          <w:highlight w:val="none"/>
        </w:rPr>
        <w:t>。</w:t>
      </w:r>
      <w:r>
        <w:rPr>
          <w:rFonts w:hint="eastAsia" w:hAnsi="Times New Roman" w:cs="仿宋_GB2312"/>
          <w:color w:val="auto"/>
          <w:kern w:val="2"/>
          <w:sz w:val="32"/>
          <w:szCs w:val="32"/>
          <w:highlight w:val="none"/>
          <w:lang w:val="en-US" w:eastAsia="zh-CN"/>
        </w:rPr>
        <w:t>开展</w:t>
      </w:r>
      <w:r>
        <w:rPr>
          <w:rFonts w:hint="eastAsia"/>
          <w:color w:val="auto"/>
          <w:highlight w:val="none"/>
          <w:u w:val="none"/>
          <w:lang w:val="en-US" w:eastAsia="zh-CN"/>
        </w:rPr>
        <w:t>外来入侵物种科普活动，普及防控知识。强化进境动植物口岸检疫，严防携带外来入侵物种和禁止进境动植物及其产品入境。</w:t>
      </w:r>
      <w:r>
        <w:rPr>
          <w:rFonts w:hint="default" w:ascii="仿宋_GB2312" w:hAnsi="Times New Roman" w:eastAsia="仿宋_GB2312" w:cs="仿宋_GB2312"/>
          <w:color w:val="auto"/>
          <w:kern w:val="2"/>
          <w:sz w:val="32"/>
          <w:szCs w:val="32"/>
          <w:highlight w:val="none"/>
        </w:rPr>
        <w:t>严格进境粮食后续监管，防范动植物疫情传入。加强港口船舶监管，对压载水和沉积物</w:t>
      </w:r>
      <w:r>
        <w:rPr>
          <w:rFonts w:hint="eastAsia" w:hAnsi="Times New Roman" w:cs="仿宋_GB2312"/>
          <w:color w:val="auto"/>
          <w:kern w:val="2"/>
          <w:sz w:val="32"/>
          <w:szCs w:val="32"/>
          <w:highlight w:val="none"/>
          <w:lang w:val="en-US" w:eastAsia="zh-CN"/>
        </w:rPr>
        <w:t>规范</w:t>
      </w:r>
      <w:r>
        <w:rPr>
          <w:rFonts w:hint="default" w:ascii="仿宋_GB2312" w:hAnsi="Times New Roman" w:eastAsia="仿宋_GB2312" w:cs="仿宋_GB2312"/>
          <w:color w:val="auto"/>
          <w:kern w:val="2"/>
          <w:sz w:val="32"/>
          <w:szCs w:val="32"/>
          <w:highlight w:val="none"/>
        </w:rPr>
        <w:t>处理处置，严控引入外来有害生物。</w:t>
      </w:r>
    </w:p>
    <w:p>
      <w:pPr>
        <w:pStyle w:val="3"/>
        <w:pageBreakBefore w:val="0"/>
        <w:kinsoku/>
        <w:wordWrap/>
        <w:overflowPunct/>
        <w:topLinePunct w:val="0"/>
        <w:autoSpaceDN/>
        <w:bidi w:val="0"/>
        <w:adjustRightInd/>
        <w:rPr>
          <w:rFonts w:hint="default"/>
          <w:color w:val="auto"/>
          <w:highlight w:val="none"/>
          <w:lang w:val="en-US" w:eastAsia="zh-CN"/>
        </w:rPr>
      </w:pPr>
      <w:bookmarkStart w:id="37" w:name="_Toc22698"/>
      <w:bookmarkStart w:id="38" w:name="_Toc18208"/>
      <w:bookmarkStart w:id="39" w:name="_Toc6702"/>
      <w:r>
        <w:rPr>
          <w:rFonts w:hint="eastAsia"/>
          <w:color w:val="auto"/>
          <w:highlight w:val="none"/>
          <w:lang w:val="en-US" w:eastAsia="zh-CN"/>
        </w:rPr>
        <w:t>（五）数字赋能驱动，打造环境治理高效智慧之城</w:t>
      </w:r>
      <w:bookmarkEnd w:id="26"/>
      <w:bookmarkEnd w:id="27"/>
      <w:bookmarkEnd w:id="28"/>
      <w:bookmarkEnd w:id="29"/>
      <w:bookmarkEnd w:id="37"/>
      <w:bookmarkEnd w:id="38"/>
      <w:bookmarkEnd w:id="39"/>
    </w:p>
    <w:p>
      <w:pPr>
        <w:pageBreakBefore w:val="0"/>
        <w:kinsoku/>
        <w:wordWrap/>
        <w:overflowPunct/>
        <w:topLinePunct w:val="0"/>
        <w:autoSpaceDN/>
        <w:bidi w:val="0"/>
        <w:adjustRightInd/>
        <w:rPr>
          <w:rFonts w:hint="eastAsia"/>
          <w:b/>
          <w:bCs/>
          <w:color w:val="auto"/>
          <w:highlight w:val="none"/>
          <w:lang w:val="en-US" w:eastAsia="zh-CN"/>
        </w:rPr>
      </w:pPr>
      <w:bookmarkStart w:id="40" w:name="_Toc28952"/>
      <w:bookmarkStart w:id="41" w:name="_Toc4684"/>
      <w:bookmarkStart w:id="42" w:name="_Toc30839"/>
      <w:r>
        <w:rPr>
          <w:rFonts w:hint="eastAsia"/>
          <w:b/>
          <w:bCs/>
          <w:color w:val="auto"/>
          <w:highlight w:val="none"/>
          <w:lang w:val="en-US" w:eastAsia="zh-CN"/>
        </w:rPr>
        <w:t>21.构建天空地海一体化监测网络</w:t>
      </w:r>
    </w:p>
    <w:p>
      <w:pPr>
        <w:pageBreakBefore w:val="0"/>
        <w:kinsoku/>
        <w:wordWrap/>
        <w:overflowPunct/>
        <w:topLinePunct w:val="0"/>
        <w:autoSpaceDN/>
        <w:bidi w:val="0"/>
        <w:adjustRightInd/>
        <w:rPr>
          <w:rFonts w:hint="default" w:ascii="Times New Roman" w:hAnsi="Times New Roman" w:eastAsia="楷体_GB2312" w:cs="Times New Roman"/>
          <w:color w:val="auto"/>
          <w:kern w:val="2"/>
          <w:szCs w:val="22"/>
          <w:highlight w:val="none"/>
          <w:u w:val="none"/>
          <w:lang w:val="en-US" w:eastAsia="zh-CN" w:bidi="ar-SA"/>
        </w:rPr>
      </w:pPr>
      <w:r>
        <w:rPr>
          <w:rFonts w:hint="eastAsia"/>
          <w:color w:val="auto"/>
          <w:highlight w:val="none"/>
          <w:lang w:val="en-US" w:eastAsia="zh-CN"/>
        </w:rPr>
        <w:t>完善陆海统筹的水环境监测网络，开展自动监测为主、手工监测为辅的“9+X”水质监测。加强饮用水水源水质监测，落实饮用水水源水质生物毒性预警监测。</w:t>
      </w:r>
      <w:r>
        <w:rPr>
          <w:rFonts w:hint="eastAsia" w:ascii="仿宋_GB2312" w:hAnsi="仿宋_GB2312" w:eastAsia="仿宋_GB2312" w:cs="仿宋_GB2312"/>
          <w:color w:val="auto"/>
          <w:kern w:val="2"/>
          <w:sz w:val="32"/>
          <w:szCs w:val="22"/>
          <w:highlight w:val="none"/>
          <w:u w:val="none"/>
          <w:lang w:val="en-US" w:eastAsia="zh-CN" w:bidi="ar-SA"/>
        </w:rPr>
        <w:t>配合上级开展海洋生态环境监测</w:t>
      </w:r>
      <w:r>
        <w:rPr>
          <w:rFonts w:hint="eastAsia"/>
          <w:color w:val="auto"/>
          <w:highlight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bidi="ar"/>
        </w:rPr>
        <w:t>优化自动为主、城乡统筹的大气环境监测网络，</w:t>
      </w:r>
      <w:r>
        <w:rPr>
          <w:rFonts w:hint="eastAsia"/>
          <w:color w:val="auto"/>
          <w:highlight w:val="none"/>
          <w:lang w:val="en-US" w:eastAsia="zh-CN"/>
        </w:rPr>
        <w:t>提升城乡细颗粒物和臭氧协同监测与预警能力。结合国家、省级地下水监测网络，优化和补充“双源”类地下水环境监测井，每年依管理要求开展监测。</w:t>
      </w:r>
      <w:r>
        <w:rPr>
          <w:rFonts w:hint="eastAsia" w:ascii="仿宋_GB2312" w:hAnsi="仿宋_GB2312" w:eastAsia="仿宋_GB2312" w:cs="仿宋_GB2312"/>
          <w:color w:val="auto"/>
          <w:kern w:val="2"/>
          <w:sz w:val="32"/>
          <w:szCs w:val="22"/>
          <w:highlight w:val="none"/>
          <w:u w:val="none"/>
          <w:lang w:val="en-US" w:eastAsia="zh-CN" w:bidi="ar-SA"/>
        </w:rPr>
        <w:t>开展土壤环境质量常态化监测，</w:t>
      </w:r>
      <w:r>
        <w:rPr>
          <w:rFonts w:hint="eastAsia" w:cs="仿宋_GB2312"/>
          <w:color w:val="auto"/>
          <w:kern w:val="2"/>
          <w:sz w:val="32"/>
          <w:szCs w:val="22"/>
          <w:highlight w:val="none"/>
          <w:u w:val="none"/>
          <w:lang w:val="en-US" w:eastAsia="zh-CN" w:bidi="ar-SA"/>
        </w:rPr>
        <w:t>适</w:t>
      </w:r>
      <w:r>
        <w:rPr>
          <w:rFonts w:hint="eastAsia" w:ascii="仿宋_GB2312" w:hAnsi="仿宋_GB2312" w:eastAsia="仿宋_GB2312" w:cs="仿宋_GB2312"/>
          <w:color w:val="auto"/>
          <w:kern w:val="2"/>
          <w:sz w:val="32"/>
          <w:szCs w:val="22"/>
          <w:highlight w:val="none"/>
          <w:u w:val="none"/>
          <w:lang w:val="en-US" w:eastAsia="zh-CN" w:bidi="ar-SA"/>
        </w:rPr>
        <w:t>时开展土壤和农产品协同监测与评价</w:t>
      </w:r>
      <w:r>
        <w:rPr>
          <w:rFonts w:hint="eastAsia"/>
          <w:color w:val="auto"/>
          <w:highlight w:val="none"/>
          <w:lang w:val="en-US" w:eastAsia="zh-CN"/>
        </w:rPr>
        <w:t>。完善重点区域噪声监测网络。依托国家空气吸收剂量率监测点和省辐射环境安全技术服务中心，开展空气、海洋辐射环境监测。</w:t>
      </w:r>
    </w:p>
    <w:p>
      <w:pPr>
        <w:pageBreakBefore w:val="0"/>
        <w:kinsoku/>
        <w:wordWrap/>
        <w:overflowPunct/>
        <w:topLinePunct w:val="0"/>
        <w:autoSpaceDE/>
        <w:autoSpaceDN/>
        <w:bidi w:val="0"/>
        <w:adjustRightInd/>
        <w:snapToGrid/>
        <w:spacing w:line="560" w:lineRule="exact"/>
        <w:ind w:firstLine="643"/>
        <w:textAlignment w:val="auto"/>
        <w:rPr>
          <w:rFonts w:hint="eastAsia" w:ascii="Times New Roman" w:hAnsi="Times New Roman"/>
          <w:b/>
          <w:bCs/>
          <w:color w:val="auto"/>
          <w:highlight w:val="none"/>
          <w:u w:val="none"/>
          <w:lang w:val="en-US" w:eastAsia="zh-CN"/>
        </w:rPr>
      </w:pPr>
      <w:r>
        <w:rPr>
          <w:rFonts w:hint="eastAsia" w:cs="仿宋_GB2312"/>
          <w:b/>
          <w:bCs/>
          <w:color w:val="auto"/>
          <w:highlight w:val="none"/>
          <w:u w:val="none"/>
          <w:lang w:val="en-US" w:eastAsia="zh-CN"/>
        </w:rPr>
        <w:t>22</w:t>
      </w:r>
      <w:r>
        <w:rPr>
          <w:rFonts w:hint="eastAsia" w:ascii="仿宋_GB2312" w:hAnsi="仿宋_GB2312" w:eastAsia="仿宋_GB2312" w:cs="仿宋_GB2312"/>
          <w:b/>
          <w:bCs/>
          <w:color w:val="auto"/>
          <w:highlight w:val="none"/>
          <w:u w:val="none"/>
          <w:lang w:val="en-US" w:eastAsia="zh-CN"/>
        </w:rPr>
        <w:t>.</w:t>
      </w:r>
      <w:r>
        <w:rPr>
          <w:rFonts w:hint="eastAsia" w:cs="仿宋_GB2312"/>
          <w:b/>
          <w:bCs/>
          <w:color w:val="auto"/>
          <w:highlight w:val="none"/>
          <w:u w:val="none"/>
          <w:lang w:val="en-US" w:eastAsia="zh-CN"/>
        </w:rPr>
        <w:t>打造智慧</w:t>
      </w:r>
      <w:r>
        <w:rPr>
          <w:rFonts w:hint="eastAsia" w:ascii="Times New Roman" w:hAnsi="Times New Roman"/>
          <w:b/>
          <w:bCs/>
          <w:color w:val="auto"/>
          <w:highlight w:val="none"/>
          <w:u w:val="none"/>
          <w:lang w:val="en-US" w:eastAsia="zh-CN"/>
        </w:rPr>
        <w:t>决策与</w:t>
      </w:r>
      <w:r>
        <w:rPr>
          <w:rFonts w:hint="eastAsia" w:cs="仿宋_GB2312"/>
          <w:b/>
          <w:bCs/>
          <w:color w:val="auto"/>
          <w:highlight w:val="none"/>
          <w:u w:val="none"/>
          <w:lang w:val="en-US" w:eastAsia="zh-CN"/>
        </w:rPr>
        <w:t>高效</w:t>
      </w:r>
      <w:r>
        <w:rPr>
          <w:rFonts w:hint="eastAsia" w:ascii="Times New Roman" w:hAnsi="Times New Roman"/>
          <w:b/>
          <w:bCs/>
          <w:color w:val="auto"/>
          <w:highlight w:val="none"/>
          <w:u w:val="none"/>
          <w:lang w:val="en-US" w:eastAsia="zh-CN"/>
        </w:rPr>
        <w:t>监管体系</w:t>
      </w:r>
    </w:p>
    <w:p>
      <w:pPr>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auto"/>
          <w:kern w:val="2"/>
          <w:sz w:val="32"/>
          <w:szCs w:val="22"/>
          <w:highlight w:val="none"/>
          <w:u w:val="none"/>
          <w:lang w:val="en-US" w:eastAsia="zh-CN" w:bidi="ar-SA"/>
        </w:rPr>
      </w:pPr>
      <w:r>
        <w:rPr>
          <w:rFonts w:hint="eastAsia" w:ascii="仿宋_GB2312" w:hAnsi="仿宋_GB2312" w:eastAsia="仿宋_GB2312" w:cs="仿宋_GB2312"/>
          <w:color w:val="auto"/>
          <w:sz w:val="32"/>
          <w:szCs w:val="32"/>
          <w:highlight w:val="none"/>
          <w:u w:val="none"/>
          <w:lang w:val="en-US" w:eastAsia="zh-CN"/>
        </w:rPr>
        <w:t>逐步完善生态环境智慧感知监测应用平台，加强</w:t>
      </w:r>
      <w:r>
        <w:rPr>
          <w:rFonts w:hint="eastAsia" w:ascii="仿宋_GB2312" w:hAnsi="仿宋_GB2312" w:eastAsia="仿宋_GB2312" w:cs="仿宋_GB2312"/>
          <w:b w:val="0"/>
          <w:bCs w:val="0"/>
          <w:color w:val="auto"/>
          <w:kern w:val="0"/>
          <w:sz w:val="32"/>
          <w:szCs w:val="32"/>
          <w:highlight w:val="none"/>
          <w:u w:val="none"/>
          <w:lang w:val="en-US" w:eastAsia="zh-CN" w:bidi="ar"/>
        </w:rPr>
        <w:t>污染防治、执法监管、环境监测等领域信息化应用，形成全市</w:t>
      </w:r>
      <w:r>
        <w:rPr>
          <w:rFonts w:hint="eastAsia" w:ascii="仿宋_GB2312" w:hAnsi="仿宋_GB2312" w:eastAsia="仿宋_GB2312" w:cs="仿宋_GB2312"/>
          <w:color w:val="auto"/>
          <w:kern w:val="0"/>
          <w:sz w:val="32"/>
          <w:szCs w:val="32"/>
          <w:highlight w:val="none"/>
          <w:u w:val="none"/>
          <w:lang w:val="en-US" w:eastAsia="zh-CN" w:bidi="ar"/>
        </w:rPr>
        <w:t>生态环境信息“一张图”</w:t>
      </w:r>
      <w:r>
        <w:rPr>
          <w:rFonts w:hint="eastAsia" w:ascii="仿宋_GB2312" w:hAnsi="仿宋_GB2312" w:eastAsia="仿宋_GB2312" w:cs="仿宋_GB2312"/>
          <w:b w:val="0"/>
          <w:bCs w:val="0"/>
          <w:color w:val="auto"/>
          <w:kern w:val="0"/>
          <w:sz w:val="32"/>
          <w:szCs w:val="32"/>
          <w:highlight w:val="none"/>
          <w:u w:val="none"/>
          <w:lang w:val="en-US" w:eastAsia="zh-CN" w:bidi="ar"/>
        </w:rPr>
        <w:t>。依托大气环境综合指挥平台，</w:t>
      </w:r>
      <w:r>
        <w:rPr>
          <w:rFonts w:hint="eastAsia" w:ascii="仿宋_GB2312" w:hAnsi="仿宋_GB2312" w:eastAsia="仿宋_GB2312" w:cs="仿宋_GB2312"/>
          <w:color w:val="auto"/>
          <w:sz w:val="32"/>
          <w:szCs w:val="32"/>
          <w:highlight w:val="none"/>
          <w:u w:val="none"/>
          <w:lang w:val="en-US" w:eastAsia="zh-CN"/>
        </w:rPr>
        <w:t>构建环境形势分析、管控措施全景智能决策支撑体系。</w:t>
      </w:r>
      <w:r>
        <w:rPr>
          <w:rFonts w:hint="eastAsia" w:ascii="仿宋_GB2312" w:hAnsi="仿宋_GB2312" w:eastAsia="仿宋_GB2312" w:cs="仿宋_GB2312"/>
          <w:color w:val="auto"/>
          <w:kern w:val="0"/>
          <w:sz w:val="32"/>
          <w:szCs w:val="32"/>
          <w:highlight w:val="none"/>
          <w:u w:val="none"/>
          <w:lang w:val="en-US" w:eastAsia="zh-CN" w:bidi="ar"/>
        </w:rPr>
        <w:t>针对重点区域流域建立污染源溯源调查和快速响应机制。</w:t>
      </w:r>
      <w:r>
        <w:rPr>
          <w:rFonts w:hint="eastAsia" w:ascii="仿宋_GB2312" w:hAnsi="仿宋_GB2312" w:eastAsia="仿宋_GB2312" w:cs="仿宋_GB2312"/>
          <w:color w:val="auto"/>
          <w:sz w:val="32"/>
          <w:szCs w:val="32"/>
          <w:highlight w:val="none"/>
          <w:u w:val="none"/>
          <w:lang w:val="en-US" w:eastAsia="zh-CN"/>
        </w:rPr>
        <w:t>依托北戴河生态环境保障数智监管平台，整合跨部门基础数据，加快构建“海河陆共治”生态环境智慧监管体系</w:t>
      </w:r>
      <w:r>
        <w:rPr>
          <w:rFonts w:hint="eastAsia" w:ascii="仿宋_GB2312" w:hAnsi="仿宋_GB2312" w:eastAsia="仿宋_GB2312" w:cs="仿宋_GB2312"/>
          <w:b w:val="0"/>
          <w:bCs w:val="0"/>
          <w:color w:val="auto"/>
          <w:kern w:val="0"/>
          <w:sz w:val="32"/>
          <w:szCs w:val="32"/>
          <w:highlight w:val="none"/>
          <w:u w:val="none"/>
          <w:lang w:val="en-US" w:eastAsia="zh-CN" w:bidi="ar"/>
        </w:rPr>
        <w:t>，实现环境质量、污染源头、排污监测全覆盖和智能化管理</w:t>
      </w:r>
      <w:r>
        <w:rPr>
          <w:rFonts w:hint="eastAsia" w:ascii="仿宋_GB2312" w:hAnsi="仿宋_GB2312" w:eastAsia="仿宋_GB2312" w:cs="仿宋_GB2312"/>
          <w:color w:val="auto"/>
          <w:sz w:val="32"/>
          <w:szCs w:val="32"/>
          <w:highlight w:val="none"/>
          <w:u w:val="none"/>
          <w:lang w:val="en-US" w:eastAsia="zh-CN"/>
        </w:rPr>
        <w:t>，形成“技术发现问题、行政解决问题、群众监督问题”的闭环治理模式。</w:t>
      </w:r>
      <w:r>
        <w:rPr>
          <w:rFonts w:hint="eastAsia" w:ascii="仿宋_GB2312" w:hAnsi="仿宋_GB2312" w:eastAsia="仿宋_GB2312" w:cs="仿宋_GB2312"/>
          <w:color w:val="auto"/>
          <w:kern w:val="0"/>
          <w:sz w:val="32"/>
          <w:szCs w:val="32"/>
          <w:highlight w:val="none"/>
          <w:u w:val="none"/>
          <w:lang w:val="en-US" w:eastAsia="zh-CN" w:bidi="ar"/>
        </w:rPr>
        <w:t>建立污染源大数据监管分析模型，构建“实时监测-模式识别-证据校验-风险分级”的全链条智能分析体系，实现污染源全生命周期监管。充分使用无人机、走航车等现代技术手段开展非现场监管</w:t>
      </w:r>
      <w:r>
        <w:rPr>
          <w:rFonts w:hint="eastAsia" w:cs="仿宋_GB2312"/>
          <w:color w:val="auto"/>
          <w:kern w:val="0"/>
          <w:sz w:val="32"/>
          <w:szCs w:val="32"/>
          <w:highlight w:val="none"/>
          <w:u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打造一体化非现场执法监管平台，开发远程执法服务。加强重点用能单位能耗在线监测监管。</w:t>
      </w:r>
      <w:r>
        <w:rPr>
          <w:rFonts w:hint="eastAsia" w:ascii="仿宋_GB2312" w:hAnsi="仿宋_GB2312" w:eastAsia="仿宋_GB2312" w:cs="仿宋_GB2312"/>
          <w:color w:val="auto"/>
          <w:sz w:val="32"/>
          <w:szCs w:val="32"/>
          <w:highlight w:val="none"/>
          <w:lang w:val="en-US" w:eastAsia="zh"/>
        </w:rPr>
        <w:t>推动建筑能耗智慧监管，建设建筑数字化智能化运行管理平台。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cs="仿宋_GB2312"/>
          <w:b/>
          <w:bCs/>
          <w:color w:val="auto"/>
          <w:highlight w:val="none"/>
          <w:u w:val="none"/>
          <w:lang w:val="en-US" w:eastAsia="zh"/>
        </w:rPr>
      </w:pPr>
      <w:r>
        <w:rPr>
          <w:rFonts w:hint="eastAsia" w:cs="仿宋_GB2312"/>
          <w:b/>
          <w:bCs/>
          <w:color w:val="auto"/>
          <w:highlight w:val="none"/>
          <w:u w:val="none"/>
          <w:lang w:val="en-US" w:eastAsia="zh-CN"/>
        </w:rPr>
        <w:t>2</w:t>
      </w:r>
      <w:r>
        <w:rPr>
          <w:rFonts w:hint="eastAsia" w:cs="仿宋_GB2312"/>
          <w:b/>
          <w:bCs/>
          <w:color w:val="auto"/>
          <w:highlight w:val="none"/>
          <w:u w:val="none"/>
          <w:lang w:val="en-US" w:eastAsia="zh"/>
        </w:rPr>
        <w:t>3.</w:t>
      </w:r>
      <w:r>
        <w:rPr>
          <w:rFonts w:hint="eastAsia" w:ascii="仿宋_GB2312" w:hAnsi="仿宋_GB2312" w:eastAsia="仿宋_GB2312" w:cs="仿宋_GB2312"/>
          <w:b/>
          <w:bCs/>
          <w:color w:val="auto"/>
          <w:highlight w:val="none"/>
          <w:u w:val="none"/>
          <w:lang w:val="en-US" w:eastAsia="zh-CN"/>
        </w:rPr>
        <w:t>拓展数</w:t>
      </w:r>
      <w:r>
        <w:rPr>
          <w:rFonts w:hint="eastAsia" w:cs="仿宋_GB2312"/>
          <w:b/>
          <w:bCs/>
          <w:color w:val="auto"/>
          <w:highlight w:val="none"/>
          <w:u w:val="none"/>
          <w:lang w:val="en-US" w:eastAsia="zh-CN"/>
        </w:rPr>
        <w:t>智化</w:t>
      </w:r>
      <w:r>
        <w:rPr>
          <w:rFonts w:hint="eastAsia" w:ascii="仿宋_GB2312" w:hAnsi="仿宋_GB2312" w:eastAsia="仿宋_GB2312" w:cs="仿宋_GB2312"/>
          <w:b/>
          <w:bCs/>
          <w:color w:val="auto"/>
          <w:highlight w:val="none"/>
          <w:u w:val="none"/>
          <w:lang w:val="en-US" w:eastAsia="zh-CN"/>
        </w:rPr>
        <w:t>应用场景</w:t>
      </w:r>
    </w:p>
    <w:p>
      <w:pPr>
        <w:pageBreakBefore w:val="0"/>
        <w:kinsoku/>
        <w:wordWrap/>
        <w:overflowPunct/>
        <w:topLinePunct w:val="0"/>
        <w:autoSpaceDN/>
        <w:bidi w:val="0"/>
        <w:adjustRightInd/>
        <w:rPr>
          <w:rFonts w:hint="eastAsia"/>
          <w:strike w:val="0"/>
          <w:color w:val="auto"/>
          <w:highlight w:val="none"/>
          <w:lang w:val="en-US" w:eastAsia="zh-CN"/>
        </w:rPr>
      </w:pPr>
      <w:r>
        <w:rPr>
          <w:rFonts w:hint="default"/>
          <w:color w:val="auto"/>
          <w:highlight w:val="none"/>
          <w:lang w:val="en-US" w:eastAsia="zh-CN"/>
        </w:rPr>
        <w:t>常态化归集</w:t>
      </w:r>
      <w:r>
        <w:rPr>
          <w:rFonts w:hint="eastAsia"/>
          <w:color w:val="auto"/>
          <w:highlight w:val="none"/>
          <w:lang w:val="en-US" w:eastAsia="zh-CN"/>
        </w:rPr>
        <w:t>公共</w:t>
      </w:r>
      <w:r>
        <w:rPr>
          <w:rFonts w:hint="default"/>
          <w:color w:val="auto"/>
          <w:highlight w:val="none"/>
          <w:lang w:val="en-US" w:eastAsia="zh-CN"/>
        </w:rPr>
        <w:t>数据，依托</w:t>
      </w:r>
      <w:r>
        <w:rPr>
          <w:rFonts w:hint="eastAsia"/>
          <w:color w:val="auto"/>
          <w:highlight w:val="none"/>
          <w:lang w:val="en-US" w:eastAsia="zh-CN"/>
        </w:rPr>
        <w:t>省公共</w:t>
      </w:r>
      <w:r>
        <w:rPr>
          <w:rFonts w:hint="default"/>
          <w:color w:val="auto"/>
          <w:highlight w:val="none"/>
          <w:lang w:val="en-US" w:eastAsia="zh-CN"/>
        </w:rPr>
        <w:t>数据资源登记平台，开展登记工作</w:t>
      </w:r>
      <w:r>
        <w:rPr>
          <w:rFonts w:hint="eastAsia"/>
          <w:color w:val="auto"/>
          <w:highlight w:val="none"/>
          <w:lang w:val="en-US" w:eastAsia="zh-CN"/>
        </w:rPr>
        <w:t>。</w:t>
      </w:r>
      <w:r>
        <w:rPr>
          <w:rFonts w:hint="default"/>
          <w:color w:val="auto"/>
          <w:highlight w:val="none"/>
          <w:lang w:val="en-US" w:eastAsia="zh-CN"/>
        </w:rPr>
        <w:t>推进市级政务云建设，</w:t>
      </w:r>
      <w:r>
        <w:rPr>
          <w:rFonts w:hint="eastAsia"/>
          <w:color w:val="auto"/>
          <w:highlight w:val="none"/>
          <w:lang w:val="en-US" w:eastAsia="zh-CN"/>
        </w:rPr>
        <w:t>建设公共数据开放共享平台，实现</w:t>
      </w:r>
      <w:r>
        <w:rPr>
          <w:rFonts w:hint="default"/>
          <w:color w:val="auto"/>
          <w:highlight w:val="none"/>
          <w:lang w:val="en-US" w:eastAsia="zh-CN"/>
        </w:rPr>
        <w:t>全市公共数据归集和</w:t>
      </w:r>
      <w:r>
        <w:rPr>
          <w:rFonts w:hint="eastAsia"/>
          <w:color w:val="auto"/>
          <w:highlight w:val="none"/>
          <w:lang w:val="en-US" w:eastAsia="zh-CN"/>
        </w:rPr>
        <w:t>共享</w:t>
      </w:r>
      <w:r>
        <w:rPr>
          <w:rFonts w:hint="default"/>
          <w:color w:val="auto"/>
          <w:highlight w:val="none"/>
          <w:lang w:val="en-US" w:eastAsia="zh-CN"/>
        </w:rPr>
        <w:t>。</w:t>
      </w:r>
      <w:r>
        <w:rPr>
          <w:rFonts w:hint="eastAsia"/>
          <w:strike w:val="0"/>
          <w:color w:val="auto"/>
          <w:highlight w:val="none"/>
          <w:lang w:val="en-US" w:eastAsia="zh-CN"/>
        </w:rPr>
        <w:t>优化12345政务便民热线服务运行机制，深化数字驱动、智能融合，发挥热线分析、推送、回访、督办功能，提高公众诉求办理质效，提升群众满意度。</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健全智能城市管理平台，整合市政公用、执法等数据资源，实现城市规划、环境保护、综合执法等精细化管理，逐步实现城市运行“一网统管”。实施</w:t>
      </w:r>
      <w:r>
        <w:rPr>
          <w:rFonts w:hint="eastAsia"/>
          <w:color w:val="auto"/>
          <w:highlight w:val="none"/>
          <w:lang w:val="en-US" w:eastAsia="zh"/>
        </w:rPr>
        <w:t>海绵城市运行管理服务提升</w:t>
      </w:r>
      <w:r>
        <w:rPr>
          <w:rFonts w:hint="eastAsia"/>
          <w:color w:val="auto"/>
          <w:highlight w:val="none"/>
          <w:lang w:val="en-US" w:eastAsia="zh-CN"/>
        </w:rPr>
        <w:t>项目，</w:t>
      </w:r>
      <w:r>
        <w:rPr>
          <w:rFonts w:hint="eastAsia"/>
          <w:color w:val="auto"/>
          <w:highlight w:val="none"/>
          <w:lang w:val="en-US" w:eastAsia="zh"/>
        </w:rPr>
        <w:t>构建覆盖燃气、供水、排水、供热等设施物联监测感知网络，搭建安全监测平台，实现设施运行状况实时监测、及时</w:t>
      </w:r>
      <w:r>
        <w:rPr>
          <w:rFonts w:hint="eastAsia"/>
          <w:color w:val="auto"/>
          <w:highlight w:val="none"/>
          <w:lang w:val="en-US" w:eastAsia="zh-CN"/>
        </w:rPr>
        <w:t>预警</w:t>
      </w:r>
      <w:r>
        <w:rPr>
          <w:rFonts w:hint="eastAsia"/>
          <w:color w:val="auto"/>
          <w:highlight w:val="none"/>
          <w:lang w:val="en-US" w:eastAsia="zh"/>
        </w:rPr>
        <w:t>和有效处置。</w:t>
      </w:r>
      <w:r>
        <w:rPr>
          <w:rFonts w:hint="eastAsia"/>
          <w:color w:val="auto"/>
          <w:highlight w:val="none"/>
          <w:lang w:val="en-US" w:eastAsia="zh-CN"/>
        </w:rPr>
        <w:t>创新治理手段，优化“指尖上的城管”等公众参与渠道。</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完善立体气象观测网络，推动气象监测预报数据与城市运行管理、生态环境监测、应急指挥等系统数据共享，构建“气象+城市管理”的智慧场景应用，开展四季景观预报、康养气象风险提示。</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深化智慧物流、智慧交通、智慧交管、智慧渔港建设。推进“乐游秦皇”文旅云平台升级更新。全面优化和推广城市客户端“秦来”。打造“一端通办、一屏智享”的城市级移动门户，打通“城市服务最后一公里”。</w:t>
      </w:r>
    </w:p>
    <w:p>
      <w:pPr>
        <w:pStyle w:val="3"/>
        <w:pageBreakBefore w:val="0"/>
        <w:kinsoku/>
        <w:wordWrap/>
        <w:overflowPunct/>
        <w:topLinePunct w:val="0"/>
        <w:autoSpaceDN/>
        <w:bidi w:val="0"/>
        <w:adjustRightInd/>
        <w:rPr>
          <w:rFonts w:hint="default"/>
          <w:color w:val="auto"/>
          <w:highlight w:val="none"/>
          <w:lang w:val="en-US" w:eastAsia="zh-CN"/>
        </w:rPr>
      </w:pPr>
      <w:bookmarkStart w:id="43" w:name="_Toc10229"/>
      <w:bookmarkStart w:id="44" w:name="_Toc22785"/>
      <w:bookmarkStart w:id="45" w:name="_Toc32439"/>
      <w:r>
        <w:rPr>
          <w:rFonts w:hint="eastAsia"/>
          <w:color w:val="auto"/>
          <w:highlight w:val="none"/>
          <w:lang w:val="en-US" w:eastAsia="zh-CN"/>
        </w:rPr>
        <w:t>（六）深耕山海底蕴，打造秦皇历史人文魅力之城</w:t>
      </w:r>
      <w:bookmarkEnd w:id="43"/>
      <w:bookmarkEnd w:id="44"/>
      <w:bookmarkEnd w:id="45"/>
    </w:p>
    <w:p>
      <w:pPr>
        <w:pageBreakBefore w:val="0"/>
        <w:kinsoku/>
        <w:wordWrap/>
        <w:overflowPunct/>
        <w:topLinePunct w:val="0"/>
        <w:autoSpaceDN/>
        <w:bidi w:val="0"/>
        <w:adjustRightInd/>
        <w:rPr>
          <w:rFonts w:hint="eastAsia"/>
          <w:b/>
          <w:bCs/>
          <w:color w:val="auto"/>
          <w:highlight w:val="none"/>
          <w:lang w:val="en-US" w:eastAsia="zh-CN"/>
        </w:rPr>
      </w:pPr>
      <w:r>
        <w:rPr>
          <w:rFonts w:hint="eastAsia"/>
          <w:b/>
          <w:bCs/>
          <w:color w:val="auto"/>
          <w:highlight w:val="none"/>
          <w:lang w:val="en-US" w:eastAsia="zh-CN"/>
        </w:rPr>
        <w:t>24.积极繁荣生态文化</w:t>
      </w:r>
    </w:p>
    <w:p>
      <w:pPr>
        <w:pageBreakBefore w:val="0"/>
        <w:kinsoku/>
        <w:wordWrap/>
        <w:overflowPunct/>
        <w:topLinePunct w:val="0"/>
        <w:autoSpaceDE/>
        <w:autoSpaceDN/>
        <w:bidi w:val="0"/>
        <w:adjustRightInd/>
        <w:snapToGrid/>
        <w:spacing w:line="560" w:lineRule="exact"/>
        <w:ind w:firstLine="643"/>
        <w:textAlignment w:val="auto"/>
        <w:rPr>
          <w:rFonts w:hint="eastAsia"/>
          <w:b w:val="0"/>
          <w:bCs w:val="0"/>
          <w:color w:val="auto"/>
          <w:highlight w:val="none"/>
          <w:u w:val="none"/>
          <w:lang w:val="en-US" w:eastAsia="zh-CN"/>
        </w:rPr>
      </w:pPr>
      <w:r>
        <w:rPr>
          <w:rFonts w:hint="eastAsia"/>
          <w:b w:val="0"/>
          <w:bCs w:val="0"/>
          <w:color w:val="auto"/>
          <w:highlight w:val="none"/>
          <w:u w:val="none"/>
          <w:lang w:val="en-US" w:eastAsia="zh-CN"/>
        </w:rPr>
        <w:t>依托自然景观资源和历史文化底蕴，培育推广特色生态文化产品。</w:t>
      </w:r>
      <w:r>
        <w:rPr>
          <w:rFonts w:hint="eastAsia" w:ascii="Times New Roman" w:hAnsi="Times New Roman"/>
          <w:b w:val="0"/>
          <w:bCs w:val="0"/>
          <w:color w:val="auto"/>
          <w:highlight w:val="none"/>
          <w:u w:val="none"/>
          <w:lang w:val="en-US" w:eastAsia="zh-CN"/>
        </w:rPr>
        <w:t>依托</w:t>
      </w:r>
      <w:r>
        <w:rPr>
          <w:rFonts w:hint="default" w:ascii="Times New Roman" w:hAnsi="Times New Roman"/>
          <w:b w:val="0"/>
          <w:bCs w:val="0"/>
          <w:color w:val="auto"/>
          <w:highlight w:val="none"/>
          <w:u w:val="none"/>
          <w:lang w:val="en-US" w:eastAsia="zh-CN"/>
        </w:rPr>
        <w:t>北戴河大潮坪</w:t>
      </w:r>
      <w:r>
        <w:rPr>
          <w:rFonts w:hint="eastAsia" w:ascii="Times New Roman" w:hAnsi="Times New Roman"/>
          <w:b w:val="0"/>
          <w:bCs w:val="0"/>
          <w:color w:val="auto"/>
          <w:highlight w:val="none"/>
          <w:u w:val="none"/>
          <w:lang w:val="en-US" w:eastAsia="zh-CN"/>
        </w:rPr>
        <w:t>、七里海</w:t>
      </w:r>
      <w:r>
        <w:rPr>
          <w:rFonts w:hint="default" w:ascii="Times New Roman" w:hAnsi="Times New Roman"/>
          <w:b w:val="0"/>
          <w:bCs w:val="0"/>
          <w:color w:val="auto"/>
          <w:highlight w:val="none"/>
          <w:u w:val="none"/>
          <w:lang w:val="en-US" w:eastAsia="zh-CN"/>
        </w:rPr>
        <w:t>等观鸟</w:t>
      </w:r>
      <w:r>
        <w:rPr>
          <w:rFonts w:hint="eastAsia" w:ascii="Times New Roman" w:hAnsi="Times New Roman"/>
          <w:b w:val="0"/>
          <w:bCs w:val="0"/>
          <w:color w:val="auto"/>
          <w:highlight w:val="none"/>
          <w:u w:val="none"/>
          <w:lang w:val="en-US" w:eastAsia="zh-CN"/>
        </w:rPr>
        <w:t>胜</w:t>
      </w:r>
      <w:r>
        <w:rPr>
          <w:rFonts w:hint="default" w:ascii="Times New Roman" w:hAnsi="Times New Roman"/>
          <w:b w:val="0"/>
          <w:bCs w:val="0"/>
          <w:color w:val="auto"/>
          <w:highlight w:val="none"/>
          <w:u w:val="none"/>
          <w:lang w:val="en-US" w:eastAsia="zh-CN"/>
        </w:rPr>
        <w:t>地</w:t>
      </w:r>
      <w:r>
        <w:rPr>
          <w:rFonts w:hint="eastAsia"/>
          <w:b w:val="0"/>
          <w:bCs w:val="0"/>
          <w:color w:val="auto"/>
          <w:highlight w:val="none"/>
          <w:u w:val="none"/>
          <w:lang w:val="en-US" w:eastAsia="zh-CN"/>
        </w:rPr>
        <w:t>，并发掘日出、云海、赏花赏叶、雾凇、潮汐等自然景观资源，打造具有地域特色的生态文化体验地。依托北戴河国家湿地公园、秦皇岛野生动物园、昌黎黄金海岸自然保护区、</w:t>
      </w:r>
      <w:r>
        <w:rPr>
          <w:rFonts w:hint="eastAsia" w:ascii="Times New Roman" w:hAnsi="Times New Roman"/>
          <w:b w:val="0"/>
          <w:bCs w:val="0"/>
          <w:color w:val="auto"/>
          <w:highlight w:val="none"/>
          <w:u w:val="none"/>
          <w:lang w:val="en-US" w:eastAsia="zh-CN"/>
        </w:rPr>
        <w:t>鸟类博物馆</w:t>
      </w:r>
      <w:r>
        <w:rPr>
          <w:rFonts w:hint="eastAsia"/>
          <w:b w:val="0"/>
          <w:bCs w:val="0"/>
          <w:color w:val="auto"/>
          <w:highlight w:val="none"/>
          <w:u w:val="none"/>
          <w:lang w:val="en-US" w:eastAsia="zh-CN"/>
        </w:rPr>
        <w:t>等自然教育场所和，将生态文明理念融入研学实践路线，推出自然体验、生态实践、志愿服务等不同形式的生态教育活动或课程。</w:t>
      </w:r>
    </w:p>
    <w:p>
      <w:pPr>
        <w:pageBreakBefore w:val="0"/>
        <w:kinsoku/>
        <w:wordWrap/>
        <w:overflowPunct/>
        <w:topLinePunct w:val="0"/>
        <w:autoSpaceDE/>
        <w:autoSpaceDN/>
        <w:bidi w:val="0"/>
        <w:adjustRightInd/>
        <w:snapToGrid/>
        <w:spacing w:line="560" w:lineRule="exact"/>
        <w:ind w:firstLine="643"/>
        <w:textAlignment w:val="auto"/>
        <w:rPr>
          <w:rFonts w:hint="eastAsia"/>
          <w:color w:val="auto"/>
          <w:highlight w:val="none"/>
          <w:lang w:eastAsia="zh-CN"/>
        </w:rPr>
      </w:pPr>
      <w:r>
        <w:rPr>
          <w:rFonts w:hint="eastAsia" w:ascii="Times New Roman" w:hAnsi="Times New Roman"/>
          <w:color w:val="auto"/>
          <w:highlight w:val="none"/>
          <w:u w:val="none"/>
          <w:lang w:val="en-US" w:eastAsia="zh-CN"/>
        </w:rPr>
        <w:t>深度挖掘自强不息、坚韧不拔、众志成城的长城精神，活化文博资源，厚塑城市文脉。</w:t>
      </w:r>
      <w:r>
        <w:rPr>
          <w:rFonts w:hint="eastAsia"/>
          <w:b w:val="0"/>
          <w:bCs w:val="0"/>
          <w:color w:val="auto"/>
          <w:sz w:val="32"/>
          <w:szCs w:val="22"/>
          <w:highlight w:val="none"/>
          <w:u w:val="none"/>
          <w:lang w:val="en-US" w:eastAsia="zh-CN"/>
        </w:rPr>
        <w:t>依托长城国家文化公园（秦皇岛段），保护长城军事防御体系及自然山形、水体等自然要素。</w:t>
      </w:r>
      <w:r>
        <w:rPr>
          <w:rFonts w:hint="eastAsia" w:ascii="Times New Roman" w:hAnsi="Times New Roman"/>
          <w:color w:val="auto"/>
          <w:highlight w:val="none"/>
          <w:u w:val="none"/>
          <w:lang w:val="en-US" w:eastAsia="zh-CN"/>
        </w:rPr>
        <w:t>提升</w:t>
      </w:r>
      <w:r>
        <w:rPr>
          <w:rFonts w:hint="eastAsia" w:ascii="仿宋_GB2312" w:hAnsi="仿宋_GB2312" w:eastAsia="仿宋_GB2312" w:cs="仿宋_GB2312"/>
          <w:b w:val="0"/>
          <w:bCs w:val="0"/>
          <w:color w:val="auto"/>
          <w:kern w:val="0"/>
          <w:sz w:val="32"/>
          <w:szCs w:val="32"/>
          <w:highlight w:val="none"/>
          <w:lang w:val="en-US" w:eastAsia="zh-CN" w:bidi="ar"/>
        </w:rPr>
        <w:t>山海关中国长城博物馆</w:t>
      </w:r>
      <w:r>
        <w:rPr>
          <w:rFonts w:hint="eastAsia" w:cs="仿宋_GB2312"/>
          <w:b w:val="0"/>
          <w:bCs w:val="0"/>
          <w:color w:val="auto"/>
          <w:kern w:val="0"/>
          <w:sz w:val="32"/>
          <w:szCs w:val="32"/>
          <w:highlight w:val="none"/>
          <w:lang w:val="en-US" w:eastAsia="zh-CN" w:bidi="ar"/>
        </w:rPr>
        <w:t>展陈和运营水平，</w:t>
      </w:r>
      <w:r>
        <w:rPr>
          <w:rFonts w:hint="eastAsia"/>
          <w:b w:val="0"/>
          <w:bCs w:val="0"/>
          <w:color w:val="auto"/>
          <w:highlight w:val="none"/>
          <w:u w:val="none"/>
          <w:lang w:val="en-US" w:eastAsia="zh-CN"/>
        </w:rPr>
        <w:t>形成长城文化遗产的科学保护、活态传承展示</w:t>
      </w:r>
      <w:r>
        <w:rPr>
          <w:rFonts w:hint="eastAsia" w:ascii="Times New Roman" w:hAnsi="Times New Roman"/>
          <w:color w:val="auto"/>
          <w:highlight w:val="none"/>
          <w:u w:val="none"/>
          <w:lang w:val="en-US" w:eastAsia="zh-CN"/>
        </w:rPr>
        <w:t>，成为展示长城文化的核心地标</w:t>
      </w:r>
      <w:r>
        <w:rPr>
          <w:rFonts w:hint="eastAsia"/>
          <w:b w:val="0"/>
          <w:bCs w:val="0"/>
          <w:color w:val="auto"/>
          <w:highlight w:val="none"/>
          <w:u w:val="none"/>
          <w:lang w:val="en-US" w:eastAsia="zh-CN"/>
        </w:rPr>
        <w:t>。着力</w:t>
      </w:r>
      <w:r>
        <w:rPr>
          <w:rFonts w:hint="eastAsia" w:ascii="Times New Roman" w:hAnsi="Times New Roman"/>
          <w:color w:val="auto"/>
          <w:highlight w:val="none"/>
          <w:u w:val="none"/>
          <w:lang w:val="en-US" w:eastAsia="zh-CN"/>
        </w:rPr>
        <w:t>以长城风骨涵养城市气质，以文化魅力提升城市颜值，以精神力量凝聚全民合力。</w:t>
      </w:r>
    </w:p>
    <w:p>
      <w:pPr>
        <w:pageBreakBefore w:val="0"/>
        <w:kinsoku/>
        <w:wordWrap/>
        <w:overflowPunct/>
        <w:topLinePunct w:val="0"/>
        <w:autoSpaceDE/>
        <w:autoSpaceDN/>
        <w:bidi w:val="0"/>
        <w:adjustRightInd/>
        <w:snapToGrid/>
        <w:spacing w:line="560" w:lineRule="exact"/>
        <w:ind w:firstLine="643"/>
        <w:textAlignment w:val="auto"/>
        <w:rPr>
          <w:rFonts w:hint="default" w:ascii="Times New Roman" w:hAnsi="Times New Roman"/>
          <w:color w:val="auto"/>
          <w:highlight w:val="none"/>
          <w:u w:val="none"/>
          <w:lang w:val="en-US" w:eastAsia="zh-CN"/>
        </w:rPr>
      </w:pPr>
      <w:r>
        <w:rPr>
          <w:rFonts w:hint="eastAsia" w:ascii="Times New Roman" w:hAnsi="Times New Roman"/>
          <w:color w:val="auto"/>
          <w:highlight w:val="none"/>
          <w:u w:val="none"/>
          <w:lang w:val="en-US" w:eastAsia="zh-CN"/>
        </w:rPr>
        <w:t>围绕美丽河湖建设、美丽海湾建设、</w:t>
      </w:r>
      <w:r>
        <w:rPr>
          <w:rFonts w:hint="eastAsia"/>
          <w:color w:val="auto"/>
          <w:highlight w:val="none"/>
          <w:u w:val="none"/>
          <w:lang w:val="en-US" w:eastAsia="zh-CN"/>
        </w:rPr>
        <w:t>美丽</w:t>
      </w:r>
      <w:r>
        <w:rPr>
          <w:rFonts w:hint="eastAsia" w:ascii="Times New Roman" w:hAnsi="Times New Roman"/>
          <w:color w:val="auto"/>
          <w:highlight w:val="none"/>
          <w:u w:val="none"/>
          <w:lang w:val="en-US" w:eastAsia="zh-CN"/>
        </w:rPr>
        <w:t>细胞创建</w:t>
      </w:r>
      <w:r>
        <w:rPr>
          <w:rFonts w:hint="default" w:ascii="Times New Roman" w:hAnsi="Times New Roman"/>
          <w:color w:val="auto"/>
          <w:highlight w:val="none"/>
          <w:u w:val="none"/>
          <w:lang w:val="en-US" w:eastAsia="zh-CN"/>
        </w:rPr>
        <w:t>等</w:t>
      </w:r>
      <w:r>
        <w:rPr>
          <w:rFonts w:hint="eastAsia" w:ascii="Times New Roman" w:hAnsi="Times New Roman"/>
          <w:color w:val="auto"/>
          <w:highlight w:val="none"/>
          <w:u w:val="none"/>
          <w:lang w:val="en-US" w:eastAsia="zh-CN"/>
        </w:rPr>
        <w:t>工作开发</w:t>
      </w:r>
      <w:r>
        <w:rPr>
          <w:rFonts w:hint="default" w:ascii="Times New Roman" w:hAnsi="Times New Roman"/>
          <w:color w:val="auto"/>
          <w:highlight w:val="none"/>
          <w:u w:val="none"/>
          <w:lang w:val="en-US" w:eastAsia="zh-CN"/>
        </w:rPr>
        <w:t>生态</w:t>
      </w:r>
      <w:r>
        <w:rPr>
          <w:rFonts w:hint="eastAsia" w:ascii="Times New Roman" w:hAnsi="Times New Roman"/>
          <w:color w:val="auto"/>
          <w:highlight w:val="none"/>
          <w:u w:val="none"/>
          <w:lang w:val="en-US" w:eastAsia="zh-CN"/>
        </w:rPr>
        <w:t>文化演艺作品、文创作品。打磨提升《长城》《秦皇山海情》等实景演艺项目</w:t>
      </w:r>
      <w:r>
        <w:rPr>
          <w:rFonts w:hint="default" w:ascii="Times New Roman" w:hAnsi="Times New Roman"/>
          <w:color w:val="auto"/>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b/>
          <w:bCs/>
          <w:color w:val="auto"/>
          <w:highlight w:val="none"/>
          <w:u w:val="none"/>
          <w:lang w:val="en-US" w:eastAsia="zh-CN"/>
        </w:rPr>
      </w:pPr>
      <w:r>
        <w:rPr>
          <w:rFonts w:hint="eastAsia" w:cs="仿宋_GB2312"/>
          <w:b/>
          <w:bCs/>
          <w:color w:val="auto"/>
          <w:highlight w:val="none"/>
          <w:u w:val="none"/>
          <w:lang w:val="en-US" w:eastAsia="zh"/>
        </w:rPr>
        <w:t>2</w:t>
      </w:r>
      <w:r>
        <w:rPr>
          <w:rFonts w:hint="eastAsia" w:cs="仿宋_GB2312"/>
          <w:b/>
          <w:bCs/>
          <w:color w:val="auto"/>
          <w:highlight w:val="none"/>
          <w:u w:val="none"/>
          <w:lang w:val="en-US" w:eastAsia="zh-CN"/>
        </w:rPr>
        <w:t>5</w:t>
      </w:r>
      <w:r>
        <w:rPr>
          <w:rFonts w:hint="eastAsia" w:cs="仿宋_GB2312"/>
          <w:b/>
          <w:bCs/>
          <w:color w:val="auto"/>
          <w:highlight w:val="none"/>
          <w:u w:val="none"/>
          <w:lang w:val="en-US" w:eastAsia="zh"/>
        </w:rPr>
        <w:t>.</w:t>
      </w:r>
      <w:r>
        <w:rPr>
          <w:rFonts w:hint="eastAsia" w:cs="仿宋_GB2312"/>
          <w:b/>
          <w:bCs/>
          <w:color w:val="auto"/>
          <w:highlight w:val="none"/>
          <w:u w:val="none"/>
          <w:lang w:val="en-US" w:eastAsia="zh-CN"/>
        </w:rPr>
        <w:t>打造</w:t>
      </w:r>
      <w:r>
        <w:rPr>
          <w:rFonts w:hint="eastAsia"/>
          <w:b/>
          <w:bCs/>
          <w:color w:val="auto"/>
          <w:highlight w:val="none"/>
          <w:u w:val="none"/>
          <w:lang w:val="en-US" w:eastAsia="zh-CN"/>
        </w:rPr>
        <w:t>生态文体康养旅游融合发展高地</w:t>
      </w:r>
    </w:p>
    <w:p>
      <w:pPr>
        <w:pageBreakBefore w:val="0"/>
        <w:kinsoku/>
        <w:wordWrap/>
        <w:overflowPunct/>
        <w:topLinePunct w:val="0"/>
        <w:autoSpaceDE/>
        <w:autoSpaceDN/>
        <w:bidi w:val="0"/>
        <w:adjustRightInd/>
        <w:snapToGrid/>
        <w:spacing w:line="560" w:lineRule="exact"/>
        <w:ind w:firstLine="643"/>
        <w:textAlignment w:val="auto"/>
        <w:rPr>
          <w:rFonts w:hint="eastAsia"/>
          <w:b w:val="0"/>
          <w:bCs w:val="0"/>
          <w:color w:val="auto"/>
          <w:highlight w:val="none"/>
          <w:u w:val="none"/>
          <w:lang w:val="en-US" w:eastAsia="zh-CN"/>
        </w:rPr>
      </w:pPr>
      <w:r>
        <w:rPr>
          <w:rFonts w:hint="eastAsia"/>
          <w:color w:val="auto"/>
          <w:highlight w:val="none"/>
        </w:rPr>
        <w:t>依托优质滨海生态资源，发展滨海旅游，升级文体旅配套设施。推进海螺岛国际滨海度假区、宏兴如是海国际滨海康养度假区B区等重点项目建设，丰富康养、休闲、滨海等多元业态。深挖文旅融合潜力，积极培育消费新场景，着力打造“跟着赛事去旅行、跟着音乐去旅行、跟着非遗去旅行”特色产品。</w:t>
      </w:r>
      <w:r>
        <w:rPr>
          <w:rFonts w:hint="eastAsia"/>
          <w:color w:val="auto"/>
          <w:highlight w:val="none"/>
          <w:lang w:val="en-US" w:eastAsia="zh-CN"/>
        </w:rPr>
        <w:t>高标准推进秦皇岛港口工业旅游区建设，保护和开发开埠地工业遗产资源，展现百年老港遗产活化与生态文旅融合生动实践，打造工业锈带蝶变城市秀带的滨海文旅地标。</w:t>
      </w:r>
    </w:p>
    <w:p>
      <w:pPr>
        <w:pageBreakBefore w:val="0"/>
        <w:kinsoku/>
        <w:wordWrap/>
        <w:overflowPunct/>
        <w:topLinePunct w:val="0"/>
        <w:autoSpaceDN/>
        <w:bidi w:val="0"/>
        <w:adjustRightInd/>
        <w:rPr>
          <w:color w:val="auto"/>
          <w:highlight w:val="none"/>
        </w:rPr>
      </w:pPr>
      <w:r>
        <w:rPr>
          <w:color w:val="auto"/>
          <w:highlight w:val="none"/>
          <w:lang w:val="en-US" w:eastAsia="zh-CN"/>
        </w:rPr>
        <w:t>以北戴河生命健康产业创新示范区为核心，建设</w:t>
      </w:r>
      <w:r>
        <w:rPr>
          <w:rFonts w:hint="default"/>
          <w:color w:val="auto"/>
          <w:highlight w:val="none"/>
          <w:lang w:val="en-US" w:eastAsia="zh-CN"/>
        </w:rPr>
        <w:t>国内重要的健康服务基地。</w:t>
      </w:r>
      <w:r>
        <w:rPr>
          <w:rFonts w:hint="eastAsia"/>
          <w:color w:val="auto"/>
          <w:highlight w:val="none"/>
          <w:lang w:val="en-US" w:eastAsia="zh"/>
        </w:rPr>
        <w:t>依托北戴河地区培疗机构改革资源和阿那亚等高品质社区，深化与京津地区养老服务市场主体的合作，坚持医养融合、旅居联动、品牌引领，推动中康养恒颐汇燕山院、燕达金色年华养老中心等特色养老机构高效运营，形成品牌、规模、带动效益。建成投用国投健康北戴河康养中心、福荣新城康养社区等中高端康养项目，打造“康养+文旅”“康养+休闲”融合产品，吸引更多京津地区老年人来秦旅居康养，打造旅居康养与社区养老理想目的地。</w:t>
      </w:r>
    </w:p>
    <w:p>
      <w:pPr>
        <w:pageBreakBefore w:val="0"/>
        <w:kinsoku/>
        <w:wordWrap/>
        <w:overflowPunct/>
        <w:topLinePunct w:val="0"/>
        <w:autoSpaceDN/>
        <w:bidi w:val="0"/>
        <w:adjustRightInd/>
        <w:rPr>
          <w:rFonts w:hint="eastAsia"/>
          <w:color w:val="auto"/>
          <w:highlight w:val="none"/>
          <w:lang w:val="en-US" w:eastAsia="zh-CN"/>
        </w:rPr>
      </w:pPr>
      <w:r>
        <w:rPr>
          <w:rFonts w:hint="eastAsia"/>
          <w:color w:val="auto"/>
          <w:highlight w:val="none"/>
          <w:lang w:val="en-US" w:eastAsia="zh-CN"/>
        </w:rPr>
        <w:t>依托良好的海域及优质岸滩资源，</w:t>
      </w:r>
      <w:r>
        <w:rPr>
          <w:rFonts w:hint="default"/>
          <w:color w:val="auto"/>
          <w:highlight w:val="none"/>
          <w:lang w:val="en-US" w:eastAsia="zh-CN"/>
        </w:rPr>
        <w:t>修复滨海沙滩</w:t>
      </w:r>
      <w:r>
        <w:rPr>
          <w:rFonts w:hint="eastAsia"/>
          <w:color w:val="auto"/>
          <w:highlight w:val="none"/>
          <w:lang w:val="en-US" w:eastAsia="zh"/>
        </w:rPr>
        <w:t>，</w:t>
      </w:r>
      <w:r>
        <w:rPr>
          <w:rFonts w:hint="eastAsia"/>
          <w:color w:val="auto"/>
          <w:highlight w:val="none"/>
          <w:lang w:val="en-US" w:eastAsia="zh-CN"/>
        </w:rPr>
        <w:t>配套完善</w:t>
      </w:r>
      <w:r>
        <w:rPr>
          <w:rFonts w:hint="default"/>
          <w:color w:val="auto"/>
          <w:highlight w:val="none"/>
        </w:rPr>
        <w:t>亲海栈道、</w:t>
      </w:r>
      <w:r>
        <w:rPr>
          <w:rFonts w:hint="eastAsia"/>
          <w:color w:val="auto"/>
          <w:highlight w:val="none"/>
          <w:lang w:eastAsia="zh"/>
        </w:rPr>
        <w:t>步道</w:t>
      </w:r>
      <w:r>
        <w:rPr>
          <w:rFonts w:hint="default"/>
          <w:color w:val="auto"/>
          <w:highlight w:val="none"/>
        </w:rPr>
        <w:t>长廊</w:t>
      </w:r>
      <w:r>
        <w:rPr>
          <w:rFonts w:hint="eastAsia"/>
          <w:color w:val="auto"/>
          <w:highlight w:val="none"/>
          <w:lang w:eastAsia="zh"/>
        </w:rPr>
        <w:t>等</w:t>
      </w:r>
      <w:r>
        <w:rPr>
          <w:rFonts w:hint="eastAsia"/>
          <w:color w:val="auto"/>
          <w:highlight w:val="none"/>
          <w:lang w:val="en-US" w:eastAsia="zh-CN"/>
        </w:rPr>
        <w:t>基础设施</w:t>
      </w:r>
      <w:r>
        <w:rPr>
          <w:rFonts w:hint="eastAsia"/>
          <w:color w:val="auto"/>
          <w:highlight w:val="none"/>
          <w:lang w:val="en-US" w:eastAsia="zh"/>
        </w:rPr>
        <w:t>，并</w:t>
      </w:r>
      <w:r>
        <w:rPr>
          <w:rFonts w:hint="eastAsia"/>
          <w:color w:val="auto"/>
          <w:highlight w:val="none"/>
          <w:lang w:eastAsia="zh"/>
        </w:rPr>
        <w:t>加强</w:t>
      </w:r>
      <w:r>
        <w:rPr>
          <w:rFonts w:hint="default"/>
          <w:color w:val="auto"/>
          <w:highlight w:val="none"/>
        </w:rPr>
        <w:t>日常维护</w:t>
      </w:r>
      <w:r>
        <w:rPr>
          <w:rFonts w:hint="eastAsia"/>
          <w:color w:val="auto"/>
          <w:highlight w:val="none"/>
          <w:lang w:eastAsia="zh-CN"/>
        </w:rPr>
        <w:t>。</w:t>
      </w:r>
      <w:r>
        <w:rPr>
          <w:rFonts w:hint="eastAsia"/>
          <w:color w:val="auto"/>
          <w:highlight w:val="none"/>
          <w:lang w:val="en-US" w:eastAsia="zh-CN"/>
        </w:rPr>
        <w:t>举办ILCA级亚洲杯帆船赛、全国帆船锦标赛、全国青年帆船冠军赛等高端帆船帆板赛事，举办北戴河全民轮滑嘉年华，引入中国匹克球巡回赛秦皇岛公开赛、中国沙滩飞盘公开赛等新兴赛事，充分展现城市文明与体育活力。</w:t>
      </w:r>
    </w:p>
    <w:p>
      <w:pPr>
        <w:pageBreakBefore w:val="0"/>
        <w:kinsoku/>
        <w:wordWrap/>
        <w:overflowPunct/>
        <w:topLinePunct w:val="0"/>
        <w:autoSpaceDN/>
        <w:bidi w:val="0"/>
        <w:adjustRightInd/>
        <w:rPr>
          <w:rFonts w:hint="default"/>
          <w:color w:val="auto"/>
          <w:highlight w:val="none"/>
          <w:lang w:val="en-US" w:eastAsia="zh-CN"/>
        </w:rPr>
      </w:pPr>
      <w:r>
        <w:rPr>
          <w:rFonts w:hint="eastAsia" w:ascii="仿宋_GB2312" w:hAnsi="仿宋_GB2312" w:eastAsia="仿宋_GB2312" w:cs="仿宋_GB2312"/>
          <w:b w:val="0"/>
          <w:bCs w:val="0"/>
          <w:i w:val="0"/>
          <w:iCs w:val="0"/>
          <w:caps w:val="0"/>
          <w:color w:val="auto"/>
          <w:spacing w:val="0"/>
          <w:sz w:val="32"/>
          <w:szCs w:val="32"/>
          <w:highlight w:val="none"/>
        </w:rPr>
        <w:t>强化特色品牌体系</w:t>
      </w:r>
      <w:r>
        <w:rPr>
          <w:rFonts w:hint="eastAsia" w:cs="仿宋_GB2312"/>
          <w:b w:val="0"/>
          <w:bCs w:val="0"/>
          <w:i w:val="0"/>
          <w:iCs w:val="0"/>
          <w:caps w:val="0"/>
          <w:color w:val="auto"/>
          <w:spacing w:val="0"/>
          <w:sz w:val="32"/>
          <w:szCs w:val="32"/>
          <w:highlight w:val="none"/>
          <w:lang w:val="en-US" w:eastAsia="zh-CN"/>
        </w:rPr>
        <w:t>建设，</w:t>
      </w:r>
      <w:r>
        <w:rPr>
          <w:rFonts w:hint="eastAsia"/>
          <w:color w:val="auto"/>
          <w:highlight w:val="none"/>
          <w:lang w:val="en-US" w:eastAsia="zh-CN"/>
        </w:rPr>
        <w:t>擦亮“</w:t>
      </w:r>
      <w:r>
        <w:rPr>
          <w:rFonts w:hint="default"/>
          <w:color w:val="auto"/>
          <w:highlight w:val="none"/>
          <w:lang w:val="en-US" w:eastAsia="zh-CN"/>
        </w:rPr>
        <w:t>秦皇山海・四季皆游</w:t>
      </w:r>
      <w:r>
        <w:rPr>
          <w:rFonts w:hint="eastAsia"/>
          <w:color w:val="auto"/>
          <w:highlight w:val="none"/>
          <w:lang w:val="en-US" w:eastAsia="zh-CN"/>
        </w:rPr>
        <w:t>”城市主品牌</w:t>
      </w:r>
      <w:r>
        <w:rPr>
          <w:rFonts w:hint="default"/>
          <w:color w:val="auto"/>
          <w:highlight w:val="none"/>
          <w:lang w:val="en-US" w:eastAsia="zh-CN"/>
        </w:rPr>
        <w:t>，打造一批具有全国辨识度的</w:t>
      </w:r>
      <w:r>
        <w:rPr>
          <w:rFonts w:hint="eastAsia"/>
          <w:color w:val="auto"/>
          <w:highlight w:val="none"/>
          <w:lang w:val="en-US" w:eastAsia="zh-CN"/>
        </w:rPr>
        <w:t>海洋文化</w:t>
      </w:r>
      <w:r>
        <w:rPr>
          <w:rFonts w:hint="default"/>
          <w:color w:val="auto"/>
          <w:highlight w:val="none"/>
          <w:lang w:val="en-US" w:eastAsia="zh-CN"/>
        </w:rPr>
        <w:t>品牌</w:t>
      </w:r>
      <w:r>
        <w:rPr>
          <w:rFonts w:hint="eastAsia"/>
          <w:color w:val="auto"/>
          <w:highlight w:val="none"/>
          <w:lang w:val="en-US" w:eastAsia="zh-CN"/>
        </w:rPr>
        <w:t>，为城市可持续发展注入新活力</w:t>
      </w:r>
      <w:r>
        <w:rPr>
          <w:rFonts w:hint="default"/>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b/>
          <w:bCs/>
          <w:color w:val="auto"/>
          <w:highlight w:val="none"/>
          <w:u w:val="none"/>
          <w:lang w:val="en-US" w:eastAsia="zh-CN"/>
        </w:rPr>
      </w:pPr>
      <w:r>
        <w:rPr>
          <w:rFonts w:hint="eastAsia"/>
          <w:b/>
          <w:bCs/>
          <w:color w:val="auto"/>
          <w:highlight w:val="none"/>
          <w:u w:val="none"/>
          <w:lang w:val="en-US" w:eastAsia="zh-CN"/>
        </w:rPr>
        <w:t>26</w:t>
      </w:r>
      <w:r>
        <w:rPr>
          <w:rFonts w:hint="eastAsia"/>
          <w:b/>
          <w:bCs/>
          <w:color w:val="auto"/>
          <w:highlight w:val="none"/>
          <w:u w:val="none"/>
          <w:lang w:val="en-US" w:eastAsia="zh"/>
        </w:rPr>
        <w:t>.</w:t>
      </w:r>
      <w:r>
        <w:rPr>
          <w:rFonts w:hint="eastAsia"/>
          <w:b/>
          <w:bCs/>
          <w:color w:val="auto"/>
          <w:highlight w:val="none"/>
          <w:u w:val="none"/>
          <w:lang w:val="en-US" w:eastAsia="zh-CN"/>
        </w:rPr>
        <w:t>全方位建设美丽细胞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eastAsia="楷体_GB2312" w:cs="Times New Roman"/>
          <w:color w:val="auto"/>
          <w:highlight w:val="none"/>
          <w:u w:val="none"/>
        </w:rPr>
      </w:pPr>
      <w:r>
        <w:rPr>
          <w:rFonts w:hint="default" w:ascii="仿宋_GB2312" w:hAnsi="Times New Roman" w:eastAsia="仿宋_GB2312" w:cs="仿宋_GB2312"/>
          <w:color w:val="auto"/>
          <w:kern w:val="2"/>
          <w:sz w:val="32"/>
          <w:szCs w:val="32"/>
          <w:highlight w:val="none"/>
        </w:rPr>
        <w:t>根据国家各类美丽细胞建设评估指导文件，探索建设路径</w:t>
      </w:r>
      <w:r>
        <w:rPr>
          <w:rFonts w:hint="eastAsia" w:hAnsi="Times New Roman" w:cs="仿宋_GB2312"/>
          <w:color w:val="auto"/>
          <w:kern w:val="2"/>
          <w:sz w:val="32"/>
          <w:szCs w:val="32"/>
          <w:highlight w:val="none"/>
          <w:lang w:eastAsia="zh-CN"/>
        </w:rPr>
        <w:t>，</w:t>
      </w:r>
      <w:r>
        <w:rPr>
          <w:rFonts w:hint="eastAsia"/>
          <w:color w:val="auto"/>
          <w:highlight w:val="none"/>
          <w:u w:val="none"/>
          <w:lang w:val="en-US" w:eastAsia="zh-CN"/>
        </w:rPr>
        <w:t>引导</w:t>
      </w:r>
      <w:r>
        <w:rPr>
          <w:rFonts w:hint="eastAsia"/>
          <w:color w:val="auto"/>
          <w:highlight w:val="none"/>
          <w:u w:val="none"/>
          <w:lang w:val="en-US" w:eastAsia="zh"/>
        </w:rPr>
        <w:t>各类</w:t>
      </w:r>
      <w:r>
        <w:rPr>
          <w:rFonts w:hint="eastAsia"/>
          <w:color w:val="auto"/>
          <w:highlight w:val="none"/>
          <w:u w:val="none"/>
          <w:lang w:val="en-US" w:eastAsia="zh-CN"/>
        </w:rPr>
        <w:t>园区、厂矿企业、机关、学校、医院、港口</w:t>
      </w:r>
      <w:r>
        <w:rPr>
          <w:rFonts w:hint="eastAsia"/>
          <w:color w:val="auto"/>
          <w:highlight w:val="none"/>
          <w:u w:val="none"/>
          <w:lang w:val="en-US" w:eastAsia="zh"/>
        </w:rPr>
        <w:t>、</w:t>
      </w:r>
      <w:r>
        <w:rPr>
          <w:rFonts w:hint="eastAsia"/>
          <w:color w:val="auto"/>
          <w:highlight w:val="none"/>
          <w:u w:val="none"/>
          <w:lang w:val="en-US" w:eastAsia="zh-CN"/>
        </w:rPr>
        <w:t>社区、</w:t>
      </w:r>
      <w:r>
        <w:rPr>
          <w:rFonts w:hint="eastAsia"/>
          <w:color w:val="auto"/>
          <w:highlight w:val="none"/>
          <w:u w:val="none"/>
          <w:lang w:val="en-US" w:eastAsia="zh"/>
        </w:rPr>
        <w:t>景区</w:t>
      </w:r>
      <w:r>
        <w:rPr>
          <w:rFonts w:hint="eastAsia"/>
          <w:color w:val="auto"/>
          <w:highlight w:val="none"/>
          <w:u w:val="none"/>
          <w:lang w:val="en-US" w:eastAsia="zh-CN"/>
        </w:rPr>
        <w:t>、商场、工地等</w:t>
      </w:r>
      <w:r>
        <w:rPr>
          <w:rFonts w:hint="eastAsia" w:ascii="Times New Roman" w:hAnsi="Times New Roman"/>
          <w:color w:val="auto"/>
          <w:highlight w:val="none"/>
          <w:u w:val="none"/>
          <w:lang w:val="en-US" w:eastAsia="zh-CN"/>
        </w:rPr>
        <w:t>开展</w:t>
      </w:r>
      <w:r>
        <w:rPr>
          <w:rFonts w:hint="eastAsia" w:ascii="Times New Roman" w:hAnsi="Times New Roman"/>
          <w:color w:val="auto"/>
          <w:highlight w:val="none"/>
          <w:u w:val="none"/>
          <w:lang w:val="en-US" w:eastAsia="zh"/>
        </w:rPr>
        <w:t>美丽细胞</w:t>
      </w:r>
      <w:r>
        <w:rPr>
          <w:rFonts w:hint="eastAsia" w:ascii="Times New Roman" w:hAnsi="Times New Roman"/>
          <w:color w:val="auto"/>
          <w:highlight w:val="none"/>
          <w:u w:val="none"/>
          <w:lang w:val="en-US" w:eastAsia="zh-CN"/>
        </w:rPr>
        <w:t>创建活动</w:t>
      </w:r>
      <w:r>
        <w:rPr>
          <w:rFonts w:hint="eastAsia" w:cs="Times New Roman"/>
          <w:color w:val="auto"/>
          <w:highlight w:val="none"/>
          <w:u w:val="none"/>
          <w:lang w:eastAsia="zh-CN"/>
        </w:rPr>
        <w:t>。</w:t>
      </w:r>
      <w:r>
        <w:rPr>
          <w:rFonts w:hint="eastAsia" w:cs="Times New Roman"/>
          <w:color w:val="auto"/>
          <w:highlight w:val="none"/>
          <w:u w:val="none"/>
          <w:lang w:eastAsia="zh"/>
        </w:rPr>
        <w:t>到2027年，建</w:t>
      </w:r>
      <w:r>
        <w:rPr>
          <w:rFonts w:hint="eastAsia" w:cs="Times New Roman"/>
          <w:color w:val="auto"/>
          <w:highlight w:val="none"/>
          <w:u w:val="none"/>
          <w:lang w:val="en-US" w:eastAsia="zh-CN"/>
        </w:rPr>
        <w:t>成一批</w:t>
      </w:r>
      <w:r>
        <w:rPr>
          <w:rFonts w:hint="eastAsia" w:cs="Times New Roman"/>
          <w:color w:val="auto"/>
          <w:highlight w:val="none"/>
          <w:u w:val="none"/>
          <w:lang w:eastAsia="zh"/>
        </w:rPr>
        <w:t>美丽细胞。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cs="Times New Roman"/>
          <w:b/>
          <w:bCs/>
          <w:color w:val="auto"/>
          <w:highlight w:val="none"/>
          <w:u w:val="none"/>
          <w:lang w:val="en-US" w:eastAsia="zh-CN"/>
        </w:rPr>
      </w:pPr>
      <w:r>
        <w:rPr>
          <w:rFonts w:hint="eastAsia"/>
          <w:b/>
          <w:bCs/>
          <w:color w:val="auto"/>
          <w:highlight w:val="none"/>
          <w:u w:val="none"/>
          <w:lang w:val="en-US" w:eastAsia="zh-CN"/>
        </w:rPr>
        <w:t>27</w:t>
      </w:r>
      <w:r>
        <w:rPr>
          <w:rFonts w:hint="eastAsia"/>
          <w:b/>
          <w:bCs/>
          <w:color w:val="auto"/>
          <w:highlight w:val="none"/>
          <w:u w:val="none"/>
          <w:lang w:val="en-US" w:eastAsia="zh"/>
        </w:rPr>
        <w:t>.</w:t>
      </w:r>
      <w:r>
        <w:rPr>
          <w:rFonts w:hint="eastAsia"/>
          <w:b/>
          <w:bCs/>
          <w:color w:val="auto"/>
          <w:highlight w:val="none"/>
          <w:u w:val="none"/>
          <w:lang w:val="en-US" w:eastAsia="zh-CN"/>
        </w:rPr>
        <w:t>建立</w:t>
      </w:r>
      <w:r>
        <w:rPr>
          <w:rFonts w:hint="eastAsia" w:ascii="Times New Roman" w:hAnsi="Times New Roman" w:cs="Times New Roman"/>
          <w:b/>
          <w:bCs/>
          <w:color w:val="auto"/>
          <w:highlight w:val="none"/>
          <w:u w:val="none"/>
          <w:lang w:val="en-US" w:eastAsia="zh-CN"/>
        </w:rPr>
        <w:t>多元参与体系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eastAsia="楷体_GB2312" w:cs="Times New Roman"/>
          <w:color w:val="auto"/>
          <w:highlight w:val="none"/>
          <w:u w:val="none"/>
        </w:rPr>
      </w:pPr>
      <w:r>
        <w:rPr>
          <w:rFonts w:hint="eastAsia"/>
          <w:color w:val="auto"/>
          <w:highlight w:val="none"/>
          <w:lang w:val="en-US" w:eastAsia="zh-CN"/>
        </w:rPr>
        <w:t>推动建立政府、企业、社区、社会组织多方参与的生态环境共治共管体系。完善环境信息公开和公众监督举报机制。鼓励环保公益组织、行业协会、志愿者队伍开展生态环境保护宣传与治理监督行动。推进环境公益诉讼，落实环境损害赔偿制度。加强企业单位生态教育，组织开展企业节能减排、清洁生产、循环经济、环境社会责任等相关培训。深化环保设施开放，向公众提供生态文明宣传教育服务。开展“美丽中国，我是行动者”系列活动，引导公众自觉践行生态环境行为规范</w:t>
      </w:r>
      <w:r>
        <w:rPr>
          <w:rFonts w:hint="default"/>
          <w:color w:val="auto"/>
          <w:highlight w:val="none"/>
          <w:lang w:val="en-US" w:eastAsia="zh-CN"/>
        </w:rPr>
        <w:t>。</w:t>
      </w:r>
    </w:p>
    <w:p>
      <w:pPr>
        <w:pStyle w:val="2"/>
        <w:pageBreakBefore w:val="0"/>
        <w:kinsoku/>
        <w:wordWrap/>
        <w:overflowPunct/>
        <w:topLinePunct w:val="0"/>
        <w:autoSpaceDN/>
        <w:bidi w:val="0"/>
        <w:adjustRightInd/>
        <w:spacing w:after="0"/>
        <w:rPr>
          <w:rFonts w:hint="eastAsia"/>
          <w:color w:val="auto"/>
          <w:highlight w:val="none"/>
          <w:lang w:val="en-US" w:eastAsia="zh-CN"/>
        </w:rPr>
      </w:pPr>
      <w:bookmarkStart w:id="46" w:name="_Toc20399"/>
      <w:bookmarkStart w:id="47" w:name="_Toc21928"/>
      <w:bookmarkStart w:id="48" w:name="_Toc22441"/>
      <w:r>
        <w:rPr>
          <w:rFonts w:hint="eastAsia"/>
          <w:color w:val="auto"/>
          <w:highlight w:val="none"/>
          <w:lang w:val="en-US" w:eastAsia="zh-CN"/>
        </w:rPr>
        <w:t>三、保障措施</w:t>
      </w:r>
      <w:bookmarkEnd w:id="40"/>
      <w:bookmarkEnd w:id="41"/>
      <w:bookmarkEnd w:id="42"/>
      <w:bookmarkEnd w:id="46"/>
      <w:bookmarkEnd w:id="47"/>
      <w:bookmarkEnd w:id="48"/>
    </w:p>
    <w:p>
      <w:pPr>
        <w:pStyle w:val="3"/>
        <w:pageBreakBefore w:val="0"/>
        <w:kinsoku/>
        <w:wordWrap/>
        <w:overflowPunct/>
        <w:topLinePunct w:val="0"/>
        <w:autoSpaceDN/>
        <w:bidi w:val="0"/>
        <w:adjustRightInd/>
        <w:rPr>
          <w:rFonts w:hint="eastAsia"/>
          <w:color w:val="auto"/>
          <w:highlight w:val="none"/>
          <w:lang w:val="en-US" w:eastAsia="zh-CN"/>
        </w:rPr>
      </w:pPr>
      <w:bookmarkStart w:id="49" w:name="_Toc6689"/>
      <w:bookmarkStart w:id="50" w:name="_Toc14584"/>
      <w:bookmarkStart w:id="51" w:name="_Toc9824"/>
      <w:r>
        <w:rPr>
          <w:rFonts w:hint="eastAsia"/>
          <w:color w:val="auto"/>
          <w:highlight w:val="none"/>
          <w:lang w:val="en-US" w:eastAsia="zh-CN"/>
        </w:rPr>
        <w:t>（一）加强组织领导</w:t>
      </w:r>
      <w:bookmarkEnd w:id="49"/>
      <w:bookmarkEnd w:id="50"/>
      <w:bookmarkEnd w:id="51"/>
    </w:p>
    <w:p>
      <w:pPr>
        <w:pageBreakBefore w:val="0"/>
        <w:kinsoku/>
        <w:wordWrap/>
        <w:overflowPunct/>
        <w:topLinePunct w:val="0"/>
        <w:autoSpaceDE/>
        <w:autoSpaceDN/>
        <w:bidi w:val="0"/>
        <w:adjustRightInd/>
        <w:rPr>
          <w:rFonts w:hint="eastAsia"/>
          <w:color w:val="auto"/>
          <w:highlight w:val="none"/>
          <w:lang w:val="en-US" w:eastAsia="zh-CN"/>
        </w:rPr>
      </w:pPr>
      <w:r>
        <w:rPr>
          <w:rFonts w:hint="eastAsia"/>
          <w:color w:val="auto"/>
          <w:highlight w:val="none"/>
          <w:lang w:val="en-US" w:eastAsia="zh-CN"/>
        </w:rPr>
        <w:t>将美丽城市建设工作纳入市政府重点工作任务，部门各司其职、上下联动、协同推进。市生态环境保护委员会牵头建立健全美丽城市建设推进机制，协调解决美丽城市建设过程中的重大问题，清单式、项目化推进重点任务和工程项目实施，确保美丽城市建设工作落深落细落实。</w:t>
      </w:r>
    </w:p>
    <w:p>
      <w:pPr>
        <w:pStyle w:val="3"/>
        <w:pageBreakBefore w:val="0"/>
        <w:kinsoku/>
        <w:wordWrap/>
        <w:overflowPunct/>
        <w:topLinePunct w:val="0"/>
        <w:autoSpaceDN/>
        <w:bidi w:val="0"/>
        <w:adjustRightInd/>
        <w:rPr>
          <w:rFonts w:hint="default"/>
          <w:color w:val="auto"/>
          <w:highlight w:val="none"/>
          <w:lang w:val="en-US" w:eastAsia="zh-CN"/>
        </w:rPr>
      </w:pPr>
      <w:bookmarkStart w:id="52" w:name="_Toc21454"/>
      <w:bookmarkStart w:id="53" w:name="_Toc8381"/>
      <w:bookmarkStart w:id="54" w:name="_Toc17776"/>
      <w:bookmarkStart w:id="55" w:name="_Toc24868"/>
      <w:r>
        <w:rPr>
          <w:rFonts w:hint="eastAsia"/>
          <w:color w:val="auto"/>
          <w:highlight w:val="none"/>
          <w:lang w:val="en-US" w:eastAsia="zh-CN"/>
        </w:rPr>
        <w:t>（二）强化</w:t>
      </w:r>
      <w:bookmarkEnd w:id="52"/>
      <w:r>
        <w:rPr>
          <w:rFonts w:hint="eastAsia"/>
          <w:color w:val="auto"/>
          <w:highlight w:val="none"/>
          <w:lang w:val="en-US" w:eastAsia="zh-CN"/>
        </w:rPr>
        <w:t>协同配合</w:t>
      </w:r>
      <w:bookmarkEnd w:id="53"/>
      <w:bookmarkEnd w:id="54"/>
      <w:bookmarkEnd w:id="55"/>
    </w:p>
    <w:p>
      <w:pPr>
        <w:pageBreakBefore w:val="0"/>
        <w:numPr>
          <w:ilvl w:val="0"/>
          <w:numId w:val="0"/>
        </w:numPr>
        <w:kinsoku/>
        <w:wordWrap/>
        <w:overflowPunct/>
        <w:topLinePunct w:val="0"/>
        <w:autoSpaceDN/>
        <w:bidi w:val="0"/>
        <w:adjustRightInd/>
        <w:ind w:firstLine="640" w:firstLineChars="200"/>
        <w:rPr>
          <w:rFonts w:hint="default"/>
          <w:color w:val="auto"/>
          <w:highlight w:val="none"/>
          <w:lang w:val="en-US" w:eastAsia="zh-CN"/>
        </w:rPr>
      </w:pPr>
      <w:r>
        <w:rPr>
          <w:rFonts w:hint="eastAsia"/>
          <w:color w:val="auto"/>
          <w:highlight w:val="none"/>
          <w:lang w:val="en-US" w:eastAsia="zh-CN"/>
        </w:rPr>
        <w:t>生态环境部门要会同有关部门制定完善推进美丽城市建设相关政策。发展改革部门要在有关政策制定和工作推进中积极支持美丽城市建设。</w:t>
      </w:r>
      <w:r>
        <w:rPr>
          <w:rFonts w:hint="eastAsia"/>
          <w:b w:val="0"/>
          <w:bCs w:val="0"/>
          <w:color w:val="auto"/>
          <w:highlight w:val="none"/>
          <w:lang w:val="en-US" w:eastAsia="zh-CN"/>
        </w:rPr>
        <w:t>财政部门要做好资金保障工作，协调相关部门积极争取中央、省级等相关专项资金，吸引更多社会资本投入美丽城市建设。</w:t>
      </w:r>
      <w:r>
        <w:rPr>
          <w:rFonts w:hint="eastAsia"/>
          <w:color w:val="auto"/>
          <w:highlight w:val="none"/>
          <w:lang w:val="en-US" w:eastAsia="zh-CN"/>
        </w:rPr>
        <w:t>自然资源部门要加强国土空间规划城市体检和评估等相关工作与美丽城市建设任务衔接。住房和城乡建设部门要积极推动城市体检，结合城市更新，加强建筑和市政基础设施建设与美丽城市建设协调衔接。城市管理部门要围绕城市精细化管理工作，与美丽城市协同推进。海洋渔业部门要推进全域美丽海湾建设，推动海洋生态环境保护与美丽城市建设任务精准衔接。有关部门要根据职责分工，加强本领域相关工作与美丽城市建设协调联动。各县区、秦皇岛经济技术开发区、北戴河新区负责本地区美丽城市建设工作的组织实施，明确目标任务，细化工作措施，抓好贯彻落实。</w:t>
      </w:r>
    </w:p>
    <w:p>
      <w:pPr>
        <w:pStyle w:val="3"/>
        <w:pageBreakBefore w:val="0"/>
        <w:kinsoku/>
        <w:wordWrap/>
        <w:overflowPunct/>
        <w:topLinePunct w:val="0"/>
        <w:autoSpaceDN/>
        <w:bidi w:val="0"/>
        <w:adjustRightInd/>
        <w:rPr>
          <w:rFonts w:hint="default"/>
          <w:color w:val="auto"/>
          <w:highlight w:val="none"/>
          <w:lang w:val="en-US" w:eastAsia="zh-CN"/>
        </w:rPr>
      </w:pPr>
      <w:bookmarkStart w:id="56" w:name="_Toc5633"/>
      <w:bookmarkStart w:id="57" w:name="_Toc26431"/>
      <w:bookmarkStart w:id="58" w:name="_Toc29968"/>
      <w:r>
        <w:rPr>
          <w:rFonts w:hint="eastAsia"/>
          <w:color w:val="auto"/>
          <w:highlight w:val="none"/>
          <w:lang w:val="en-US" w:eastAsia="zh-CN"/>
        </w:rPr>
        <w:t>（三）严格督导检查</w:t>
      </w:r>
      <w:bookmarkEnd w:id="56"/>
      <w:bookmarkEnd w:id="57"/>
      <w:bookmarkEnd w:id="58"/>
    </w:p>
    <w:bookmarkEnd w:id="6"/>
    <w:p>
      <w:pPr>
        <w:pageBreakBefore w:val="0"/>
        <w:kinsoku/>
        <w:wordWrap/>
        <w:overflowPunct/>
        <w:topLinePunct w:val="0"/>
        <w:autoSpaceDN/>
        <w:bidi w:val="0"/>
        <w:adjustRightInd/>
        <w:rPr>
          <w:rFonts w:hint="default" w:ascii="仿宋_GB2312" w:hAnsi="仿宋_GB2312" w:eastAsia="仿宋_GB2312" w:cs="仿宋_GB2312"/>
          <w:color w:val="auto"/>
          <w:kern w:val="2"/>
          <w:sz w:val="32"/>
          <w:szCs w:val="32"/>
          <w:highlight w:val="none"/>
          <w:lang w:val="en-US" w:eastAsia="zh-CN" w:bidi="ar"/>
        </w:rPr>
      </w:pPr>
      <w:bookmarkStart w:id="59" w:name="_Toc21214"/>
      <w:bookmarkStart w:id="60" w:name="_Toc24712"/>
      <w:bookmarkStart w:id="61" w:name="_Toc9518"/>
      <w:r>
        <w:rPr>
          <w:rFonts w:hint="default" w:ascii="仿宋_GB2312" w:hAnsi="仿宋_GB2312" w:eastAsia="仿宋_GB2312" w:cs="仿宋_GB2312"/>
          <w:color w:val="auto"/>
          <w:kern w:val="2"/>
          <w:sz w:val="32"/>
          <w:szCs w:val="32"/>
          <w:highlight w:val="none"/>
          <w:lang w:val="en-US" w:eastAsia="zh-CN" w:bidi="ar"/>
        </w:rPr>
        <w:t>严格落实党政同责、“一岗双责”，强化对实施方案</w:t>
      </w:r>
      <w:r>
        <w:rPr>
          <w:rFonts w:hint="eastAsia" w:ascii="仿宋_GB2312" w:hAnsi="仿宋_GB2312" w:eastAsia="仿宋_GB2312" w:cs="仿宋_GB2312"/>
          <w:color w:val="auto"/>
          <w:kern w:val="2"/>
          <w:sz w:val="32"/>
          <w:szCs w:val="32"/>
          <w:highlight w:val="none"/>
          <w:lang w:val="en-US" w:eastAsia="zh-CN" w:bidi="ar"/>
        </w:rPr>
        <w:t>既定目标</w:t>
      </w:r>
      <w:r>
        <w:rPr>
          <w:rFonts w:hint="default" w:ascii="仿宋_GB2312" w:hAnsi="仿宋_GB2312" w:eastAsia="仿宋_GB2312" w:cs="仿宋_GB2312"/>
          <w:color w:val="auto"/>
          <w:kern w:val="2"/>
          <w:sz w:val="32"/>
          <w:szCs w:val="32"/>
          <w:highlight w:val="none"/>
          <w:lang w:val="en-US" w:eastAsia="zh-CN" w:bidi="ar"/>
        </w:rPr>
        <w:t>、任务、</w:t>
      </w:r>
      <w:r>
        <w:rPr>
          <w:rFonts w:hint="eastAsia" w:ascii="仿宋_GB2312" w:hAnsi="仿宋_GB2312" w:eastAsia="仿宋_GB2312" w:cs="仿宋_GB2312"/>
          <w:color w:val="auto"/>
          <w:kern w:val="2"/>
          <w:sz w:val="32"/>
          <w:szCs w:val="32"/>
          <w:highlight w:val="none"/>
          <w:lang w:val="en-US" w:eastAsia="zh-CN" w:bidi="ar"/>
        </w:rPr>
        <w:t>政策、项目等</w:t>
      </w:r>
      <w:r>
        <w:rPr>
          <w:rFonts w:hint="default" w:ascii="仿宋_GB2312" w:hAnsi="仿宋_GB2312" w:eastAsia="仿宋_GB2312" w:cs="仿宋_GB2312"/>
          <w:color w:val="auto"/>
          <w:kern w:val="2"/>
          <w:sz w:val="32"/>
          <w:szCs w:val="32"/>
          <w:highlight w:val="none"/>
          <w:lang w:val="en-US" w:eastAsia="zh-CN" w:bidi="ar"/>
        </w:rPr>
        <w:t>全过程专项</w:t>
      </w:r>
      <w:r>
        <w:rPr>
          <w:rFonts w:hint="eastAsia" w:cs="仿宋_GB2312"/>
          <w:color w:val="auto"/>
          <w:kern w:val="2"/>
          <w:sz w:val="32"/>
          <w:szCs w:val="32"/>
          <w:highlight w:val="none"/>
          <w:lang w:val="en-US" w:eastAsia="zh-CN" w:bidi="ar"/>
        </w:rPr>
        <w:t>检</w:t>
      </w:r>
      <w:r>
        <w:rPr>
          <w:rFonts w:hint="default" w:ascii="仿宋_GB2312" w:hAnsi="仿宋_GB2312" w:eastAsia="仿宋_GB2312" w:cs="仿宋_GB2312"/>
          <w:color w:val="auto"/>
          <w:kern w:val="2"/>
          <w:sz w:val="32"/>
          <w:szCs w:val="32"/>
          <w:highlight w:val="none"/>
          <w:lang w:val="en-US" w:eastAsia="zh-CN" w:bidi="ar"/>
        </w:rPr>
        <w:t>查，确保各项工作落地见效。研究建立方案实施分期监测评估和动态修正调整机制，开展方案实施情况评估。依据评估结果，适时对</w:t>
      </w:r>
      <w:r>
        <w:rPr>
          <w:rFonts w:hint="eastAsia" w:ascii="仿宋_GB2312" w:hAnsi="仿宋_GB2312" w:eastAsia="仿宋_GB2312" w:cs="仿宋_GB2312"/>
          <w:color w:val="auto"/>
          <w:kern w:val="2"/>
          <w:sz w:val="32"/>
          <w:szCs w:val="32"/>
          <w:highlight w:val="none"/>
          <w:lang w:val="en-US" w:eastAsia="zh-CN" w:bidi="ar"/>
        </w:rPr>
        <w:t>实施</w:t>
      </w:r>
      <w:r>
        <w:rPr>
          <w:rFonts w:hint="default" w:ascii="仿宋_GB2312" w:hAnsi="仿宋_GB2312" w:eastAsia="仿宋_GB2312" w:cs="仿宋_GB2312"/>
          <w:color w:val="auto"/>
          <w:kern w:val="2"/>
          <w:sz w:val="32"/>
          <w:szCs w:val="32"/>
          <w:highlight w:val="none"/>
          <w:lang w:val="en-US" w:eastAsia="zh-CN" w:bidi="ar"/>
        </w:rPr>
        <w:t>方案目标指标、重点任务等进行动态调整。</w:t>
      </w:r>
    </w:p>
    <w:p>
      <w:pPr>
        <w:pStyle w:val="3"/>
        <w:pageBreakBefore w:val="0"/>
        <w:kinsoku/>
        <w:wordWrap/>
        <w:overflowPunct/>
        <w:topLinePunct w:val="0"/>
        <w:autoSpaceDN/>
        <w:bidi w:val="0"/>
        <w:adjustRightInd/>
        <w:rPr>
          <w:rFonts w:hint="default"/>
          <w:color w:val="auto"/>
          <w:highlight w:val="none"/>
          <w:lang w:val="en-US" w:eastAsia="zh-CN"/>
        </w:rPr>
      </w:pPr>
      <w:bookmarkStart w:id="62" w:name="_Toc29819"/>
      <w:bookmarkStart w:id="63" w:name="_Toc14890"/>
      <w:bookmarkStart w:id="64" w:name="_Toc10796"/>
      <w:r>
        <w:rPr>
          <w:rFonts w:hint="eastAsia"/>
          <w:color w:val="auto"/>
          <w:highlight w:val="none"/>
          <w:lang w:val="en-US" w:eastAsia="zh-CN"/>
        </w:rPr>
        <w:t>（四）加强宣传引导</w:t>
      </w:r>
      <w:bookmarkEnd w:id="62"/>
      <w:bookmarkEnd w:id="63"/>
      <w:bookmarkEnd w:id="64"/>
    </w:p>
    <w:p>
      <w:pPr>
        <w:pageBreakBefore w:val="0"/>
        <w:kinsoku/>
        <w:wordWrap/>
        <w:overflowPunct/>
        <w:topLinePunct w:val="0"/>
        <w:autoSpaceDN/>
        <w:bidi w:val="0"/>
        <w:adjustRightInd/>
        <w:ind w:left="0" w:leftChars="0" w:firstLine="640" w:firstLineChars="200"/>
        <w:rPr>
          <w:rFonts w:hint="eastAsia" w:ascii="Times New Roman" w:hAnsi="Times New Roman" w:cs="Times New Roman"/>
          <w:b w:val="0"/>
          <w:bCs/>
          <w:color w:val="auto"/>
          <w:sz w:val="32"/>
          <w:szCs w:val="32"/>
          <w:highlight w:val="none"/>
          <w:u w:val="none"/>
          <w:lang w:val="en-US" w:eastAsia="zh-CN"/>
        </w:rPr>
      </w:pPr>
      <w:r>
        <w:rPr>
          <w:rFonts w:hint="eastAsia"/>
          <w:color w:val="auto"/>
          <w:highlight w:val="none"/>
          <w:lang w:val="en-US" w:eastAsia="zh-CN"/>
        </w:rPr>
        <w:t>创新宣传形式与载体，依托生态文化交流、环保设施开放、主题实践等各类活动，号召全社会共同参与美丽城市建设，凝聚社会共识。利用六五环境日、全国低碳日、全国生态日、国际生物多样性日等时段，积极宣传美丽城市建设进展及成效，增强公众美丽城市建设的参与感、获得感和幸福感。</w:t>
      </w:r>
      <w:bookmarkEnd w:id="59"/>
      <w:bookmarkEnd w:id="60"/>
      <w:bookmarkEnd w:id="61"/>
    </w:p>
    <w:sectPr>
      <w:headerReference r:id="rId5" w:type="default"/>
      <w:footerReference r:id="rId6" w:type="default"/>
      <w:footerReference r:id="rId7" w:type="even"/>
      <w:pgSz w:w="11906" w:h="16838"/>
      <w:pgMar w:top="2098" w:right="1474" w:bottom="1984" w:left="1587" w:header="851" w:footer="992" w:gutter="0"/>
      <w:pgNumType w:fmt="numberInDash"/>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A1"/>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485"/>
        <w:tab w:val="clear" w:pos="4153"/>
      </w:tabs>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5092700</wp:posOffset>
              </wp:positionH>
              <wp:positionV relativeFrom="paragraph">
                <wp:posOffset>-150495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pt;margin-top:-11.85pt;height:144pt;width:144pt;mso-position-horizontal-relative:margin;mso-wrap-style:none;z-index:251659264;mso-width-relative:page;mso-height-relative:page;" filled="f" stroked="f" coordsize="21600,21600" o:gfxdata="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RoPa/9kAAAAMAQAADwAAAAAAAAAB&#10;ACAAAAA4AAAAZHJzL2Rvd25yZXYueG1sUEsBAhQAFAAAAAgAh07iQH+OrREyAgAAYQQAAA4AAAAA&#10;AAAAAQAgAAAAPgEAAGRycy9lMm9Eb2MueG1sUEsFBgAAAAAGAAYAWQEAAOIFAAAAAA==&#10;">
              <v:fill on="f" focussize="0,0"/>
              <v:stroke on="f" weight="0.5pt"/>
              <v:imagedata o:title=""/>
              <o:lock v:ext="edit" aspectratio="f"/>
              <v:textbox inset="0mm,0mm,0mm,0mm" style="mso-fit-shape-to-text:t;">
                <w:txbxContent>
                  <w:p>
                    <w:pPr>
                      <w:pStyle w:val="17"/>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posOffset>27305</wp:posOffset>
              </wp:positionH>
              <wp:positionV relativeFrom="paragraph">
                <wp:posOffset>-190500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5pt;margin-top:-15pt;height:144pt;width:144pt;mso-position-horizontal-relative:margin;mso-wrap-style:none;z-index:251660288;mso-width-relative:page;mso-height-relative:page;" filled="f" stroked="f" coordsize="21600,21600" o:gfxdata="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f6uR5dYAAAAJAQAADwAAAAAAAAABACAA&#10;AAA4AAAAZHJzL2Rvd25yZXYueG1sUEsBAhQAFAAAAAgAh07iQPWLh2QyAgAAYQQAAA4AAAAAAAAA&#10;AQAgAAAAOwEAAGRycy9lMm9Eb2MueG1sUEsFBgAAAAAGAAYAWQEAAN8FAAAAAA==&#10;">
              <v:fill on="f" focussize="0,0"/>
              <v:stroke on="f" weight="0.5pt"/>
              <v:imagedata o:title=""/>
              <o:lock v:ext="edit" aspectratio="f"/>
              <v:textbox inset="0mm,0mm,0mm,0mm" style="mso-fit-shape-to-text:t;">
                <w:txbxContent>
                  <w:p>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ind w:firstLine="360" w:firstLineChars="200"/>
      <w:jc w:val="center"/>
      <w:rPr>
        <w:rFonts w:ascii="Times New Roman" w:hAnsi="Times New Roman" w:eastAsia="仿宋_GB2312" w:cstheme="minorBidi"/>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36"/>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evenAndOddHeaders w:val="1"/>
  <w:drawingGridHorizontalSpacing w:val="16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0E"/>
    <w:rsid w:val="0000072A"/>
    <w:rsid w:val="0001351C"/>
    <w:rsid w:val="00016134"/>
    <w:rsid w:val="0002117A"/>
    <w:rsid w:val="00024FE8"/>
    <w:rsid w:val="00025D29"/>
    <w:rsid w:val="000261BE"/>
    <w:rsid w:val="000264EA"/>
    <w:rsid w:val="00027C8A"/>
    <w:rsid w:val="000319DE"/>
    <w:rsid w:val="00032562"/>
    <w:rsid w:val="00035967"/>
    <w:rsid w:val="000377BA"/>
    <w:rsid w:val="00037CC2"/>
    <w:rsid w:val="00037E73"/>
    <w:rsid w:val="00050E7D"/>
    <w:rsid w:val="00051DD9"/>
    <w:rsid w:val="00052437"/>
    <w:rsid w:val="000529BF"/>
    <w:rsid w:val="00053F0E"/>
    <w:rsid w:val="00057B68"/>
    <w:rsid w:val="00061A43"/>
    <w:rsid w:val="00061F26"/>
    <w:rsid w:val="000649A4"/>
    <w:rsid w:val="00064EE7"/>
    <w:rsid w:val="00073315"/>
    <w:rsid w:val="0007576C"/>
    <w:rsid w:val="00080D8C"/>
    <w:rsid w:val="0008250A"/>
    <w:rsid w:val="00082684"/>
    <w:rsid w:val="00082D31"/>
    <w:rsid w:val="0008445E"/>
    <w:rsid w:val="0008457B"/>
    <w:rsid w:val="0008481E"/>
    <w:rsid w:val="00084E08"/>
    <w:rsid w:val="00085402"/>
    <w:rsid w:val="00092064"/>
    <w:rsid w:val="0009347F"/>
    <w:rsid w:val="000936EF"/>
    <w:rsid w:val="00093A19"/>
    <w:rsid w:val="00096E61"/>
    <w:rsid w:val="000A2957"/>
    <w:rsid w:val="000A6F1A"/>
    <w:rsid w:val="000B0017"/>
    <w:rsid w:val="000B0734"/>
    <w:rsid w:val="000B077A"/>
    <w:rsid w:val="000B16EF"/>
    <w:rsid w:val="000B3974"/>
    <w:rsid w:val="000B54A8"/>
    <w:rsid w:val="000B66AD"/>
    <w:rsid w:val="000B6F28"/>
    <w:rsid w:val="000C5761"/>
    <w:rsid w:val="000C5D12"/>
    <w:rsid w:val="000D1517"/>
    <w:rsid w:val="000D2B88"/>
    <w:rsid w:val="000D65E4"/>
    <w:rsid w:val="000D6F81"/>
    <w:rsid w:val="000D7044"/>
    <w:rsid w:val="000D72D5"/>
    <w:rsid w:val="000E05AE"/>
    <w:rsid w:val="000E0DF9"/>
    <w:rsid w:val="000E3B37"/>
    <w:rsid w:val="000E705C"/>
    <w:rsid w:val="000F0348"/>
    <w:rsid w:val="000F1222"/>
    <w:rsid w:val="000F2734"/>
    <w:rsid w:val="000F2D1F"/>
    <w:rsid w:val="000F3A78"/>
    <w:rsid w:val="000F3E67"/>
    <w:rsid w:val="000F7BC5"/>
    <w:rsid w:val="0010014A"/>
    <w:rsid w:val="00101DDC"/>
    <w:rsid w:val="00104E36"/>
    <w:rsid w:val="00111466"/>
    <w:rsid w:val="001126C7"/>
    <w:rsid w:val="001129BE"/>
    <w:rsid w:val="0011329F"/>
    <w:rsid w:val="00113987"/>
    <w:rsid w:val="001141F6"/>
    <w:rsid w:val="00114860"/>
    <w:rsid w:val="00114868"/>
    <w:rsid w:val="00115F00"/>
    <w:rsid w:val="00116EBA"/>
    <w:rsid w:val="00117DD8"/>
    <w:rsid w:val="0012351B"/>
    <w:rsid w:val="00123775"/>
    <w:rsid w:val="001248F1"/>
    <w:rsid w:val="0012699D"/>
    <w:rsid w:val="00133415"/>
    <w:rsid w:val="0013362E"/>
    <w:rsid w:val="00134DBF"/>
    <w:rsid w:val="001354E0"/>
    <w:rsid w:val="00141E75"/>
    <w:rsid w:val="00142637"/>
    <w:rsid w:val="0014343C"/>
    <w:rsid w:val="001436EE"/>
    <w:rsid w:val="00143746"/>
    <w:rsid w:val="001440BE"/>
    <w:rsid w:val="00145CDE"/>
    <w:rsid w:val="0014656C"/>
    <w:rsid w:val="00147CBA"/>
    <w:rsid w:val="001502AD"/>
    <w:rsid w:val="001513D8"/>
    <w:rsid w:val="00155DB1"/>
    <w:rsid w:val="00157793"/>
    <w:rsid w:val="00160983"/>
    <w:rsid w:val="001638A5"/>
    <w:rsid w:val="00163D99"/>
    <w:rsid w:val="00164C32"/>
    <w:rsid w:val="00164F81"/>
    <w:rsid w:val="00165846"/>
    <w:rsid w:val="00166963"/>
    <w:rsid w:val="00166C10"/>
    <w:rsid w:val="001705F0"/>
    <w:rsid w:val="00173466"/>
    <w:rsid w:val="001734B1"/>
    <w:rsid w:val="00173B38"/>
    <w:rsid w:val="0017422C"/>
    <w:rsid w:val="00174ED9"/>
    <w:rsid w:val="001758BD"/>
    <w:rsid w:val="00176531"/>
    <w:rsid w:val="00180224"/>
    <w:rsid w:val="00181340"/>
    <w:rsid w:val="00181656"/>
    <w:rsid w:val="00182403"/>
    <w:rsid w:val="00182E86"/>
    <w:rsid w:val="00183AFE"/>
    <w:rsid w:val="00183B1F"/>
    <w:rsid w:val="0018412C"/>
    <w:rsid w:val="00185C34"/>
    <w:rsid w:val="001868A1"/>
    <w:rsid w:val="00187EB3"/>
    <w:rsid w:val="00190A14"/>
    <w:rsid w:val="00191A47"/>
    <w:rsid w:val="001925D4"/>
    <w:rsid w:val="00192613"/>
    <w:rsid w:val="00193425"/>
    <w:rsid w:val="00194545"/>
    <w:rsid w:val="001966C3"/>
    <w:rsid w:val="00196A0F"/>
    <w:rsid w:val="001A30BF"/>
    <w:rsid w:val="001A437A"/>
    <w:rsid w:val="001A608E"/>
    <w:rsid w:val="001B05B4"/>
    <w:rsid w:val="001B0AE1"/>
    <w:rsid w:val="001B3BFD"/>
    <w:rsid w:val="001B5048"/>
    <w:rsid w:val="001B5BDF"/>
    <w:rsid w:val="001C03C1"/>
    <w:rsid w:val="001C0CEA"/>
    <w:rsid w:val="001C1B20"/>
    <w:rsid w:val="001C201E"/>
    <w:rsid w:val="001C451D"/>
    <w:rsid w:val="001C5C0A"/>
    <w:rsid w:val="001C6A5D"/>
    <w:rsid w:val="001C6B0B"/>
    <w:rsid w:val="001C6F95"/>
    <w:rsid w:val="001C78E0"/>
    <w:rsid w:val="001C7EC5"/>
    <w:rsid w:val="001D0ADC"/>
    <w:rsid w:val="001E02A7"/>
    <w:rsid w:val="001E04C6"/>
    <w:rsid w:val="001E2B86"/>
    <w:rsid w:val="001E2D91"/>
    <w:rsid w:val="001E525A"/>
    <w:rsid w:val="001E5FEC"/>
    <w:rsid w:val="001E7361"/>
    <w:rsid w:val="001F0F32"/>
    <w:rsid w:val="001F3790"/>
    <w:rsid w:val="001F508B"/>
    <w:rsid w:val="001F53D9"/>
    <w:rsid w:val="001F67AD"/>
    <w:rsid w:val="001F6821"/>
    <w:rsid w:val="00200FA4"/>
    <w:rsid w:val="0020104B"/>
    <w:rsid w:val="002021F7"/>
    <w:rsid w:val="00202667"/>
    <w:rsid w:val="00206512"/>
    <w:rsid w:val="00210080"/>
    <w:rsid w:val="0021181B"/>
    <w:rsid w:val="002202DE"/>
    <w:rsid w:val="00221B6E"/>
    <w:rsid w:val="00222289"/>
    <w:rsid w:val="002249A8"/>
    <w:rsid w:val="00230268"/>
    <w:rsid w:val="0023033A"/>
    <w:rsid w:val="00231C8F"/>
    <w:rsid w:val="00236F59"/>
    <w:rsid w:val="00240AF8"/>
    <w:rsid w:val="00240CE7"/>
    <w:rsid w:val="00241782"/>
    <w:rsid w:val="00242751"/>
    <w:rsid w:val="002455A2"/>
    <w:rsid w:val="00246A80"/>
    <w:rsid w:val="00247390"/>
    <w:rsid w:val="002542F6"/>
    <w:rsid w:val="0025722A"/>
    <w:rsid w:val="00270ED0"/>
    <w:rsid w:val="0027158B"/>
    <w:rsid w:val="002724FE"/>
    <w:rsid w:val="0027565E"/>
    <w:rsid w:val="0027710B"/>
    <w:rsid w:val="0027724F"/>
    <w:rsid w:val="00277711"/>
    <w:rsid w:val="00277FB9"/>
    <w:rsid w:val="00280D4C"/>
    <w:rsid w:val="00281229"/>
    <w:rsid w:val="00281AC8"/>
    <w:rsid w:val="00284696"/>
    <w:rsid w:val="00284BFF"/>
    <w:rsid w:val="00284D68"/>
    <w:rsid w:val="002850D0"/>
    <w:rsid w:val="00287B71"/>
    <w:rsid w:val="00287C07"/>
    <w:rsid w:val="00296626"/>
    <w:rsid w:val="00297A98"/>
    <w:rsid w:val="00297E35"/>
    <w:rsid w:val="002A103A"/>
    <w:rsid w:val="002A18DB"/>
    <w:rsid w:val="002A49AA"/>
    <w:rsid w:val="002B0656"/>
    <w:rsid w:val="002B186A"/>
    <w:rsid w:val="002B2355"/>
    <w:rsid w:val="002B4166"/>
    <w:rsid w:val="002B4DA0"/>
    <w:rsid w:val="002B5BFA"/>
    <w:rsid w:val="002B7AD2"/>
    <w:rsid w:val="002C0EE1"/>
    <w:rsid w:val="002C1AFA"/>
    <w:rsid w:val="002C2D45"/>
    <w:rsid w:val="002C36B9"/>
    <w:rsid w:val="002C3A5B"/>
    <w:rsid w:val="002C7FB1"/>
    <w:rsid w:val="002D04A8"/>
    <w:rsid w:val="002D1A09"/>
    <w:rsid w:val="002D3785"/>
    <w:rsid w:val="002D5D31"/>
    <w:rsid w:val="002D6331"/>
    <w:rsid w:val="002E13A3"/>
    <w:rsid w:val="002E253F"/>
    <w:rsid w:val="002E2C48"/>
    <w:rsid w:val="002E479A"/>
    <w:rsid w:val="002E53D0"/>
    <w:rsid w:val="002E6150"/>
    <w:rsid w:val="002E69F8"/>
    <w:rsid w:val="002F0AD8"/>
    <w:rsid w:val="002F108A"/>
    <w:rsid w:val="002F12D6"/>
    <w:rsid w:val="002F1573"/>
    <w:rsid w:val="002F25F8"/>
    <w:rsid w:val="002F2BA2"/>
    <w:rsid w:val="002F42DD"/>
    <w:rsid w:val="002F4A1F"/>
    <w:rsid w:val="002F633F"/>
    <w:rsid w:val="002F6D9D"/>
    <w:rsid w:val="002F74CA"/>
    <w:rsid w:val="00300F99"/>
    <w:rsid w:val="00301632"/>
    <w:rsid w:val="00303158"/>
    <w:rsid w:val="003054D8"/>
    <w:rsid w:val="003056FB"/>
    <w:rsid w:val="00307A3E"/>
    <w:rsid w:val="00310EFE"/>
    <w:rsid w:val="00312A54"/>
    <w:rsid w:val="00314760"/>
    <w:rsid w:val="003174AF"/>
    <w:rsid w:val="0032082F"/>
    <w:rsid w:val="00321618"/>
    <w:rsid w:val="00321BF5"/>
    <w:rsid w:val="00322EC4"/>
    <w:rsid w:val="00323FC7"/>
    <w:rsid w:val="00326B9E"/>
    <w:rsid w:val="00326D88"/>
    <w:rsid w:val="00327177"/>
    <w:rsid w:val="003303A9"/>
    <w:rsid w:val="00337FC1"/>
    <w:rsid w:val="00344090"/>
    <w:rsid w:val="003447A2"/>
    <w:rsid w:val="00344936"/>
    <w:rsid w:val="00347A54"/>
    <w:rsid w:val="0035070E"/>
    <w:rsid w:val="00350909"/>
    <w:rsid w:val="00350DE8"/>
    <w:rsid w:val="00350E78"/>
    <w:rsid w:val="00351686"/>
    <w:rsid w:val="003528DE"/>
    <w:rsid w:val="003534A3"/>
    <w:rsid w:val="0035439E"/>
    <w:rsid w:val="00355835"/>
    <w:rsid w:val="003565E7"/>
    <w:rsid w:val="00357224"/>
    <w:rsid w:val="00357DA6"/>
    <w:rsid w:val="0036403B"/>
    <w:rsid w:val="00366A99"/>
    <w:rsid w:val="003710CC"/>
    <w:rsid w:val="003712EC"/>
    <w:rsid w:val="00371629"/>
    <w:rsid w:val="00371EB0"/>
    <w:rsid w:val="00371FEA"/>
    <w:rsid w:val="00372B8D"/>
    <w:rsid w:val="00372FD9"/>
    <w:rsid w:val="0037590F"/>
    <w:rsid w:val="00375F50"/>
    <w:rsid w:val="0037616D"/>
    <w:rsid w:val="003771B5"/>
    <w:rsid w:val="0038015B"/>
    <w:rsid w:val="00380BF3"/>
    <w:rsid w:val="003817DA"/>
    <w:rsid w:val="00384750"/>
    <w:rsid w:val="00384A58"/>
    <w:rsid w:val="00384BE8"/>
    <w:rsid w:val="00391153"/>
    <w:rsid w:val="00394E6E"/>
    <w:rsid w:val="003960C4"/>
    <w:rsid w:val="003A17D7"/>
    <w:rsid w:val="003A6195"/>
    <w:rsid w:val="003A681D"/>
    <w:rsid w:val="003A6BF8"/>
    <w:rsid w:val="003A713A"/>
    <w:rsid w:val="003B5288"/>
    <w:rsid w:val="003B5E63"/>
    <w:rsid w:val="003B62DB"/>
    <w:rsid w:val="003C42E5"/>
    <w:rsid w:val="003C4C18"/>
    <w:rsid w:val="003D0F28"/>
    <w:rsid w:val="003D1CA4"/>
    <w:rsid w:val="003D27F3"/>
    <w:rsid w:val="003D32BC"/>
    <w:rsid w:val="003D32CD"/>
    <w:rsid w:val="003D4769"/>
    <w:rsid w:val="003D4E8C"/>
    <w:rsid w:val="003E114A"/>
    <w:rsid w:val="003E39CF"/>
    <w:rsid w:val="003E4EF2"/>
    <w:rsid w:val="003F2C23"/>
    <w:rsid w:val="003F520B"/>
    <w:rsid w:val="003F5EDC"/>
    <w:rsid w:val="003F7FE6"/>
    <w:rsid w:val="00400DE0"/>
    <w:rsid w:val="004016E6"/>
    <w:rsid w:val="004025F1"/>
    <w:rsid w:val="00404534"/>
    <w:rsid w:val="004045E1"/>
    <w:rsid w:val="00405F3F"/>
    <w:rsid w:val="00407681"/>
    <w:rsid w:val="004079C3"/>
    <w:rsid w:val="00407AEF"/>
    <w:rsid w:val="00407EBA"/>
    <w:rsid w:val="0041026F"/>
    <w:rsid w:val="004110AC"/>
    <w:rsid w:val="0041189A"/>
    <w:rsid w:val="00414723"/>
    <w:rsid w:val="00414ADD"/>
    <w:rsid w:val="004170A5"/>
    <w:rsid w:val="00420FB4"/>
    <w:rsid w:val="0042110E"/>
    <w:rsid w:val="0042166C"/>
    <w:rsid w:val="00423158"/>
    <w:rsid w:val="00425505"/>
    <w:rsid w:val="00430798"/>
    <w:rsid w:val="00432274"/>
    <w:rsid w:val="00432807"/>
    <w:rsid w:val="004328CC"/>
    <w:rsid w:val="00433487"/>
    <w:rsid w:val="00433D96"/>
    <w:rsid w:val="00435184"/>
    <w:rsid w:val="004360C8"/>
    <w:rsid w:val="00440043"/>
    <w:rsid w:val="0044101A"/>
    <w:rsid w:val="00441CD0"/>
    <w:rsid w:val="00442D03"/>
    <w:rsid w:val="0044416E"/>
    <w:rsid w:val="00445FCE"/>
    <w:rsid w:val="0045178D"/>
    <w:rsid w:val="00452C8A"/>
    <w:rsid w:val="00454720"/>
    <w:rsid w:val="00455230"/>
    <w:rsid w:val="00456B08"/>
    <w:rsid w:val="00457724"/>
    <w:rsid w:val="00457E18"/>
    <w:rsid w:val="00460F5E"/>
    <w:rsid w:val="00462D1A"/>
    <w:rsid w:val="004649A7"/>
    <w:rsid w:val="0047048B"/>
    <w:rsid w:val="004712E2"/>
    <w:rsid w:val="00474807"/>
    <w:rsid w:val="00475178"/>
    <w:rsid w:val="004752D8"/>
    <w:rsid w:val="00476BF0"/>
    <w:rsid w:val="00477277"/>
    <w:rsid w:val="00477E3E"/>
    <w:rsid w:val="0048065B"/>
    <w:rsid w:val="00483B0F"/>
    <w:rsid w:val="00483B37"/>
    <w:rsid w:val="00487820"/>
    <w:rsid w:val="004923E1"/>
    <w:rsid w:val="00492AA0"/>
    <w:rsid w:val="00492C8A"/>
    <w:rsid w:val="00493C38"/>
    <w:rsid w:val="00496936"/>
    <w:rsid w:val="00497FE8"/>
    <w:rsid w:val="004A22F9"/>
    <w:rsid w:val="004A26E4"/>
    <w:rsid w:val="004A4127"/>
    <w:rsid w:val="004B1DD0"/>
    <w:rsid w:val="004B266A"/>
    <w:rsid w:val="004B275B"/>
    <w:rsid w:val="004B5654"/>
    <w:rsid w:val="004B5769"/>
    <w:rsid w:val="004B69F0"/>
    <w:rsid w:val="004C1FFD"/>
    <w:rsid w:val="004C2CBB"/>
    <w:rsid w:val="004C420E"/>
    <w:rsid w:val="004C673E"/>
    <w:rsid w:val="004C7313"/>
    <w:rsid w:val="004C78E1"/>
    <w:rsid w:val="004C7914"/>
    <w:rsid w:val="004D0D5F"/>
    <w:rsid w:val="004D77B4"/>
    <w:rsid w:val="004D7FEA"/>
    <w:rsid w:val="004E0079"/>
    <w:rsid w:val="004E064B"/>
    <w:rsid w:val="004E0F88"/>
    <w:rsid w:val="004E198E"/>
    <w:rsid w:val="004E35A4"/>
    <w:rsid w:val="004E3BCE"/>
    <w:rsid w:val="004E3D1E"/>
    <w:rsid w:val="004E6A5F"/>
    <w:rsid w:val="004E7527"/>
    <w:rsid w:val="004F3E8F"/>
    <w:rsid w:val="004F78DA"/>
    <w:rsid w:val="005002D1"/>
    <w:rsid w:val="00503CBA"/>
    <w:rsid w:val="005047F7"/>
    <w:rsid w:val="00506707"/>
    <w:rsid w:val="00506DC3"/>
    <w:rsid w:val="0050787F"/>
    <w:rsid w:val="005102A8"/>
    <w:rsid w:val="00511989"/>
    <w:rsid w:val="0051246F"/>
    <w:rsid w:val="00514992"/>
    <w:rsid w:val="00514F9F"/>
    <w:rsid w:val="00517018"/>
    <w:rsid w:val="005172B2"/>
    <w:rsid w:val="005214C0"/>
    <w:rsid w:val="005215EE"/>
    <w:rsid w:val="005219A4"/>
    <w:rsid w:val="00527023"/>
    <w:rsid w:val="0053058C"/>
    <w:rsid w:val="00530694"/>
    <w:rsid w:val="005318FC"/>
    <w:rsid w:val="00533758"/>
    <w:rsid w:val="00533C1D"/>
    <w:rsid w:val="00534BAC"/>
    <w:rsid w:val="00535549"/>
    <w:rsid w:val="005357C1"/>
    <w:rsid w:val="005357C6"/>
    <w:rsid w:val="00535B88"/>
    <w:rsid w:val="00536FC0"/>
    <w:rsid w:val="0054057F"/>
    <w:rsid w:val="005412E1"/>
    <w:rsid w:val="00541E21"/>
    <w:rsid w:val="0054223F"/>
    <w:rsid w:val="005426F4"/>
    <w:rsid w:val="005462EC"/>
    <w:rsid w:val="00546B7B"/>
    <w:rsid w:val="0054721B"/>
    <w:rsid w:val="00550700"/>
    <w:rsid w:val="005539A0"/>
    <w:rsid w:val="00554DCE"/>
    <w:rsid w:val="0055688A"/>
    <w:rsid w:val="00557897"/>
    <w:rsid w:val="00561240"/>
    <w:rsid w:val="005628B1"/>
    <w:rsid w:val="0056509F"/>
    <w:rsid w:val="00566C65"/>
    <w:rsid w:val="00567D70"/>
    <w:rsid w:val="0057076B"/>
    <w:rsid w:val="00575A18"/>
    <w:rsid w:val="00575DC8"/>
    <w:rsid w:val="00575EB5"/>
    <w:rsid w:val="00575F05"/>
    <w:rsid w:val="00576CD1"/>
    <w:rsid w:val="00581B66"/>
    <w:rsid w:val="00581B8D"/>
    <w:rsid w:val="005827C8"/>
    <w:rsid w:val="005829E1"/>
    <w:rsid w:val="00584BC2"/>
    <w:rsid w:val="00585473"/>
    <w:rsid w:val="005855CD"/>
    <w:rsid w:val="00587B65"/>
    <w:rsid w:val="00592B06"/>
    <w:rsid w:val="00592E7D"/>
    <w:rsid w:val="005933E4"/>
    <w:rsid w:val="00593D28"/>
    <w:rsid w:val="00594380"/>
    <w:rsid w:val="005A021B"/>
    <w:rsid w:val="005A2CEE"/>
    <w:rsid w:val="005A7314"/>
    <w:rsid w:val="005A7677"/>
    <w:rsid w:val="005B08A0"/>
    <w:rsid w:val="005B1708"/>
    <w:rsid w:val="005B1C5D"/>
    <w:rsid w:val="005B293B"/>
    <w:rsid w:val="005B4E3D"/>
    <w:rsid w:val="005B517A"/>
    <w:rsid w:val="005B56B1"/>
    <w:rsid w:val="005B5CC8"/>
    <w:rsid w:val="005B5E35"/>
    <w:rsid w:val="005C12C3"/>
    <w:rsid w:val="005C1B68"/>
    <w:rsid w:val="005C321B"/>
    <w:rsid w:val="005C3D26"/>
    <w:rsid w:val="005C6FF0"/>
    <w:rsid w:val="005C76B7"/>
    <w:rsid w:val="005C7D28"/>
    <w:rsid w:val="005C7FFB"/>
    <w:rsid w:val="005D0372"/>
    <w:rsid w:val="005D1F9C"/>
    <w:rsid w:val="005D2968"/>
    <w:rsid w:val="005D5239"/>
    <w:rsid w:val="005D6167"/>
    <w:rsid w:val="005E337B"/>
    <w:rsid w:val="005E393E"/>
    <w:rsid w:val="005E3CF4"/>
    <w:rsid w:val="005E3E4D"/>
    <w:rsid w:val="005E4B65"/>
    <w:rsid w:val="005E6ECF"/>
    <w:rsid w:val="005F1A02"/>
    <w:rsid w:val="005F4E99"/>
    <w:rsid w:val="005F6C31"/>
    <w:rsid w:val="005F7756"/>
    <w:rsid w:val="00600103"/>
    <w:rsid w:val="00601AC7"/>
    <w:rsid w:val="00602E56"/>
    <w:rsid w:val="006041D5"/>
    <w:rsid w:val="0060682A"/>
    <w:rsid w:val="00611AA7"/>
    <w:rsid w:val="00615B81"/>
    <w:rsid w:val="00616E64"/>
    <w:rsid w:val="00622D0F"/>
    <w:rsid w:val="00623596"/>
    <w:rsid w:val="006266C5"/>
    <w:rsid w:val="0062782A"/>
    <w:rsid w:val="00627C13"/>
    <w:rsid w:val="00631090"/>
    <w:rsid w:val="0063184E"/>
    <w:rsid w:val="0063435C"/>
    <w:rsid w:val="00634B4D"/>
    <w:rsid w:val="006403FA"/>
    <w:rsid w:val="006514C1"/>
    <w:rsid w:val="0065238A"/>
    <w:rsid w:val="00652F03"/>
    <w:rsid w:val="00654863"/>
    <w:rsid w:val="00654BFE"/>
    <w:rsid w:val="00654CB4"/>
    <w:rsid w:val="00660752"/>
    <w:rsid w:val="00660FF5"/>
    <w:rsid w:val="00662104"/>
    <w:rsid w:val="006621C2"/>
    <w:rsid w:val="00662AFE"/>
    <w:rsid w:val="0066351F"/>
    <w:rsid w:val="00664071"/>
    <w:rsid w:val="00666E33"/>
    <w:rsid w:val="00670253"/>
    <w:rsid w:val="0067171D"/>
    <w:rsid w:val="006717BD"/>
    <w:rsid w:val="006736CA"/>
    <w:rsid w:val="00673BC4"/>
    <w:rsid w:val="00674AC9"/>
    <w:rsid w:val="00674B0D"/>
    <w:rsid w:val="00676034"/>
    <w:rsid w:val="00680939"/>
    <w:rsid w:val="00681051"/>
    <w:rsid w:val="00683F58"/>
    <w:rsid w:val="006853B5"/>
    <w:rsid w:val="006864EC"/>
    <w:rsid w:val="00687934"/>
    <w:rsid w:val="00690604"/>
    <w:rsid w:val="006913D2"/>
    <w:rsid w:val="0069457E"/>
    <w:rsid w:val="006968D5"/>
    <w:rsid w:val="00697FB9"/>
    <w:rsid w:val="006A0992"/>
    <w:rsid w:val="006A4B16"/>
    <w:rsid w:val="006A7817"/>
    <w:rsid w:val="006B05B9"/>
    <w:rsid w:val="006B079C"/>
    <w:rsid w:val="006B10AB"/>
    <w:rsid w:val="006B1E59"/>
    <w:rsid w:val="006B23C6"/>
    <w:rsid w:val="006B3B1C"/>
    <w:rsid w:val="006B3C8E"/>
    <w:rsid w:val="006C37AA"/>
    <w:rsid w:val="006C4A7F"/>
    <w:rsid w:val="006C55AD"/>
    <w:rsid w:val="006C6663"/>
    <w:rsid w:val="006C69D3"/>
    <w:rsid w:val="006C77BE"/>
    <w:rsid w:val="006C77EB"/>
    <w:rsid w:val="006C79F7"/>
    <w:rsid w:val="006D0D4F"/>
    <w:rsid w:val="006D290D"/>
    <w:rsid w:val="006D3C6E"/>
    <w:rsid w:val="006D64DD"/>
    <w:rsid w:val="006D7B2D"/>
    <w:rsid w:val="006E0A27"/>
    <w:rsid w:val="006E1BE6"/>
    <w:rsid w:val="006E2E73"/>
    <w:rsid w:val="006E353F"/>
    <w:rsid w:val="006E52A1"/>
    <w:rsid w:val="006E6BCD"/>
    <w:rsid w:val="006E782D"/>
    <w:rsid w:val="006E7AD2"/>
    <w:rsid w:val="006F4AFC"/>
    <w:rsid w:val="006F631D"/>
    <w:rsid w:val="006F6A5D"/>
    <w:rsid w:val="007007DA"/>
    <w:rsid w:val="007014E3"/>
    <w:rsid w:val="00705180"/>
    <w:rsid w:val="00710241"/>
    <w:rsid w:val="00711FF0"/>
    <w:rsid w:val="00712BC9"/>
    <w:rsid w:val="00715B0D"/>
    <w:rsid w:val="00716B33"/>
    <w:rsid w:val="00716CE2"/>
    <w:rsid w:val="007231D7"/>
    <w:rsid w:val="00723B4C"/>
    <w:rsid w:val="007242BE"/>
    <w:rsid w:val="0073001F"/>
    <w:rsid w:val="0073377F"/>
    <w:rsid w:val="0073388F"/>
    <w:rsid w:val="00734073"/>
    <w:rsid w:val="0073572D"/>
    <w:rsid w:val="007365F5"/>
    <w:rsid w:val="00736EED"/>
    <w:rsid w:val="00737CAE"/>
    <w:rsid w:val="00740984"/>
    <w:rsid w:val="00744691"/>
    <w:rsid w:val="00744C9C"/>
    <w:rsid w:val="00746DB6"/>
    <w:rsid w:val="0074784E"/>
    <w:rsid w:val="00747F05"/>
    <w:rsid w:val="00750D54"/>
    <w:rsid w:val="007540FC"/>
    <w:rsid w:val="007571F7"/>
    <w:rsid w:val="00764AF0"/>
    <w:rsid w:val="007656F4"/>
    <w:rsid w:val="00765A4C"/>
    <w:rsid w:val="00770693"/>
    <w:rsid w:val="00772219"/>
    <w:rsid w:val="00775C00"/>
    <w:rsid w:val="00777BEA"/>
    <w:rsid w:val="00782F3F"/>
    <w:rsid w:val="00783384"/>
    <w:rsid w:val="00784BA5"/>
    <w:rsid w:val="00784C86"/>
    <w:rsid w:val="00785081"/>
    <w:rsid w:val="007861F7"/>
    <w:rsid w:val="00787577"/>
    <w:rsid w:val="00787925"/>
    <w:rsid w:val="00787F4E"/>
    <w:rsid w:val="007908C1"/>
    <w:rsid w:val="00790ED2"/>
    <w:rsid w:val="007926BB"/>
    <w:rsid w:val="007931D6"/>
    <w:rsid w:val="0079583F"/>
    <w:rsid w:val="007977F8"/>
    <w:rsid w:val="007A0688"/>
    <w:rsid w:val="007A0C7C"/>
    <w:rsid w:val="007A2E2D"/>
    <w:rsid w:val="007B1117"/>
    <w:rsid w:val="007B11EB"/>
    <w:rsid w:val="007B1263"/>
    <w:rsid w:val="007B4A5B"/>
    <w:rsid w:val="007B5E75"/>
    <w:rsid w:val="007B6B6E"/>
    <w:rsid w:val="007B7234"/>
    <w:rsid w:val="007B76EB"/>
    <w:rsid w:val="007C14E0"/>
    <w:rsid w:val="007C2C76"/>
    <w:rsid w:val="007C58C4"/>
    <w:rsid w:val="007C73FE"/>
    <w:rsid w:val="007D05FF"/>
    <w:rsid w:val="007D0DF0"/>
    <w:rsid w:val="007D3305"/>
    <w:rsid w:val="007D467C"/>
    <w:rsid w:val="007E0C5F"/>
    <w:rsid w:val="007E24A1"/>
    <w:rsid w:val="007E2F1B"/>
    <w:rsid w:val="007E48E3"/>
    <w:rsid w:val="007E6266"/>
    <w:rsid w:val="007F0403"/>
    <w:rsid w:val="007F060D"/>
    <w:rsid w:val="007F1A11"/>
    <w:rsid w:val="007F1B8E"/>
    <w:rsid w:val="007F395A"/>
    <w:rsid w:val="007F589A"/>
    <w:rsid w:val="007F60C0"/>
    <w:rsid w:val="007F638D"/>
    <w:rsid w:val="00800D00"/>
    <w:rsid w:val="00800FEB"/>
    <w:rsid w:val="00801C8B"/>
    <w:rsid w:val="008020BD"/>
    <w:rsid w:val="0080746B"/>
    <w:rsid w:val="00810372"/>
    <w:rsid w:val="008114F1"/>
    <w:rsid w:val="00813DE9"/>
    <w:rsid w:val="00814C94"/>
    <w:rsid w:val="00817DD7"/>
    <w:rsid w:val="008208CF"/>
    <w:rsid w:val="00824860"/>
    <w:rsid w:val="00826057"/>
    <w:rsid w:val="00826568"/>
    <w:rsid w:val="00827E22"/>
    <w:rsid w:val="00830110"/>
    <w:rsid w:val="008314AD"/>
    <w:rsid w:val="00831F2E"/>
    <w:rsid w:val="00832147"/>
    <w:rsid w:val="0083282A"/>
    <w:rsid w:val="00833822"/>
    <w:rsid w:val="00833DE6"/>
    <w:rsid w:val="00834620"/>
    <w:rsid w:val="008351C5"/>
    <w:rsid w:val="00836039"/>
    <w:rsid w:val="0083683A"/>
    <w:rsid w:val="008408DD"/>
    <w:rsid w:val="008410F7"/>
    <w:rsid w:val="0084192E"/>
    <w:rsid w:val="00841BCD"/>
    <w:rsid w:val="00841D09"/>
    <w:rsid w:val="0084399F"/>
    <w:rsid w:val="008442C1"/>
    <w:rsid w:val="00845E36"/>
    <w:rsid w:val="00846549"/>
    <w:rsid w:val="00847C3F"/>
    <w:rsid w:val="00851EA8"/>
    <w:rsid w:val="0085201B"/>
    <w:rsid w:val="008521C9"/>
    <w:rsid w:val="008551BE"/>
    <w:rsid w:val="00856C57"/>
    <w:rsid w:val="00861464"/>
    <w:rsid w:val="008628ED"/>
    <w:rsid w:val="0086297F"/>
    <w:rsid w:val="00862B25"/>
    <w:rsid w:val="00862B83"/>
    <w:rsid w:val="00862B9E"/>
    <w:rsid w:val="00862EA3"/>
    <w:rsid w:val="0086309C"/>
    <w:rsid w:val="008633A8"/>
    <w:rsid w:val="00863C8C"/>
    <w:rsid w:val="00865BA4"/>
    <w:rsid w:val="00867A86"/>
    <w:rsid w:val="00870065"/>
    <w:rsid w:val="00871E36"/>
    <w:rsid w:val="00872CEA"/>
    <w:rsid w:val="00872E04"/>
    <w:rsid w:val="00874962"/>
    <w:rsid w:val="0088013C"/>
    <w:rsid w:val="0088184D"/>
    <w:rsid w:val="00881EDD"/>
    <w:rsid w:val="008823AE"/>
    <w:rsid w:val="0088276F"/>
    <w:rsid w:val="00884379"/>
    <w:rsid w:val="00885BCE"/>
    <w:rsid w:val="00886ADE"/>
    <w:rsid w:val="00886F9E"/>
    <w:rsid w:val="008943C2"/>
    <w:rsid w:val="00894C6B"/>
    <w:rsid w:val="00895C3A"/>
    <w:rsid w:val="00896088"/>
    <w:rsid w:val="0089672F"/>
    <w:rsid w:val="00897041"/>
    <w:rsid w:val="008A0E9B"/>
    <w:rsid w:val="008A66C1"/>
    <w:rsid w:val="008A7F58"/>
    <w:rsid w:val="008B037A"/>
    <w:rsid w:val="008B1E9E"/>
    <w:rsid w:val="008B208B"/>
    <w:rsid w:val="008B3745"/>
    <w:rsid w:val="008B382E"/>
    <w:rsid w:val="008B42A3"/>
    <w:rsid w:val="008B697C"/>
    <w:rsid w:val="008B6E23"/>
    <w:rsid w:val="008B75E3"/>
    <w:rsid w:val="008B7F6D"/>
    <w:rsid w:val="008C0A7B"/>
    <w:rsid w:val="008C1627"/>
    <w:rsid w:val="008C22B0"/>
    <w:rsid w:val="008C2546"/>
    <w:rsid w:val="008C340D"/>
    <w:rsid w:val="008C5F32"/>
    <w:rsid w:val="008C696A"/>
    <w:rsid w:val="008D1932"/>
    <w:rsid w:val="008D313A"/>
    <w:rsid w:val="008D315D"/>
    <w:rsid w:val="008D4E74"/>
    <w:rsid w:val="008D59D2"/>
    <w:rsid w:val="008D6507"/>
    <w:rsid w:val="008E0DCF"/>
    <w:rsid w:val="008E2CC9"/>
    <w:rsid w:val="008E4A4D"/>
    <w:rsid w:val="008E503B"/>
    <w:rsid w:val="008F0A95"/>
    <w:rsid w:val="008F10C6"/>
    <w:rsid w:val="008F1220"/>
    <w:rsid w:val="008F22FD"/>
    <w:rsid w:val="008F2788"/>
    <w:rsid w:val="008F2BBD"/>
    <w:rsid w:val="008F2C8F"/>
    <w:rsid w:val="008F3C79"/>
    <w:rsid w:val="008F3D5F"/>
    <w:rsid w:val="008F4566"/>
    <w:rsid w:val="008F54D2"/>
    <w:rsid w:val="008F5879"/>
    <w:rsid w:val="008F5B50"/>
    <w:rsid w:val="008F6C5D"/>
    <w:rsid w:val="008F7173"/>
    <w:rsid w:val="009001BB"/>
    <w:rsid w:val="009014A7"/>
    <w:rsid w:val="00901E49"/>
    <w:rsid w:val="00903991"/>
    <w:rsid w:val="009115A6"/>
    <w:rsid w:val="00913D67"/>
    <w:rsid w:val="00913FBC"/>
    <w:rsid w:val="00914B10"/>
    <w:rsid w:val="00922C5A"/>
    <w:rsid w:val="009235E5"/>
    <w:rsid w:val="009237D9"/>
    <w:rsid w:val="00931FC1"/>
    <w:rsid w:val="00932385"/>
    <w:rsid w:val="00932C03"/>
    <w:rsid w:val="00933E01"/>
    <w:rsid w:val="00936EFD"/>
    <w:rsid w:val="00937115"/>
    <w:rsid w:val="0094025D"/>
    <w:rsid w:val="00940386"/>
    <w:rsid w:val="00942EB4"/>
    <w:rsid w:val="009443DA"/>
    <w:rsid w:val="00945B4F"/>
    <w:rsid w:val="00946DAB"/>
    <w:rsid w:val="009511E1"/>
    <w:rsid w:val="009541E4"/>
    <w:rsid w:val="00954330"/>
    <w:rsid w:val="00956820"/>
    <w:rsid w:val="00956E38"/>
    <w:rsid w:val="0095787E"/>
    <w:rsid w:val="0096006E"/>
    <w:rsid w:val="009648E7"/>
    <w:rsid w:val="00964BF2"/>
    <w:rsid w:val="00967518"/>
    <w:rsid w:val="00971E46"/>
    <w:rsid w:val="00971EFE"/>
    <w:rsid w:val="00972B83"/>
    <w:rsid w:val="009730EC"/>
    <w:rsid w:val="00973C4A"/>
    <w:rsid w:val="00974B26"/>
    <w:rsid w:val="00975817"/>
    <w:rsid w:val="0097589A"/>
    <w:rsid w:val="00977060"/>
    <w:rsid w:val="00981746"/>
    <w:rsid w:val="00982149"/>
    <w:rsid w:val="00982704"/>
    <w:rsid w:val="00983455"/>
    <w:rsid w:val="00987305"/>
    <w:rsid w:val="00993B53"/>
    <w:rsid w:val="00994B64"/>
    <w:rsid w:val="00995877"/>
    <w:rsid w:val="0099686C"/>
    <w:rsid w:val="00997FD7"/>
    <w:rsid w:val="009A013C"/>
    <w:rsid w:val="009A0EA1"/>
    <w:rsid w:val="009A3B2A"/>
    <w:rsid w:val="009A7C79"/>
    <w:rsid w:val="009B0629"/>
    <w:rsid w:val="009B346F"/>
    <w:rsid w:val="009B3E39"/>
    <w:rsid w:val="009B46BA"/>
    <w:rsid w:val="009B6480"/>
    <w:rsid w:val="009C269D"/>
    <w:rsid w:val="009C303E"/>
    <w:rsid w:val="009C4CF4"/>
    <w:rsid w:val="009C6164"/>
    <w:rsid w:val="009C6B26"/>
    <w:rsid w:val="009D38FB"/>
    <w:rsid w:val="009D66A9"/>
    <w:rsid w:val="009D7786"/>
    <w:rsid w:val="009E20B8"/>
    <w:rsid w:val="009E4797"/>
    <w:rsid w:val="009E6F22"/>
    <w:rsid w:val="009F057B"/>
    <w:rsid w:val="009F07E8"/>
    <w:rsid w:val="009F0D70"/>
    <w:rsid w:val="009F1493"/>
    <w:rsid w:val="009F5040"/>
    <w:rsid w:val="009F5C45"/>
    <w:rsid w:val="009F63A8"/>
    <w:rsid w:val="009F790D"/>
    <w:rsid w:val="009F7B5C"/>
    <w:rsid w:val="00A003BB"/>
    <w:rsid w:val="00A01242"/>
    <w:rsid w:val="00A014A8"/>
    <w:rsid w:val="00A03FDF"/>
    <w:rsid w:val="00A04436"/>
    <w:rsid w:val="00A05034"/>
    <w:rsid w:val="00A0694A"/>
    <w:rsid w:val="00A109F5"/>
    <w:rsid w:val="00A11649"/>
    <w:rsid w:val="00A12890"/>
    <w:rsid w:val="00A13F34"/>
    <w:rsid w:val="00A2066E"/>
    <w:rsid w:val="00A20ABB"/>
    <w:rsid w:val="00A21130"/>
    <w:rsid w:val="00A21B64"/>
    <w:rsid w:val="00A21C4D"/>
    <w:rsid w:val="00A21CA0"/>
    <w:rsid w:val="00A254A8"/>
    <w:rsid w:val="00A25678"/>
    <w:rsid w:val="00A26793"/>
    <w:rsid w:val="00A27E9E"/>
    <w:rsid w:val="00A30673"/>
    <w:rsid w:val="00A30D2F"/>
    <w:rsid w:val="00A30E1B"/>
    <w:rsid w:val="00A31946"/>
    <w:rsid w:val="00A32311"/>
    <w:rsid w:val="00A32A49"/>
    <w:rsid w:val="00A3452C"/>
    <w:rsid w:val="00A36300"/>
    <w:rsid w:val="00A36EAF"/>
    <w:rsid w:val="00A43FC6"/>
    <w:rsid w:val="00A44227"/>
    <w:rsid w:val="00A47246"/>
    <w:rsid w:val="00A47CA5"/>
    <w:rsid w:val="00A52DD8"/>
    <w:rsid w:val="00A531AF"/>
    <w:rsid w:val="00A577A3"/>
    <w:rsid w:val="00A60531"/>
    <w:rsid w:val="00A63B65"/>
    <w:rsid w:val="00A665DA"/>
    <w:rsid w:val="00A71796"/>
    <w:rsid w:val="00A72A3F"/>
    <w:rsid w:val="00A72D4F"/>
    <w:rsid w:val="00A73BD8"/>
    <w:rsid w:val="00A74534"/>
    <w:rsid w:val="00A75A45"/>
    <w:rsid w:val="00A761DB"/>
    <w:rsid w:val="00A77111"/>
    <w:rsid w:val="00A772BF"/>
    <w:rsid w:val="00A81FA4"/>
    <w:rsid w:val="00A86177"/>
    <w:rsid w:val="00A878E1"/>
    <w:rsid w:val="00A87AE5"/>
    <w:rsid w:val="00A9106E"/>
    <w:rsid w:val="00A92428"/>
    <w:rsid w:val="00A96535"/>
    <w:rsid w:val="00A97860"/>
    <w:rsid w:val="00AA0087"/>
    <w:rsid w:val="00AA1006"/>
    <w:rsid w:val="00AA5D3B"/>
    <w:rsid w:val="00AB2576"/>
    <w:rsid w:val="00AB2A3B"/>
    <w:rsid w:val="00AB2AFA"/>
    <w:rsid w:val="00AB3279"/>
    <w:rsid w:val="00AB4D9C"/>
    <w:rsid w:val="00AB5328"/>
    <w:rsid w:val="00AB56E3"/>
    <w:rsid w:val="00AB79E5"/>
    <w:rsid w:val="00AC0A78"/>
    <w:rsid w:val="00AC0DD3"/>
    <w:rsid w:val="00AC104B"/>
    <w:rsid w:val="00AC1B01"/>
    <w:rsid w:val="00AC375E"/>
    <w:rsid w:val="00AC4128"/>
    <w:rsid w:val="00AC41E3"/>
    <w:rsid w:val="00AC4426"/>
    <w:rsid w:val="00AC4B5C"/>
    <w:rsid w:val="00AC58EE"/>
    <w:rsid w:val="00AC74FA"/>
    <w:rsid w:val="00AD2938"/>
    <w:rsid w:val="00AD3396"/>
    <w:rsid w:val="00AD452E"/>
    <w:rsid w:val="00AD5BB4"/>
    <w:rsid w:val="00AD61C9"/>
    <w:rsid w:val="00AD76B0"/>
    <w:rsid w:val="00AD7F1A"/>
    <w:rsid w:val="00AE2DD7"/>
    <w:rsid w:val="00AE3DFF"/>
    <w:rsid w:val="00AE57EB"/>
    <w:rsid w:val="00AE6EAF"/>
    <w:rsid w:val="00AF0889"/>
    <w:rsid w:val="00AF1657"/>
    <w:rsid w:val="00AF1C0A"/>
    <w:rsid w:val="00AF4962"/>
    <w:rsid w:val="00AF6755"/>
    <w:rsid w:val="00B004BE"/>
    <w:rsid w:val="00B01F56"/>
    <w:rsid w:val="00B03E58"/>
    <w:rsid w:val="00B0415A"/>
    <w:rsid w:val="00B1388A"/>
    <w:rsid w:val="00B17B17"/>
    <w:rsid w:val="00B23742"/>
    <w:rsid w:val="00B2491D"/>
    <w:rsid w:val="00B25C3E"/>
    <w:rsid w:val="00B26A97"/>
    <w:rsid w:val="00B30A5E"/>
    <w:rsid w:val="00B32297"/>
    <w:rsid w:val="00B32F77"/>
    <w:rsid w:val="00B3422F"/>
    <w:rsid w:val="00B35B22"/>
    <w:rsid w:val="00B35CC3"/>
    <w:rsid w:val="00B4286B"/>
    <w:rsid w:val="00B45D9E"/>
    <w:rsid w:val="00B510B5"/>
    <w:rsid w:val="00B51B54"/>
    <w:rsid w:val="00B5668C"/>
    <w:rsid w:val="00B566A4"/>
    <w:rsid w:val="00B56845"/>
    <w:rsid w:val="00B66A17"/>
    <w:rsid w:val="00B66EBD"/>
    <w:rsid w:val="00B70065"/>
    <w:rsid w:val="00B73E7B"/>
    <w:rsid w:val="00B766F3"/>
    <w:rsid w:val="00B76BF9"/>
    <w:rsid w:val="00B83710"/>
    <w:rsid w:val="00B840BE"/>
    <w:rsid w:val="00B85693"/>
    <w:rsid w:val="00B901C5"/>
    <w:rsid w:val="00B92F0A"/>
    <w:rsid w:val="00B9370C"/>
    <w:rsid w:val="00B9446E"/>
    <w:rsid w:val="00B94F80"/>
    <w:rsid w:val="00B95F76"/>
    <w:rsid w:val="00B96246"/>
    <w:rsid w:val="00B970A4"/>
    <w:rsid w:val="00B976EA"/>
    <w:rsid w:val="00B97811"/>
    <w:rsid w:val="00BA0095"/>
    <w:rsid w:val="00BA24BA"/>
    <w:rsid w:val="00BA52B0"/>
    <w:rsid w:val="00BA627C"/>
    <w:rsid w:val="00BA6ACF"/>
    <w:rsid w:val="00BB1808"/>
    <w:rsid w:val="00BB4D57"/>
    <w:rsid w:val="00BB7909"/>
    <w:rsid w:val="00BB7F90"/>
    <w:rsid w:val="00BC0EB2"/>
    <w:rsid w:val="00BC37F6"/>
    <w:rsid w:val="00BC5957"/>
    <w:rsid w:val="00BC7930"/>
    <w:rsid w:val="00BC7FAD"/>
    <w:rsid w:val="00BD19D5"/>
    <w:rsid w:val="00BD2871"/>
    <w:rsid w:val="00BD46E1"/>
    <w:rsid w:val="00BD5FE3"/>
    <w:rsid w:val="00BD70DD"/>
    <w:rsid w:val="00BE1AD3"/>
    <w:rsid w:val="00BE4783"/>
    <w:rsid w:val="00BE5AC9"/>
    <w:rsid w:val="00BE67B8"/>
    <w:rsid w:val="00BF01C6"/>
    <w:rsid w:val="00BF02C9"/>
    <w:rsid w:val="00BF28E9"/>
    <w:rsid w:val="00BF7461"/>
    <w:rsid w:val="00C01D0D"/>
    <w:rsid w:val="00C05107"/>
    <w:rsid w:val="00C05577"/>
    <w:rsid w:val="00C065C7"/>
    <w:rsid w:val="00C076C8"/>
    <w:rsid w:val="00C07E81"/>
    <w:rsid w:val="00C10DE5"/>
    <w:rsid w:val="00C110CA"/>
    <w:rsid w:val="00C117B3"/>
    <w:rsid w:val="00C11A92"/>
    <w:rsid w:val="00C120EB"/>
    <w:rsid w:val="00C126AC"/>
    <w:rsid w:val="00C12BD1"/>
    <w:rsid w:val="00C154DA"/>
    <w:rsid w:val="00C20C4A"/>
    <w:rsid w:val="00C23C89"/>
    <w:rsid w:val="00C24EA2"/>
    <w:rsid w:val="00C25B31"/>
    <w:rsid w:val="00C261EF"/>
    <w:rsid w:val="00C27060"/>
    <w:rsid w:val="00C300B9"/>
    <w:rsid w:val="00C305A2"/>
    <w:rsid w:val="00C307E5"/>
    <w:rsid w:val="00C30FDE"/>
    <w:rsid w:val="00C34A2B"/>
    <w:rsid w:val="00C3518B"/>
    <w:rsid w:val="00C355D5"/>
    <w:rsid w:val="00C35EF8"/>
    <w:rsid w:val="00C41499"/>
    <w:rsid w:val="00C4305B"/>
    <w:rsid w:val="00C441D8"/>
    <w:rsid w:val="00C447B6"/>
    <w:rsid w:val="00C44E57"/>
    <w:rsid w:val="00C457F3"/>
    <w:rsid w:val="00C458AE"/>
    <w:rsid w:val="00C507B7"/>
    <w:rsid w:val="00C53A45"/>
    <w:rsid w:val="00C5461C"/>
    <w:rsid w:val="00C549F3"/>
    <w:rsid w:val="00C57C9F"/>
    <w:rsid w:val="00C60749"/>
    <w:rsid w:val="00C6193B"/>
    <w:rsid w:val="00C61AE4"/>
    <w:rsid w:val="00C63343"/>
    <w:rsid w:val="00C641CB"/>
    <w:rsid w:val="00C67373"/>
    <w:rsid w:val="00C71B53"/>
    <w:rsid w:val="00C71C22"/>
    <w:rsid w:val="00C71D8D"/>
    <w:rsid w:val="00C7325B"/>
    <w:rsid w:val="00C7590B"/>
    <w:rsid w:val="00C75DBA"/>
    <w:rsid w:val="00C76B27"/>
    <w:rsid w:val="00C77CBA"/>
    <w:rsid w:val="00C80897"/>
    <w:rsid w:val="00C8114F"/>
    <w:rsid w:val="00C831D9"/>
    <w:rsid w:val="00C84781"/>
    <w:rsid w:val="00C85153"/>
    <w:rsid w:val="00C876CF"/>
    <w:rsid w:val="00C92B83"/>
    <w:rsid w:val="00C92E2B"/>
    <w:rsid w:val="00C93DBF"/>
    <w:rsid w:val="00C94199"/>
    <w:rsid w:val="00C9442E"/>
    <w:rsid w:val="00C9510A"/>
    <w:rsid w:val="00C9548D"/>
    <w:rsid w:val="00C95D4A"/>
    <w:rsid w:val="00C95D81"/>
    <w:rsid w:val="00C96EA4"/>
    <w:rsid w:val="00CA102C"/>
    <w:rsid w:val="00CA12B6"/>
    <w:rsid w:val="00CA13BE"/>
    <w:rsid w:val="00CA2492"/>
    <w:rsid w:val="00CA3ACA"/>
    <w:rsid w:val="00CA52AB"/>
    <w:rsid w:val="00CA5FFD"/>
    <w:rsid w:val="00CA72C5"/>
    <w:rsid w:val="00CB0E12"/>
    <w:rsid w:val="00CB1F54"/>
    <w:rsid w:val="00CB3753"/>
    <w:rsid w:val="00CB420D"/>
    <w:rsid w:val="00CB5B9E"/>
    <w:rsid w:val="00CB6E35"/>
    <w:rsid w:val="00CC224B"/>
    <w:rsid w:val="00CC5588"/>
    <w:rsid w:val="00CC7A9C"/>
    <w:rsid w:val="00CD1D9B"/>
    <w:rsid w:val="00CD2121"/>
    <w:rsid w:val="00CD2472"/>
    <w:rsid w:val="00CD2EC7"/>
    <w:rsid w:val="00CD4A4E"/>
    <w:rsid w:val="00CD584E"/>
    <w:rsid w:val="00CD59DF"/>
    <w:rsid w:val="00CD5BAA"/>
    <w:rsid w:val="00CD5BAF"/>
    <w:rsid w:val="00CD7B74"/>
    <w:rsid w:val="00CD7F42"/>
    <w:rsid w:val="00CE1C21"/>
    <w:rsid w:val="00CE2EB9"/>
    <w:rsid w:val="00CE36BF"/>
    <w:rsid w:val="00CE3992"/>
    <w:rsid w:val="00CE6324"/>
    <w:rsid w:val="00CE6E28"/>
    <w:rsid w:val="00CE6EB9"/>
    <w:rsid w:val="00CE6F34"/>
    <w:rsid w:val="00CE70F7"/>
    <w:rsid w:val="00CF04F7"/>
    <w:rsid w:val="00CF2080"/>
    <w:rsid w:val="00CF2F11"/>
    <w:rsid w:val="00CF4350"/>
    <w:rsid w:val="00CF4495"/>
    <w:rsid w:val="00CF4C8A"/>
    <w:rsid w:val="00CF64D0"/>
    <w:rsid w:val="00D00245"/>
    <w:rsid w:val="00D0054F"/>
    <w:rsid w:val="00D03193"/>
    <w:rsid w:val="00D115C7"/>
    <w:rsid w:val="00D119B4"/>
    <w:rsid w:val="00D11BCA"/>
    <w:rsid w:val="00D1339F"/>
    <w:rsid w:val="00D13E4F"/>
    <w:rsid w:val="00D148B6"/>
    <w:rsid w:val="00D1555A"/>
    <w:rsid w:val="00D17370"/>
    <w:rsid w:val="00D20840"/>
    <w:rsid w:val="00D21BCA"/>
    <w:rsid w:val="00D23C4C"/>
    <w:rsid w:val="00D23DE8"/>
    <w:rsid w:val="00D27ED3"/>
    <w:rsid w:val="00D32BC4"/>
    <w:rsid w:val="00D34A59"/>
    <w:rsid w:val="00D37519"/>
    <w:rsid w:val="00D3761A"/>
    <w:rsid w:val="00D41719"/>
    <w:rsid w:val="00D44236"/>
    <w:rsid w:val="00D44366"/>
    <w:rsid w:val="00D4566E"/>
    <w:rsid w:val="00D45AB0"/>
    <w:rsid w:val="00D45F0F"/>
    <w:rsid w:val="00D4715D"/>
    <w:rsid w:val="00D47651"/>
    <w:rsid w:val="00D50D1B"/>
    <w:rsid w:val="00D512EA"/>
    <w:rsid w:val="00D54D53"/>
    <w:rsid w:val="00D5750B"/>
    <w:rsid w:val="00D60210"/>
    <w:rsid w:val="00D61B3C"/>
    <w:rsid w:val="00D621C0"/>
    <w:rsid w:val="00D6429C"/>
    <w:rsid w:val="00D6437C"/>
    <w:rsid w:val="00D71212"/>
    <w:rsid w:val="00D7189C"/>
    <w:rsid w:val="00D71B58"/>
    <w:rsid w:val="00D72C46"/>
    <w:rsid w:val="00D763C9"/>
    <w:rsid w:val="00D76762"/>
    <w:rsid w:val="00D80248"/>
    <w:rsid w:val="00D80BA8"/>
    <w:rsid w:val="00D810CC"/>
    <w:rsid w:val="00D81D4A"/>
    <w:rsid w:val="00D83E70"/>
    <w:rsid w:val="00D8413D"/>
    <w:rsid w:val="00D84CC1"/>
    <w:rsid w:val="00D94B9F"/>
    <w:rsid w:val="00DA07C3"/>
    <w:rsid w:val="00DA4F15"/>
    <w:rsid w:val="00DA6BE4"/>
    <w:rsid w:val="00DA73DD"/>
    <w:rsid w:val="00DA7812"/>
    <w:rsid w:val="00DA7BA4"/>
    <w:rsid w:val="00DB0629"/>
    <w:rsid w:val="00DB0C1C"/>
    <w:rsid w:val="00DB1621"/>
    <w:rsid w:val="00DB1817"/>
    <w:rsid w:val="00DB2023"/>
    <w:rsid w:val="00DB3BBF"/>
    <w:rsid w:val="00DC02A3"/>
    <w:rsid w:val="00DC1B95"/>
    <w:rsid w:val="00DC251C"/>
    <w:rsid w:val="00DC44D4"/>
    <w:rsid w:val="00DC50CC"/>
    <w:rsid w:val="00DC542E"/>
    <w:rsid w:val="00DC557C"/>
    <w:rsid w:val="00DC58DE"/>
    <w:rsid w:val="00DC6624"/>
    <w:rsid w:val="00DC709A"/>
    <w:rsid w:val="00DC732A"/>
    <w:rsid w:val="00DD42B2"/>
    <w:rsid w:val="00DD6B56"/>
    <w:rsid w:val="00DD6DF3"/>
    <w:rsid w:val="00DE1B6C"/>
    <w:rsid w:val="00DE1E48"/>
    <w:rsid w:val="00DE44BC"/>
    <w:rsid w:val="00DE5696"/>
    <w:rsid w:val="00DE62B9"/>
    <w:rsid w:val="00DE6E4A"/>
    <w:rsid w:val="00DE7BD9"/>
    <w:rsid w:val="00DF2C3E"/>
    <w:rsid w:val="00DF64A8"/>
    <w:rsid w:val="00DF6992"/>
    <w:rsid w:val="00E01078"/>
    <w:rsid w:val="00E01B3D"/>
    <w:rsid w:val="00E0205B"/>
    <w:rsid w:val="00E03E9E"/>
    <w:rsid w:val="00E044F4"/>
    <w:rsid w:val="00E04D6E"/>
    <w:rsid w:val="00E1158C"/>
    <w:rsid w:val="00E12F68"/>
    <w:rsid w:val="00E16453"/>
    <w:rsid w:val="00E164C3"/>
    <w:rsid w:val="00E16EF4"/>
    <w:rsid w:val="00E17D88"/>
    <w:rsid w:val="00E22E92"/>
    <w:rsid w:val="00E24D44"/>
    <w:rsid w:val="00E30BCC"/>
    <w:rsid w:val="00E31C37"/>
    <w:rsid w:val="00E32306"/>
    <w:rsid w:val="00E35F87"/>
    <w:rsid w:val="00E361C2"/>
    <w:rsid w:val="00E43FFC"/>
    <w:rsid w:val="00E44072"/>
    <w:rsid w:val="00E446D0"/>
    <w:rsid w:val="00E45E7B"/>
    <w:rsid w:val="00E500BF"/>
    <w:rsid w:val="00E50CA3"/>
    <w:rsid w:val="00E52054"/>
    <w:rsid w:val="00E535DD"/>
    <w:rsid w:val="00E552A9"/>
    <w:rsid w:val="00E56987"/>
    <w:rsid w:val="00E56B4E"/>
    <w:rsid w:val="00E57941"/>
    <w:rsid w:val="00E618C9"/>
    <w:rsid w:val="00E62B26"/>
    <w:rsid w:val="00E633B5"/>
    <w:rsid w:val="00E63753"/>
    <w:rsid w:val="00E667C1"/>
    <w:rsid w:val="00E66D64"/>
    <w:rsid w:val="00E66F8A"/>
    <w:rsid w:val="00E677C5"/>
    <w:rsid w:val="00E70924"/>
    <w:rsid w:val="00E70F10"/>
    <w:rsid w:val="00E71C62"/>
    <w:rsid w:val="00E74234"/>
    <w:rsid w:val="00E74596"/>
    <w:rsid w:val="00E759DD"/>
    <w:rsid w:val="00E770EA"/>
    <w:rsid w:val="00E77901"/>
    <w:rsid w:val="00E827EE"/>
    <w:rsid w:val="00E85230"/>
    <w:rsid w:val="00E85358"/>
    <w:rsid w:val="00E974D9"/>
    <w:rsid w:val="00EA1B2A"/>
    <w:rsid w:val="00EA6525"/>
    <w:rsid w:val="00EA6FF8"/>
    <w:rsid w:val="00EB0BC9"/>
    <w:rsid w:val="00EB2092"/>
    <w:rsid w:val="00EB6A8F"/>
    <w:rsid w:val="00EB6E39"/>
    <w:rsid w:val="00EC0867"/>
    <w:rsid w:val="00EC15F2"/>
    <w:rsid w:val="00EC28FE"/>
    <w:rsid w:val="00EC617E"/>
    <w:rsid w:val="00EC7BC6"/>
    <w:rsid w:val="00ED056B"/>
    <w:rsid w:val="00ED0C2D"/>
    <w:rsid w:val="00ED13DA"/>
    <w:rsid w:val="00ED3F0F"/>
    <w:rsid w:val="00ED4E22"/>
    <w:rsid w:val="00ED75EC"/>
    <w:rsid w:val="00ED76A8"/>
    <w:rsid w:val="00ED7863"/>
    <w:rsid w:val="00ED7C8E"/>
    <w:rsid w:val="00EE035F"/>
    <w:rsid w:val="00EE0F79"/>
    <w:rsid w:val="00EE17EC"/>
    <w:rsid w:val="00EE2CB4"/>
    <w:rsid w:val="00EE449B"/>
    <w:rsid w:val="00EE6C8E"/>
    <w:rsid w:val="00EE7980"/>
    <w:rsid w:val="00EF0BAE"/>
    <w:rsid w:val="00EF15BD"/>
    <w:rsid w:val="00EF24F3"/>
    <w:rsid w:val="00EF5B36"/>
    <w:rsid w:val="00EF5CA5"/>
    <w:rsid w:val="00EF6309"/>
    <w:rsid w:val="00EF6AF1"/>
    <w:rsid w:val="00EF6CFF"/>
    <w:rsid w:val="00F015D4"/>
    <w:rsid w:val="00F02969"/>
    <w:rsid w:val="00F02971"/>
    <w:rsid w:val="00F05206"/>
    <w:rsid w:val="00F053C5"/>
    <w:rsid w:val="00F05DF8"/>
    <w:rsid w:val="00F069AA"/>
    <w:rsid w:val="00F10C57"/>
    <w:rsid w:val="00F11107"/>
    <w:rsid w:val="00F216C1"/>
    <w:rsid w:val="00F21C8A"/>
    <w:rsid w:val="00F22A50"/>
    <w:rsid w:val="00F24313"/>
    <w:rsid w:val="00F25EC7"/>
    <w:rsid w:val="00F27C9D"/>
    <w:rsid w:val="00F30375"/>
    <w:rsid w:val="00F31AA7"/>
    <w:rsid w:val="00F31F42"/>
    <w:rsid w:val="00F344D6"/>
    <w:rsid w:val="00F347FD"/>
    <w:rsid w:val="00F34BFB"/>
    <w:rsid w:val="00F35231"/>
    <w:rsid w:val="00F35783"/>
    <w:rsid w:val="00F36070"/>
    <w:rsid w:val="00F37411"/>
    <w:rsid w:val="00F403BB"/>
    <w:rsid w:val="00F421D8"/>
    <w:rsid w:val="00F4241F"/>
    <w:rsid w:val="00F43FDD"/>
    <w:rsid w:val="00F44A0C"/>
    <w:rsid w:val="00F44DE3"/>
    <w:rsid w:val="00F45D16"/>
    <w:rsid w:val="00F521A6"/>
    <w:rsid w:val="00F52C4B"/>
    <w:rsid w:val="00F5327D"/>
    <w:rsid w:val="00F53AB3"/>
    <w:rsid w:val="00F54EB7"/>
    <w:rsid w:val="00F61C37"/>
    <w:rsid w:val="00F6513C"/>
    <w:rsid w:val="00F700C3"/>
    <w:rsid w:val="00F703E2"/>
    <w:rsid w:val="00F703E5"/>
    <w:rsid w:val="00F70D83"/>
    <w:rsid w:val="00F712C0"/>
    <w:rsid w:val="00F74EF4"/>
    <w:rsid w:val="00F760E9"/>
    <w:rsid w:val="00F77B9B"/>
    <w:rsid w:val="00F809A8"/>
    <w:rsid w:val="00F81B8A"/>
    <w:rsid w:val="00F8241B"/>
    <w:rsid w:val="00F86C05"/>
    <w:rsid w:val="00F86D4E"/>
    <w:rsid w:val="00F87C5A"/>
    <w:rsid w:val="00F9057A"/>
    <w:rsid w:val="00F96566"/>
    <w:rsid w:val="00FA25A6"/>
    <w:rsid w:val="00FA3358"/>
    <w:rsid w:val="00FA3BC3"/>
    <w:rsid w:val="00FA45FB"/>
    <w:rsid w:val="00FA59AD"/>
    <w:rsid w:val="00FB3942"/>
    <w:rsid w:val="00FB46D7"/>
    <w:rsid w:val="00FB55DA"/>
    <w:rsid w:val="00FB5B8B"/>
    <w:rsid w:val="00FB5E43"/>
    <w:rsid w:val="00FC0C4F"/>
    <w:rsid w:val="00FC1F85"/>
    <w:rsid w:val="00FC1FF4"/>
    <w:rsid w:val="00FC61E6"/>
    <w:rsid w:val="00FC74DA"/>
    <w:rsid w:val="00FC7DC0"/>
    <w:rsid w:val="00FD0087"/>
    <w:rsid w:val="00FD159E"/>
    <w:rsid w:val="00FD39A3"/>
    <w:rsid w:val="00FD45A0"/>
    <w:rsid w:val="00FD4EAA"/>
    <w:rsid w:val="00FD5547"/>
    <w:rsid w:val="00FD6995"/>
    <w:rsid w:val="00FD6C7C"/>
    <w:rsid w:val="00FD7774"/>
    <w:rsid w:val="00FE1B2D"/>
    <w:rsid w:val="00FE4415"/>
    <w:rsid w:val="00FE5F9A"/>
    <w:rsid w:val="00FE6874"/>
    <w:rsid w:val="00FF00EE"/>
    <w:rsid w:val="00FF02CF"/>
    <w:rsid w:val="00FF2E8F"/>
    <w:rsid w:val="00FF520B"/>
    <w:rsid w:val="00FF62EB"/>
    <w:rsid w:val="01204DDE"/>
    <w:rsid w:val="01284C10"/>
    <w:rsid w:val="01294A4D"/>
    <w:rsid w:val="012A6BDB"/>
    <w:rsid w:val="013B2B96"/>
    <w:rsid w:val="014739D0"/>
    <w:rsid w:val="014E601C"/>
    <w:rsid w:val="015C2B0C"/>
    <w:rsid w:val="015F3216"/>
    <w:rsid w:val="01703E3E"/>
    <w:rsid w:val="01973B44"/>
    <w:rsid w:val="019E36D8"/>
    <w:rsid w:val="01A24BA4"/>
    <w:rsid w:val="01BF37C7"/>
    <w:rsid w:val="01E21263"/>
    <w:rsid w:val="020276A5"/>
    <w:rsid w:val="024912E2"/>
    <w:rsid w:val="025F5EC6"/>
    <w:rsid w:val="02624152"/>
    <w:rsid w:val="027C6E5D"/>
    <w:rsid w:val="02977557"/>
    <w:rsid w:val="02A93C3F"/>
    <w:rsid w:val="02DC5645"/>
    <w:rsid w:val="02E371DF"/>
    <w:rsid w:val="02EA04F8"/>
    <w:rsid w:val="02F254D6"/>
    <w:rsid w:val="02F71DC8"/>
    <w:rsid w:val="031A099F"/>
    <w:rsid w:val="03467CEA"/>
    <w:rsid w:val="03541CED"/>
    <w:rsid w:val="035E700F"/>
    <w:rsid w:val="036A3FA2"/>
    <w:rsid w:val="036F6B27"/>
    <w:rsid w:val="0370464D"/>
    <w:rsid w:val="037800D1"/>
    <w:rsid w:val="037E6D6A"/>
    <w:rsid w:val="03C277A9"/>
    <w:rsid w:val="03CB7B24"/>
    <w:rsid w:val="03D42E2E"/>
    <w:rsid w:val="03D85208"/>
    <w:rsid w:val="03E11322"/>
    <w:rsid w:val="0438160E"/>
    <w:rsid w:val="04461F7D"/>
    <w:rsid w:val="04673CA2"/>
    <w:rsid w:val="048C54B6"/>
    <w:rsid w:val="04AC7AEB"/>
    <w:rsid w:val="04E7417B"/>
    <w:rsid w:val="053A034A"/>
    <w:rsid w:val="053F172A"/>
    <w:rsid w:val="05567A73"/>
    <w:rsid w:val="0560635F"/>
    <w:rsid w:val="056C0C7C"/>
    <w:rsid w:val="05D1531A"/>
    <w:rsid w:val="05EF03F3"/>
    <w:rsid w:val="060F45F1"/>
    <w:rsid w:val="0616772D"/>
    <w:rsid w:val="0633633C"/>
    <w:rsid w:val="06393E8A"/>
    <w:rsid w:val="06774549"/>
    <w:rsid w:val="06841253"/>
    <w:rsid w:val="06912FB3"/>
    <w:rsid w:val="06935222"/>
    <w:rsid w:val="06B04920"/>
    <w:rsid w:val="06B11A65"/>
    <w:rsid w:val="06C70B0A"/>
    <w:rsid w:val="06D50788"/>
    <w:rsid w:val="06E15F8D"/>
    <w:rsid w:val="07181283"/>
    <w:rsid w:val="072639A0"/>
    <w:rsid w:val="0726BE79"/>
    <w:rsid w:val="07366C2C"/>
    <w:rsid w:val="075F8070"/>
    <w:rsid w:val="07683FB9"/>
    <w:rsid w:val="0779159C"/>
    <w:rsid w:val="07886409"/>
    <w:rsid w:val="07A6733B"/>
    <w:rsid w:val="07C37441"/>
    <w:rsid w:val="07CD3F2B"/>
    <w:rsid w:val="07D433FC"/>
    <w:rsid w:val="07D77390"/>
    <w:rsid w:val="07DC32DA"/>
    <w:rsid w:val="07DE7496"/>
    <w:rsid w:val="0809095F"/>
    <w:rsid w:val="08622709"/>
    <w:rsid w:val="08670714"/>
    <w:rsid w:val="086D3161"/>
    <w:rsid w:val="086E3851"/>
    <w:rsid w:val="08B1198F"/>
    <w:rsid w:val="08D00067"/>
    <w:rsid w:val="08D00E36"/>
    <w:rsid w:val="09421FE2"/>
    <w:rsid w:val="097D1872"/>
    <w:rsid w:val="09836C07"/>
    <w:rsid w:val="09863E26"/>
    <w:rsid w:val="098A087C"/>
    <w:rsid w:val="09A3577C"/>
    <w:rsid w:val="09DC2A3C"/>
    <w:rsid w:val="09DC47EA"/>
    <w:rsid w:val="09E87633"/>
    <w:rsid w:val="09EA33AB"/>
    <w:rsid w:val="09FF6B52"/>
    <w:rsid w:val="0A072FAC"/>
    <w:rsid w:val="0A432ABB"/>
    <w:rsid w:val="0A726EFC"/>
    <w:rsid w:val="0ABD3CED"/>
    <w:rsid w:val="0AF23ADF"/>
    <w:rsid w:val="0AFD74C0"/>
    <w:rsid w:val="0B194C63"/>
    <w:rsid w:val="0B1E12CB"/>
    <w:rsid w:val="0B350656"/>
    <w:rsid w:val="0B3F0BA6"/>
    <w:rsid w:val="0B4E1717"/>
    <w:rsid w:val="0B8848F6"/>
    <w:rsid w:val="0BAB0918"/>
    <w:rsid w:val="0BCD4D32"/>
    <w:rsid w:val="0BDA11FD"/>
    <w:rsid w:val="0BE856C8"/>
    <w:rsid w:val="0BE96298"/>
    <w:rsid w:val="0BF85CAB"/>
    <w:rsid w:val="0C0F534B"/>
    <w:rsid w:val="0C14587B"/>
    <w:rsid w:val="0C1F4F3B"/>
    <w:rsid w:val="0C525323"/>
    <w:rsid w:val="0C727C14"/>
    <w:rsid w:val="0C9903CC"/>
    <w:rsid w:val="0CB93D2E"/>
    <w:rsid w:val="0CBB2DDD"/>
    <w:rsid w:val="0CBC679F"/>
    <w:rsid w:val="0CBD0903"/>
    <w:rsid w:val="0CBE7BA1"/>
    <w:rsid w:val="0CC35DFA"/>
    <w:rsid w:val="0CD345CA"/>
    <w:rsid w:val="0D2941EA"/>
    <w:rsid w:val="0D363B35"/>
    <w:rsid w:val="0D7C796F"/>
    <w:rsid w:val="0DA741CA"/>
    <w:rsid w:val="0E010A88"/>
    <w:rsid w:val="0E083E00"/>
    <w:rsid w:val="0E0A2786"/>
    <w:rsid w:val="0E26072A"/>
    <w:rsid w:val="0E381CD7"/>
    <w:rsid w:val="0E59465B"/>
    <w:rsid w:val="0E750421"/>
    <w:rsid w:val="0E9B1118"/>
    <w:rsid w:val="0EBE6BB4"/>
    <w:rsid w:val="0EC00B7E"/>
    <w:rsid w:val="0EC57F43"/>
    <w:rsid w:val="0EE30F11"/>
    <w:rsid w:val="0F336312"/>
    <w:rsid w:val="0F491B33"/>
    <w:rsid w:val="0FB57FB7"/>
    <w:rsid w:val="0FBF2BE4"/>
    <w:rsid w:val="0FC14B4F"/>
    <w:rsid w:val="0FD65811"/>
    <w:rsid w:val="0FE8213B"/>
    <w:rsid w:val="10023959"/>
    <w:rsid w:val="100C157A"/>
    <w:rsid w:val="100D77A5"/>
    <w:rsid w:val="102D5D9F"/>
    <w:rsid w:val="10314536"/>
    <w:rsid w:val="1042358C"/>
    <w:rsid w:val="10685029"/>
    <w:rsid w:val="106E316D"/>
    <w:rsid w:val="1089457B"/>
    <w:rsid w:val="10BB33AB"/>
    <w:rsid w:val="10E30B54"/>
    <w:rsid w:val="111E4FAD"/>
    <w:rsid w:val="11270A41"/>
    <w:rsid w:val="112C6057"/>
    <w:rsid w:val="112D1B12"/>
    <w:rsid w:val="113B0990"/>
    <w:rsid w:val="114C66F9"/>
    <w:rsid w:val="116930F3"/>
    <w:rsid w:val="11991213"/>
    <w:rsid w:val="11B04A92"/>
    <w:rsid w:val="11C3311B"/>
    <w:rsid w:val="11DC1C65"/>
    <w:rsid w:val="11E76422"/>
    <w:rsid w:val="11EE77B0"/>
    <w:rsid w:val="12035914"/>
    <w:rsid w:val="121A6C9D"/>
    <w:rsid w:val="126C1C6E"/>
    <w:rsid w:val="126E1732"/>
    <w:rsid w:val="128F7F0E"/>
    <w:rsid w:val="12B207DE"/>
    <w:rsid w:val="12B431CC"/>
    <w:rsid w:val="12C022CF"/>
    <w:rsid w:val="12CA3D79"/>
    <w:rsid w:val="12CF1390"/>
    <w:rsid w:val="12D15108"/>
    <w:rsid w:val="12EA61CA"/>
    <w:rsid w:val="12F64B6E"/>
    <w:rsid w:val="12FC43AF"/>
    <w:rsid w:val="13086650"/>
    <w:rsid w:val="130B23A5"/>
    <w:rsid w:val="13113756"/>
    <w:rsid w:val="133C362E"/>
    <w:rsid w:val="13421B62"/>
    <w:rsid w:val="134C478E"/>
    <w:rsid w:val="134D0507"/>
    <w:rsid w:val="136B5FEC"/>
    <w:rsid w:val="136C6BDF"/>
    <w:rsid w:val="13C133CE"/>
    <w:rsid w:val="13EE3A98"/>
    <w:rsid w:val="141352AC"/>
    <w:rsid w:val="142C63E8"/>
    <w:rsid w:val="14353D74"/>
    <w:rsid w:val="14357918"/>
    <w:rsid w:val="144E4536"/>
    <w:rsid w:val="147A357D"/>
    <w:rsid w:val="147C5547"/>
    <w:rsid w:val="14A462E2"/>
    <w:rsid w:val="14AF1DCA"/>
    <w:rsid w:val="14D05782"/>
    <w:rsid w:val="14DE58BA"/>
    <w:rsid w:val="14ED3D4F"/>
    <w:rsid w:val="14FB718F"/>
    <w:rsid w:val="15055541"/>
    <w:rsid w:val="153E4452"/>
    <w:rsid w:val="153E45AB"/>
    <w:rsid w:val="153F1441"/>
    <w:rsid w:val="154047C7"/>
    <w:rsid w:val="15543DCE"/>
    <w:rsid w:val="15652D4F"/>
    <w:rsid w:val="158521DA"/>
    <w:rsid w:val="158A77F0"/>
    <w:rsid w:val="15956850"/>
    <w:rsid w:val="15B91E83"/>
    <w:rsid w:val="15DD4E6B"/>
    <w:rsid w:val="15DE18EA"/>
    <w:rsid w:val="161C0D90"/>
    <w:rsid w:val="161D68B6"/>
    <w:rsid w:val="16211FE5"/>
    <w:rsid w:val="16353C00"/>
    <w:rsid w:val="16372FA0"/>
    <w:rsid w:val="164817EB"/>
    <w:rsid w:val="165E3747"/>
    <w:rsid w:val="16646837"/>
    <w:rsid w:val="1671254A"/>
    <w:rsid w:val="16A448E1"/>
    <w:rsid w:val="16A90383"/>
    <w:rsid w:val="16B03286"/>
    <w:rsid w:val="16C60CFC"/>
    <w:rsid w:val="16D01B7A"/>
    <w:rsid w:val="16D13F57"/>
    <w:rsid w:val="16ED0036"/>
    <w:rsid w:val="16EFF147"/>
    <w:rsid w:val="16F97684"/>
    <w:rsid w:val="17027685"/>
    <w:rsid w:val="170A0BE8"/>
    <w:rsid w:val="171358B2"/>
    <w:rsid w:val="172A3039"/>
    <w:rsid w:val="1737C7D5"/>
    <w:rsid w:val="1738296C"/>
    <w:rsid w:val="173A28BD"/>
    <w:rsid w:val="178728A2"/>
    <w:rsid w:val="17BF16C4"/>
    <w:rsid w:val="17CF0342"/>
    <w:rsid w:val="17CF712A"/>
    <w:rsid w:val="17F79E34"/>
    <w:rsid w:val="17F84EE5"/>
    <w:rsid w:val="18431B8C"/>
    <w:rsid w:val="18493992"/>
    <w:rsid w:val="184F0345"/>
    <w:rsid w:val="187D708D"/>
    <w:rsid w:val="18865174"/>
    <w:rsid w:val="18954E2A"/>
    <w:rsid w:val="190D5699"/>
    <w:rsid w:val="19130C48"/>
    <w:rsid w:val="191A0E8B"/>
    <w:rsid w:val="193006AE"/>
    <w:rsid w:val="195629BC"/>
    <w:rsid w:val="19636CD6"/>
    <w:rsid w:val="19670574"/>
    <w:rsid w:val="197F4333"/>
    <w:rsid w:val="198F71A5"/>
    <w:rsid w:val="199B021E"/>
    <w:rsid w:val="19AE0317"/>
    <w:rsid w:val="19FE52DB"/>
    <w:rsid w:val="1A147FD0"/>
    <w:rsid w:val="1A2D7758"/>
    <w:rsid w:val="1A57022F"/>
    <w:rsid w:val="1A573478"/>
    <w:rsid w:val="1A77099B"/>
    <w:rsid w:val="1A7A1EEF"/>
    <w:rsid w:val="1A7D3DC7"/>
    <w:rsid w:val="1A9D6217"/>
    <w:rsid w:val="1AA43102"/>
    <w:rsid w:val="1AB1581F"/>
    <w:rsid w:val="1AB64BE3"/>
    <w:rsid w:val="1ADD120E"/>
    <w:rsid w:val="1AF57E02"/>
    <w:rsid w:val="1B1E4C00"/>
    <w:rsid w:val="1B2B2873"/>
    <w:rsid w:val="1B516DED"/>
    <w:rsid w:val="1B6A3621"/>
    <w:rsid w:val="1B844FBA"/>
    <w:rsid w:val="1B920007"/>
    <w:rsid w:val="1BAD5FE6"/>
    <w:rsid w:val="1BAF4184"/>
    <w:rsid w:val="1BB10EE6"/>
    <w:rsid w:val="1BCC2910"/>
    <w:rsid w:val="1BE25AAF"/>
    <w:rsid w:val="1BEB558D"/>
    <w:rsid w:val="1BEC1885"/>
    <w:rsid w:val="1C054534"/>
    <w:rsid w:val="1C19367C"/>
    <w:rsid w:val="1C335E1C"/>
    <w:rsid w:val="1C5D7A0C"/>
    <w:rsid w:val="1C65088F"/>
    <w:rsid w:val="1C740B3A"/>
    <w:rsid w:val="1CA05B4B"/>
    <w:rsid w:val="1CA46958"/>
    <w:rsid w:val="1CB042C3"/>
    <w:rsid w:val="1CB338D9"/>
    <w:rsid w:val="1CD93A37"/>
    <w:rsid w:val="1CDDB6BA"/>
    <w:rsid w:val="1CE343B6"/>
    <w:rsid w:val="1CE819CC"/>
    <w:rsid w:val="1D133D97"/>
    <w:rsid w:val="1D295B40"/>
    <w:rsid w:val="1D3C187A"/>
    <w:rsid w:val="1D485A34"/>
    <w:rsid w:val="1D497F91"/>
    <w:rsid w:val="1D4B2FF3"/>
    <w:rsid w:val="1D576FBE"/>
    <w:rsid w:val="1D5D739B"/>
    <w:rsid w:val="1D990046"/>
    <w:rsid w:val="1DAF2211"/>
    <w:rsid w:val="1DB669A3"/>
    <w:rsid w:val="1DC55230"/>
    <w:rsid w:val="1DD97567"/>
    <w:rsid w:val="1DEC729A"/>
    <w:rsid w:val="1E0C793C"/>
    <w:rsid w:val="1E114F52"/>
    <w:rsid w:val="1E1660C5"/>
    <w:rsid w:val="1E175E07"/>
    <w:rsid w:val="1E206F43"/>
    <w:rsid w:val="1E3E7C4F"/>
    <w:rsid w:val="1E4A0464"/>
    <w:rsid w:val="1E6127D8"/>
    <w:rsid w:val="1E62755C"/>
    <w:rsid w:val="1E6667B3"/>
    <w:rsid w:val="1E6D0F09"/>
    <w:rsid w:val="1E94348E"/>
    <w:rsid w:val="1EC65D3D"/>
    <w:rsid w:val="1EDC730E"/>
    <w:rsid w:val="1EDF0BAD"/>
    <w:rsid w:val="1EE265B2"/>
    <w:rsid w:val="1F0364A2"/>
    <w:rsid w:val="1F117DB7"/>
    <w:rsid w:val="1F1D73D7"/>
    <w:rsid w:val="1F2D7B6A"/>
    <w:rsid w:val="1F4906DF"/>
    <w:rsid w:val="1FA616CA"/>
    <w:rsid w:val="1FED554B"/>
    <w:rsid w:val="1FF521BC"/>
    <w:rsid w:val="1FFF612F"/>
    <w:rsid w:val="2003566D"/>
    <w:rsid w:val="200F3EAF"/>
    <w:rsid w:val="20360CA0"/>
    <w:rsid w:val="20362A4E"/>
    <w:rsid w:val="20713A86"/>
    <w:rsid w:val="207215AC"/>
    <w:rsid w:val="207C34F0"/>
    <w:rsid w:val="208F27B9"/>
    <w:rsid w:val="209D0D1F"/>
    <w:rsid w:val="20A7210F"/>
    <w:rsid w:val="20BE2A44"/>
    <w:rsid w:val="20C31E08"/>
    <w:rsid w:val="20CE712B"/>
    <w:rsid w:val="212136FE"/>
    <w:rsid w:val="21325DD9"/>
    <w:rsid w:val="215F4227"/>
    <w:rsid w:val="218C6B36"/>
    <w:rsid w:val="219C2D85"/>
    <w:rsid w:val="21CF0523"/>
    <w:rsid w:val="21F069A6"/>
    <w:rsid w:val="21F42BC1"/>
    <w:rsid w:val="220D3C83"/>
    <w:rsid w:val="22280ABD"/>
    <w:rsid w:val="22342FBD"/>
    <w:rsid w:val="22432A81"/>
    <w:rsid w:val="225F7D00"/>
    <w:rsid w:val="22682C67"/>
    <w:rsid w:val="22853819"/>
    <w:rsid w:val="22A62294"/>
    <w:rsid w:val="22AD0DF7"/>
    <w:rsid w:val="22B418B2"/>
    <w:rsid w:val="22BA5BB9"/>
    <w:rsid w:val="22CF2D73"/>
    <w:rsid w:val="22D569A0"/>
    <w:rsid w:val="22F51201"/>
    <w:rsid w:val="2305495A"/>
    <w:rsid w:val="2322226E"/>
    <w:rsid w:val="23272B22"/>
    <w:rsid w:val="23305E7B"/>
    <w:rsid w:val="2358717F"/>
    <w:rsid w:val="2392443F"/>
    <w:rsid w:val="23931F66"/>
    <w:rsid w:val="23B02C72"/>
    <w:rsid w:val="23CE11F0"/>
    <w:rsid w:val="23DA1943"/>
    <w:rsid w:val="23E34C9B"/>
    <w:rsid w:val="23EFE33F"/>
    <w:rsid w:val="2406098A"/>
    <w:rsid w:val="240D028F"/>
    <w:rsid w:val="241B1419"/>
    <w:rsid w:val="242157C3"/>
    <w:rsid w:val="24274E2D"/>
    <w:rsid w:val="243335E7"/>
    <w:rsid w:val="243E6375"/>
    <w:rsid w:val="2443573A"/>
    <w:rsid w:val="245B5F30"/>
    <w:rsid w:val="247A437A"/>
    <w:rsid w:val="247F4D0E"/>
    <w:rsid w:val="24D25BA4"/>
    <w:rsid w:val="24FB641B"/>
    <w:rsid w:val="2516489A"/>
    <w:rsid w:val="255060C7"/>
    <w:rsid w:val="257004F6"/>
    <w:rsid w:val="257D45F7"/>
    <w:rsid w:val="257E1FC5"/>
    <w:rsid w:val="25A97A0F"/>
    <w:rsid w:val="25B032A3"/>
    <w:rsid w:val="25B32F07"/>
    <w:rsid w:val="25C147F1"/>
    <w:rsid w:val="25D80BF0"/>
    <w:rsid w:val="25ED0053"/>
    <w:rsid w:val="26022FD0"/>
    <w:rsid w:val="2613738E"/>
    <w:rsid w:val="26307F40"/>
    <w:rsid w:val="26541E80"/>
    <w:rsid w:val="26747E2C"/>
    <w:rsid w:val="2685203A"/>
    <w:rsid w:val="268838D8"/>
    <w:rsid w:val="26926505"/>
    <w:rsid w:val="26B20955"/>
    <w:rsid w:val="26B446CD"/>
    <w:rsid w:val="26BB3660"/>
    <w:rsid w:val="26BD577A"/>
    <w:rsid w:val="27054A01"/>
    <w:rsid w:val="271635D9"/>
    <w:rsid w:val="27421CD9"/>
    <w:rsid w:val="27547DE4"/>
    <w:rsid w:val="27783F93"/>
    <w:rsid w:val="27785E55"/>
    <w:rsid w:val="279B99C0"/>
    <w:rsid w:val="27AA1532"/>
    <w:rsid w:val="27AA2FCD"/>
    <w:rsid w:val="27B01329"/>
    <w:rsid w:val="27C33A1B"/>
    <w:rsid w:val="27EF84E8"/>
    <w:rsid w:val="27FA1A3A"/>
    <w:rsid w:val="28207448"/>
    <w:rsid w:val="28212236"/>
    <w:rsid w:val="282332D7"/>
    <w:rsid w:val="28291F31"/>
    <w:rsid w:val="286F58AB"/>
    <w:rsid w:val="287D5205"/>
    <w:rsid w:val="288822B5"/>
    <w:rsid w:val="28C159CF"/>
    <w:rsid w:val="2916341D"/>
    <w:rsid w:val="293C0F6C"/>
    <w:rsid w:val="2943145A"/>
    <w:rsid w:val="296A3769"/>
    <w:rsid w:val="297E0FC2"/>
    <w:rsid w:val="297F0C88"/>
    <w:rsid w:val="298A3E0B"/>
    <w:rsid w:val="299D3D9D"/>
    <w:rsid w:val="29BD1AEA"/>
    <w:rsid w:val="29C92F02"/>
    <w:rsid w:val="29FC6AB7"/>
    <w:rsid w:val="2A257690"/>
    <w:rsid w:val="2A475197"/>
    <w:rsid w:val="2A482496"/>
    <w:rsid w:val="2A685EFA"/>
    <w:rsid w:val="2A73489F"/>
    <w:rsid w:val="2A77438F"/>
    <w:rsid w:val="2A77664F"/>
    <w:rsid w:val="2A7F771F"/>
    <w:rsid w:val="2A834AE2"/>
    <w:rsid w:val="2AA27A8B"/>
    <w:rsid w:val="2AA80CEA"/>
    <w:rsid w:val="2AB27175"/>
    <w:rsid w:val="2AD8174C"/>
    <w:rsid w:val="2AFD7346"/>
    <w:rsid w:val="2B2C58A6"/>
    <w:rsid w:val="2B345DDC"/>
    <w:rsid w:val="2B6366C1"/>
    <w:rsid w:val="2B6D12EE"/>
    <w:rsid w:val="2B75467E"/>
    <w:rsid w:val="2B840B33"/>
    <w:rsid w:val="2B852ADC"/>
    <w:rsid w:val="2B8925CC"/>
    <w:rsid w:val="2B964CE9"/>
    <w:rsid w:val="2B9D6077"/>
    <w:rsid w:val="2BDF5A94"/>
    <w:rsid w:val="2BF0173C"/>
    <w:rsid w:val="2C4617FF"/>
    <w:rsid w:val="2C4B7881"/>
    <w:rsid w:val="2C5028B1"/>
    <w:rsid w:val="2C533DCE"/>
    <w:rsid w:val="2C792640"/>
    <w:rsid w:val="2C7C1263"/>
    <w:rsid w:val="2CB03B88"/>
    <w:rsid w:val="2CBF3DCB"/>
    <w:rsid w:val="2CBF5B79"/>
    <w:rsid w:val="2CD755B9"/>
    <w:rsid w:val="2D1E4F96"/>
    <w:rsid w:val="2D2377D7"/>
    <w:rsid w:val="2D262C17"/>
    <w:rsid w:val="2D3D6F98"/>
    <w:rsid w:val="2D4700EB"/>
    <w:rsid w:val="2D4903E1"/>
    <w:rsid w:val="2D6327A4"/>
    <w:rsid w:val="2D8A6187"/>
    <w:rsid w:val="2D8E5826"/>
    <w:rsid w:val="2D9FD01F"/>
    <w:rsid w:val="2DB51B78"/>
    <w:rsid w:val="2DC26EA4"/>
    <w:rsid w:val="2DDD7853"/>
    <w:rsid w:val="2DDDA978"/>
    <w:rsid w:val="2DDE5BBE"/>
    <w:rsid w:val="2DFFA381"/>
    <w:rsid w:val="2DFFF809"/>
    <w:rsid w:val="2E334A71"/>
    <w:rsid w:val="2E4C168F"/>
    <w:rsid w:val="2E570E9E"/>
    <w:rsid w:val="2E5B7B24"/>
    <w:rsid w:val="2E7330BF"/>
    <w:rsid w:val="2EB45BB2"/>
    <w:rsid w:val="2EDC3642"/>
    <w:rsid w:val="2EFB324A"/>
    <w:rsid w:val="2F0D0E1E"/>
    <w:rsid w:val="2F2A1C0E"/>
    <w:rsid w:val="2F4607D4"/>
    <w:rsid w:val="2F462582"/>
    <w:rsid w:val="2F55258A"/>
    <w:rsid w:val="2F67197A"/>
    <w:rsid w:val="2F7A1690"/>
    <w:rsid w:val="2FBB6ACC"/>
    <w:rsid w:val="2FD04F64"/>
    <w:rsid w:val="2FD7BB50"/>
    <w:rsid w:val="2FE73D65"/>
    <w:rsid w:val="2FEE9034"/>
    <w:rsid w:val="2FF34BE9"/>
    <w:rsid w:val="2FF710DE"/>
    <w:rsid w:val="2FF7183B"/>
    <w:rsid w:val="2FFBF122"/>
    <w:rsid w:val="2FFD70E5"/>
    <w:rsid w:val="2FFF45A6"/>
    <w:rsid w:val="2FFF9074"/>
    <w:rsid w:val="30032221"/>
    <w:rsid w:val="30204B81"/>
    <w:rsid w:val="30251C29"/>
    <w:rsid w:val="30374FA9"/>
    <w:rsid w:val="307912EE"/>
    <w:rsid w:val="30894E1C"/>
    <w:rsid w:val="30A13BAD"/>
    <w:rsid w:val="30A2149C"/>
    <w:rsid w:val="30A27C8C"/>
    <w:rsid w:val="30AE33DF"/>
    <w:rsid w:val="30AF3B38"/>
    <w:rsid w:val="30C102C0"/>
    <w:rsid w:val="30E87E7C"/>
    <w:rsid w:val="30F77FD8"/>
    <w:rsid w:val="30FC3917"/>
    <w:rsid w:val="31476AE1"/>
    <w:rsid w:val="314C331F"/>
    <w:rsid w:val="315C7E3B"/>
    <w:rsid w:val="316C2978"/>
    <w:rsid w:val="31813D45"/>
    <w:rsid w:val="318B0720"/>
    <w:rsid w:val="31B07584"/>
    <w:rsid w:val="31B25250"/>
    <w:rsid w:val="31BA3D48"/>
    <w:rsid w:val="31CC3212"/>
    <w:rsid w:val="31F14A27"/>
    <w:rsid w:val="31F57030"/>
    <w:rsid w:val="321517D4"/>
    <w:rsid w:val="32171FB4"/>
    <w:rsid w:val="32193F7E"/>
    <w:rsid w:val="32230959"/>
    <w:rsid w:val="32816E64"/>
    <w:rsid w:val="32827D75"/>
    <w:rsid w:val="32865672"/>
    <w:rsid w:val="329B2BE5"/>
    <w:rsid w:val="32A54D0E"/>
    <w:rsid w:val="32C0264B"/>
    <w:rsid w:val="32F31EA5"/>
    <w:rsid w:val="32F33FA1"/>
    <w:rsid w:val="32F6758C"/>
    <w:rsid w:val="32FF910E"/>
    <w:rsid w:val="332D1AD6"/>
    <w:rsid w:val="33304608"/>
    <w:rsid w:val="339C09C3"/>
    <w:rsid w:val="33A66BE1"/>
    <w:rsid w:val="33B74D26"/>
    <w:rsid w:val="33C87AB6"/>
    <w:rsid w:val="33F151B2"/>
    <w:rsid w:val="3411315F"/>
    <w:rsid w:val="3418005A"/>
    <w:rsid w:val="342509B8"/>
    <w:rsid w:val="343B642D"/>
    <w:rsid w:val="344D740B"/>
    <w:rsid w:val="345E3ECA"/>
    <w:rsid w:val="34735BC7"/>
    <w:rsid w:val="3498281C"/>
    <w:rsid w:val="34AE30A3"/>
    <w:rsid w:val="34B04DD1"/>
    <w:rsid w:val="34FCF8EF"/>
    <w:rsid w:val="35074561"/>
    <w:rsid w:val="35243365"/>
    <w:rsid w:val="35274742"/>
    <w:rsid w:val="352B64A2"/>
    <w:rsid w:val="35675000"/>
    <w:rsid w:val="35A61FCC"/>
    <w:rsid w:val="35AD6C71"/>
    <w:rsid w:val="35BE7316"/>
    <w:rsid w:val="35C82398"/>
    <w:rsid w:val="35DED0D2"/>
    <w:rsid w:val="35FFF2D0"/>
    <w:rsid w:val="36467CF1"/>
    <w:rsid w:val="36527A5E"/>
    <w:rsid w:val="365A1A0A"/>
    <w:rsid w:val="366652B8"/>
    <w:rsid w:val="369167D9"/>
    <w:rsid w:val="36962041"/>
    <w:rsid w:val="369D517D"/>
    <w:rsid w:val="36B417E2"/>
    <w:rsid w:val="36C2542F"/>
    <w:rsid w:val="36C57AAF"/>
    <w:rsid w:val="36C941C4"/>
    <w:rsid w:val="36D30B9F"/>
    <w:rsid w:val="36FE9C6F"/>
    <w:rsid w:val="37052D23"/>
    <w:rsid w:val="373D45EC"/>
    <w:rsid w:val="375C6DE7"/>
    <w:rsid w:val="376C68FE"/>
    <w:rsid w:val="378B147A"/>
    <w:rsid w:val="379B454A"/>
    <w:rsid w:val="37AA04A0"/>
    <w:rsid w:val="37AF0238"/>
    <w:rsid w:val="37C596B2"/>
    <w:rsid w:val="37CB59EA"/>
    <w:rsid w:val="37CF580A"/>
    <w:rsid w:val="37E25F26"/>
    <w:rsid w:val="37EA0216"/>
    <w:rsid w:val="37ED6EF3"/>
    <w:rsid w:val="37ED7B2A"/>
    <w:rsid w:val="37F74EF0"/>
    <w:rsid w:val="38044D88"/>
    <w:rsid w:val="382015C2"/>
    <w:rsid w:val="38233460"/>
    <w:rsid w:val="38495F7B"/>
    <w:rsid w:val="38573B7D"/>
    <w:rsid w:val="38602906"/>
    <w:rsid w:val="386046B4"/>
    <w:rsid w:val="38635438"/>
    <w:rsid w:val="388018A3"/>
    <w:rsid w:val="38AF39AE"/>
    <w:rsid w:val="38C50FBB"/>
    <w:rsid w:val="38C70290"/>
    <w:rsid w:val="38C913F3"/>
    <w:rsid w:val="38D26C34"/>
    <w:rsid w:val="38E7498D"/>
    <w:rsid w:val="390E4110"/>
    <w:rsid w:val="39186D3D"/>
    <w:rsid w:val="392970CF"/>
    <w:rsid w:val="39385E3A"/>
    <w:rsid w:val="39757883"/>
    <w:rsid w:val="39846181"/>
    <w:rsid w:val="398C4F64"/>
    <w:rsid w:val="399901D9"/>
    <w:rsid w:val="39E62997"/>
    <w:rsid w:val="39F552D0"/>
    <w:rsid w:val="39F9E8E8"/>
    <w:rsid w:val="39FB684B"/>
    <w:rsid w:val="3A10534A"/>
    <w:rsid w:val="3A1166B8"/>
    <w:rsid w:val="3A1204A1"/>
    <w:rsid w:val="3A1C0AAF"/>
    <w:rsid w:val="3A3B7187"/>
    <w:rsid w:val="3A571AE7"/>
    <w:rsid w:val="3A5916F4"/>
    <w:rsid w:val="3A8DE0C0"/>
    <w:rsid w:val="3A9053C9"/>
    <w:rsid w:val="3AA54213"/>
    <w:rsid w:val="3AA765CB"/>
    <w:rsid w:val="3AAA2F89"/>
    <w:rsid w:val="3AB24D15"/>
    <w:rsid w:val="3ACA16A9"/>
    <w:rsid w:val="3AD128FF"/>
    <w:rsid w:val="3B09489B"/>
    <w:rsid w:val="3B223EA3"/>
    <w:rsid w:val="3B296796"/>
    <w:rsid w:val="3B2F105B"/>
    <w:rsid w:val="3B3B13CB"/>
    <w:rsid w:val="3B5878C5"/>
    <w:rsid w:val="3B59A4D8"/>
    <w:rsid w:val="3B5B203A"/>
    <w:rsid w:val="3B7B67BE"/>
    <w:rsid w:val="3B7BDB5D"/>
    <w:rsid w:val="3B8D73C7"/>
    <w:rsid w:val="3BB05953"/>
    <w:rsid w:val="3BB35928"/>
    <w:rsid w:val="3BB7D666"/>
    <w:rsid w:val="3BE13D5E"/>
    <w:rsid w:val="3BF33BCB"/>
    <w:rsid w:val="3BF41249"/>
    <w:rsid w:val="3BFF2B1C"/>
    <w:rsid w:val="3C0161AE"/>
    <w:rsid w:val="3C6A5B02"/>
    <w:rsid w:val="3C766FC1"/>
    <w:rsid w:val="3C7C226D"/>
    <w:rsid w:val="3C812E4B"/>
    <w:rsid w:val="3CA60B04"/>
    <w:rsid w:val="3CCA5381"/>
    <w:rsid w:val="3CD47F2D"/>
    <w:rsid w:val="3CEC7EDA"/>
    <w:rsid w:val="3CEF6007"/>
    <w:rsid w:val="3D111C38"/>
    <w:rsid w:val="3D1D3D48"/>
    <w:rsid w:val="3D383BA1"/>
    <w:rsid w:val="3D70033E"/>
    <w:rsid w:val="3D711112"/>
    <w:rsid w:val="3D723631"/>
    <w:rsid w:val="3D7C3BC4"/>
    <w:rsid w:val="3D8C5F4C"/>
    <w:rsid w:val="3DB856E0"/>
    <w:rsid w:val="3DBA50E8"/>
    <w:rsid w:val="3DBB238D"/>
    <w:rsid w:val="3DC72AE0"/>
    <w:rsid w:val="3DCE3E6E"/>
    <w:rsid w:val="3DCF3969"/>
    <w:rsid w:val="3DE23E13"/>
    <w:rsid w:val="3DEE2762"/>
    <w:rsid w:val="3DFB69E7"/>
    <w:rsid w:val="3E0835E3"/>
    <w:rsid w:val="3E157CEF"/>
    <w:rsid w:val="3E2F6B34"/>
    <w:rsid w:val="3E361CCC"/>
    <w:rsid w:val="3E492A12"/>
    <w:rsid w:val="3E524A9F"/>
    <w:rsid w:val="3E6A7022"/>
    <w:rsid w:val="3E6E11AD"/>
    <w:rsid w:val="3E7C38CA"/>
    <w:rsid w:val="3E815545"/>
    <w:rsid w:val="3E921340"/>
    <w:rsid w:val="3EBFF34C"/>
    <w:rsid w:val="3EED60CF"/>
    <w:rsid w:val="3EF30148"/>
    <w:rsid w:val="3F0A35CC"/>
    <w:rsid w:val="3F1723C0"/>
    <w:rsid w:val="3F185CE9"/>
    <w:rsid w:val="3F3D5750"/>
    <w:rsid w:val="3F3DB6EC"/>
    <w:rsid w:val="3F5B5BD6"/>
    <w:rsid w:val="3F7298F9"/>
    <w:rsid w:val="3F7D0C0F"/>
    <w:rsid w:val="3F80563C"/>
    <w:rsid w:val="3F941105"/>
    <w:rsid w:val="3F9E9071"/>
    <w:rsid w:val="3FAD119F"/>
    <w:rsid w:val="3FB47D1B"/>
    <w:rsid w:val="3FB72331"/>
    <w:rsid w:val="3FBD4E3A"/>
    <w:rsid w:val="3FD7375F"/>
    <w:rsid w:val="3FE060D4"/>
    <w:rsid w:val="3FE55752"/>
    <w:rsid w:val="3FEBE876"/>
    <w:rsid w:val="3FEC0F24"/>
    <w:rsid w:val="3FEDE281"/>
    <w:rsid w:val="3FEF0D83"/>
    <w:rsid w:val="3FF34AF4"/>
    <w:rsid w:val="3FF77325"/>
    <w:rsid w:val="3FF84822"/>
    <w:rsid w:val="3FFF26FC"/>
    <w:rsid w:val="3FFFF3E9"/>
    <w:rsid w:val="4002629A"/>
    <w:rsid w:val="4009350F"/>
    <w:rsid w:val="40240CC5"/>
    <w:rsid w:val="40337FEC"/>
    <w:rsid w:val="405A6ADA"/>
    <w:rsid w:val="40692DFC"/>
    <w:rsid w:val="406D5354"/>
    <w:rsid w:val="408E5B37"/>
    <w:rsid w:val="40FA4F7A"/>
    <w:rsid w:val="40FB39B5"/>
    <w:rsid w:val="4100141A"/>
    <w:rsid w:val="41036F1B"/>
    <w:rsid w:val="411E335F"/>
    <w:rsid w:val="41452699"/>
    <w:rsid w:val="418A09F4"/>
    <w:rsid w:val="41964AAA"/>
    <w:rsid w:val="41A73354"/>
    <w:rsid w:val="41AD23C9"/>
    <w:rsid w:val="41BF32E0"/>
    <w:rsid w:val="41C07F72"/>
    <w:rsid w:val="41E01492"/>
    <w:rsid w:val="41E44725"/>
    <w:rsid w:val="41EA3241"/>
    <w:rsid w:val="420C5FDB"/>
    <w:rsid w:val="422624CB"/>
    <w:rsid w:val="424B0183"/>
    <w:rsid w:val="425000A9"/>
    <w:rsid w:val="4262109B"/>
    <w:rsid w:val="427A45C5"/>
    <w:rsid w:val="42AE426E"/>
    <w:rsid w:val="42B31885"/>
    <w:rsid w:val="42BF647C"/>
    <w:rsid w:val="430F2F5F"/>
    <w:rsid w:val="4314053C"/>
    <w:rsid w:val="434A043B"/>
    <w:rsid w:val="4368266F"/>
    <w:rsid w:val="43B92387"/>
    <w:rsid w:val="43BA3278"/>
    <w:rsid w:val="43D1290A"/>
    <w:rsid w:val="43E2179E"/>
    <w:rsid w:val="43E37D38"/>
    <w:rsid w:val="43EC45A6"/>
    <w:rsid w:val="440A1176"/>
    <w:rsid w:val="442A0160"/>
    <w:rsid w:val="4436276D"/>
    <w:rsid w:val="44446C38"/>
    <w:rsid w:val="446472DA"/>
    <w:rsid w:val="44653F6F"/>
    <w:rsid w:val="4486254F"/>
    <w:rsid w:val="449A13BF"/>
    <w:rsid w:val="44A62E83"/>
    <w:rsid w:val="44B2225B"/>
    <w:rsid w:val="44B30262"/>
    <w:rsid w:val="44B72A72"/>
    <w:rsid w:val="44BA339E"/>
    <w:rsid w:val="44BE2E8F"/>
    <w:rsid w:val="44E61693"/>
    <w:rsid w:val="450A2EFA"/>
    <w:rsid w:val="450E5003"/>
    <w:rsid w:val="451237CA"/>
    <w:rsid w:val="4513321C"/>
    <w:rsid w:val="4520618F"/>
    <w:rsid w:val="45232CF2"/>
    <w:rsid w:val="45297D20"/>
    <w:rsid w:val="452D3B70"/>
    <w:rsid w:val="45603F46"/>
    <w:rsid w:val="45795008"/>
    <w:rsid w:val="45B63B66"/>
    <w:rsid w:val="45E10A75"/>
    <w:rsid w:val="46001285"/>
    <w:rsid w:val="46223CFB"/>
    <w:rsid w:val="462A6302"/>
    <w:rsid w:val="46317690"/>
    <w:rsid w:val="46470C62"/>
    <w:rsid w:val="466749F0"/>
    <w:rsid w:val="469A6FE4"/>
    <w:rsid w:val="46C90673"/>
    <w:rsid w:val="46E82445"/>
    <w:rsid w:val="46E841F3"/>
    <w:rsid w:val="46E97F6B"/>
    <w:rsid w:val="46F012F9"/>
    <w:rsid w:val="4710374A"/>
    <w:rsid w:val="47176886"/>
    <w:rsid w:val="473236C0"/>
    <w:rsid w:val="47332F94"/>
    <w:rsid w:val="47617B01"/>
    <w:rsid w:val="47881532"/>
    <w:rsid w:val="478919A4"/>
    <w:rsid w:val="47B1185E"/>
    <w:rsid w:val="47B443DE"/>
    <w:rsid w:val="47D14F4F"/>
    <w:rsid w:val="47D8255D"/>
    <w:rsid w:val="47DFF400"/>
    <w:rsid w:val="47FD5B1C"/>
    <w:rsid w:val="4810323D"/>
    <w:rsid w:val="482608A7"/>
    <w:rsid w:val="482A25E9"/>
    <w:rsid w:val="4856227F"/>
    <w:rsid w:val="486C457E"/>
    <w:rsid w:val="48852A43"/>
    <w:rsid w:val="48A42A24"/>
    <w:rsid w:val="48B97C8E"/>
    <w:rsid w:val="48BB1A0F"/>
    <w:rsid w:val="48CB58D4"/>
    <w:rsid w:val="48D2569E"/>
    <w:rsid w:val="48D433A5"/>
    <w:rsid w:val="48E06258"/>
    <w:rsid w:val="48EC789E"/>
    <w:rsid w:val="48FA645F"/>
    <w:rsid w:val="491F510F"/>
    <w:rsid w:val="492266A5"/>
    <w:rsid w:val="493C08C2"/>
    <w:rsid w:val="494E2BF8"/>
    <w:rsid w:val="495A5D13"/>
    <w:rsid w:val="495D254A"/>
    <w:rsid w:val="497441CE"/>
    <w:rsid w:val="497F1F8B"/>
    <w:rsid w:val="49810C7C"/>
    <w:rsid w:val="49825A3D"/>
    <w:rsid w:val="49BC54C3"/>
    <w:rsid w:val="49DD4572"/>
    <w:rsid w:val="49FD0011"/>
    <w:rsid w:val="49FE5295"/>
    <w:rsid w:val="4A105988"/>
    <w:rsid w:val="4A282B58"/>
    <w:rsid w:val="4A2B27B1"/>
    <w:rsid w:val="4A365004"/>
    <w:rsid w:val="4AB148E4"/>
    <w:rsid w:val="4AB64608"/>
    <w:rsid w:val="4ABA40F8"/>
    <w:rsid w:val="4ABD7744"/>
    <w:rsid w:val="4ACE3700"/>
    <w:rsid w:val="4AD22062"/>
    <w:rsid w:val="4AE81775"/>
    <w:rsid w:val="4AF920F1"/>
    <w:rsid w:val="4B007631"/>
    <w:rsid w:val="4B313C8F"/>
    <w:rsid w:val="4B38458A"/>
    <w:rsid w:val="4B3F63AB"/>
    <w:rsid w:val="4B552ABD"/>
    <w:rsid w:val="4B63653E"/>
    <w:rsid w:val="4B997AEE"/>
    <w:rsid w:val="4B9D30D2"/>
    <w:rsid w:val="4BDE36E7"/>
    <w:rsid w:val="4BDEE9AB"/>
    <w:rsid w:val="4BE36B2F"/>
    <w:rsid w:val="4BEB14D4"/>
    <w:rsid w:val="4C080E93"/>
    <w:rsid w:val="4C1804EB"/>
    <w:rsid w:val="4C2C0774"/>
    <w:rsid w:val="4C3F4D4F"/>
    <w:rsid w:val="4C856E49"/>
    <w:rsid w:val="4C871DB8"/>
    <w:rsid w:val="4C985108"/>
    <w:rsid w:val="4CA86CE8"/>
    <w:rsid w:val="4CCC3C6F"/>
    <w:rsid w:val="4D333CEE"/>
    <w:rsid w:val="4D6C0E74"/>
    <w:rsid w:val="4D825C2E"/>
    <w:rsid w:val="4D998672"/>
    <w:rsid w:val="4D9C5A4F"/>
    <w:rsid w:val="4DBB7BDF"/>
    <w:rsid w:val="4DDC2E5E"/>
    <w:rsid w:val="4DDF3E76"/>
    <w:rsid w:val="4E1A157D"/>
    <w:rsid w:val="4E5008D0"/>
    <w:rsid w:val="4E546612"/>
    <w:rsid w:val="4E5A52AA"/>
    <w:rsid w:val="4E6B74B7"/>
    <w:rsid w:val="4E6C395B"/>
    <w:rsid w:val="4E74636C"/>
    <w:rsid w:val="4E775E5C"/>
    <w:rsid w:val="4EBE7F2F"/>
    <w:rsid w:val="4EC329CB"/>
    <w:rsid w:val="4ECB590F"/>
    <w:rsid w:val="4F1B267B"/>
    <w:rsid w:val="4F2C30EB"/>
    <w:rsid w:val="4F3124AF"/>
    <w:rsid w:val="4F3B1580"/>
    <w:rsid w:val="4F547DE2"/>
    <w:rsid w:val="4F7D74A2"/>
    <w:rsid w:val="4F7E3A10"/>
    <w:rsid w:val="4F8B7932"/>
    <w:rsid w:val="4FA47125"/>
    <w:rsid w:val="4FB34490"/>
    <w:rsid w:val="4FDFE52B"/>
    <w:rsid w:val="4FED4628"/>
    <w:rsid w:val="4FFF9B47"/>
    <w:rsid w:val="4FFFEE20"/>
    <w:rsid w:val="502142D2"/>
    <w:rsid w:val="50261757"/>
    <w:rsid w:val="50654E52"/>
    <w:rsid w:val="50760AC1"/>
    <w:rsid w:val="507F724A"/>
    <w:rsid w:val="508807F5"/>
    <w:rsid w:val="50931725"/>
    <w:rsid w:val="50AD0E23"/>
    <w:rsid w:val="510936E3"/>
    <w:rsid w:val="510C4F82"/>
    <w:rsid w:val="51226553"/>
    <w:rsid w:val="515406D7"/>
    <w:rsid w:val="515661FD"/>
    <w:rsid w:val="51597A9B"/>
    <w:rsid w:val="51600E2A"/>
    <w:rsid w:val="516D2658"/>
    <w:rsid w:val="51890380"/>
    <w:rsid w:val="5194426B"/>
    <w:rsid w:val="51AC698D"/>
    <w:rsid w:val="51CC6B89"/>
    <w:rsid w:val="51D2462F"/>
    <w:rsid w:val="51D90F09"/>
    <w:rsid w:val="51F24178"/>
    <w:rsid w:val="51FA56B3"/>
    <w:rsid w:val="52163CF5"/>
    <w:rsid w:val="522B1438"/>
    <w:rsid w:val="52343CA2"/>
    <w:rsid w:val="523C3645"/>
    <w:rsid w:val="525E0E06"/>
    <w:rsid w:val="528C34AD"/>
    <w:rsid w:val="528F7C18"/>
    <w:rsid w:val="52B633F7"/>
    <w:rsid w:val="52CC345F"/>
    <w:rsid w:val="52D34595"/>
    <w:rsid w:val="52D974CF"/>
    <w:rsid w:val="52DC6535"/>
    <w:rsid w:val="52DD4E28"/>
    <w:rsid w:val="533501AE"/>
    <w:rsid w:val="53531CCD"/>
    <w:rsid w:val="536B63D8"/>
    <w:rsid w:val="53915C12"/>
    <w:rsid w:val="53A2396F"/>
    <w:rsid w:val="53B06098"/>
    <w:rsid w:val="53B449A8"/>
    <w:rsid w:val="53BF13AF"/>
    <w:rsid w:val="53C05D33"/>
    <w:rsid w:val="53D26A38"/>
    <w:rsid w:val="53F00B8B"/>
    <w:rsid w:val="53F33DDB"/>
    <w:rsid w:val="54232D0E"/>
    <w:rsid w:val="544A0306"/>
    <w:rsid w:val="54563CF7"/>
    <w:rsid w:val="54790B80"/>
    <w:rsid w:val="5486504B"/>
    <w:rsid w:val="548F7652"/>
    <w:rsid w:val="54CF254E"/>
    <w:rsid w:val="54E57FC4"/>
    <w:rsid w:val="550F0EC0"/>
    <w:rsid w:val="55124B31"/>
    <w:rsid w:val="5541454D"/>
    <w:rsid w:val="555943FC"/>
    <w:rsid w:val="556EFA57"/>
    <w:rsid w:val="55BE6655"/>
    <w:rsid w:val="55DFB796"/>
    <w:rsid w:val="55F52488"/>
    <w:rsid w:val="55F67FAE"/>
    <w:rsid w:val="55FA7A9F"/>
    <w:rsid w:val="55FFDAE1"/>
    <w:rsid w:val="562C577E"/>
    <w:rsid w:val="56486A5C"/>
    <w:rsid w:val="564F0F25"/>
    <w:rsid w:val="56671DE2"/>
    <w:rsid w:val="568F200D"/>
    <w:rsid w:val="56980572"/>
    <w:rsid w:val="56C836F9"/>
    <w:rsid w:val="56C86354"/>
    <w:rsid w:val="56E47B24"/>
    <w:rsid w:val="570E351A"/>
    <w:rsid w:val="57174680"/>
    <w:rsid w:val="571F4A05"/>
    <w:rsid w:val="57234DD3"/>
    <w:rsid w:val="573750AB"/>
    <w:rsid w:val="574527AA"/>
    <w:rsid w:val="5749022C"/>
    <w:rsid w:val="574C3BF8"/>
    <w:rsid w:val="574D4B86"/>
    <w:rsid w:val="57961B9C"/>
    <w:rsid w:val="57B03821"/>
    <w:rsid w:val="57BA4BEC"/>
    <w:rsid w:val="57BE5D7F"/>
    <w:rsid w:val="57D123FA"/>
    <w:rsid w:val="57DE4D9B"/>
    <w:rsid w:val="57EFF4BD"/>
    <w:rsid w:val="57F869FB"/>
    <w:rsid w:val="580469B3"/>
    <w:rsid w:val="582726A1"/>
    <w:rsid w:val="58386135"/>
    <w:rsid w:val="583B01B3"/>
    <w:rsid w:val="5846744C"/>
    <w:rsid w:val="58607961"/>
    <w:rsid w:val="58646BE7"/>
    <w:rsid w:val="58690F0C"/>
    <w:rsid w:val="58974397"/>
    <w:rsid w:val="58BA1767"/>
    <w:rsid w:val="58BE1257"/>
    <w:rsid w:val="58C842EE"/>
    <w:rsid w:val="58CA5504"/>
    <w:rsid w:val="58D345D7"/>
    <w:rsid w:val="58F85DEC"/>
    <w:rsid w:val="58F97A7E"/>
    <w:rsid w:val="590F1AB3"/>
    <w:rsid w:val="5919023C"/>
    <w:rsid w:val="591E3AA4"/>
    <w:rsid w:val="59317E15"/>
    <w:rsid w:val="59405FA9"/>
    <w:rsid w:val="594726DC"/>
    <w:rsid w:val="594A2AEB"/>
    <w:rsid w:val="59552A84"/>
    <w:rsid w:val="597162CA"/>
    <w:rsid w:val="597638E0"/>
    <w:rsid w:val="59921ECA"/>
    <w:rsid w:val="59A73A9A"/>
    <w:rsid w:val="59B7146C"/>
    <w:rsid w:val="59F04046"/>
    <w:rsid w:val="5A04713E"/>
    <w:rsid w:val="5A1804F3"/>
    <w:rsid w:val="5A1B4488"/>
    <w:rsid w:val="5A2570B4"/>
    <w:rsid w:val="5A2B53F7"/>
    <w:rsid w:val="5A70032F"/>
    <w:rsid w:val="5A81078E"/>
    <w:rsid w:val="5A915C7D"/>
    <w:rsid w:val="5A9D30EE"/>
    <w:rsid w:val="5AA24261"/>
    <w:rsid w:val="5AA4720F"/>
    <w:rsid w:val="5AA94678"/>
    <w:rsid w:val="5ABE4297"/>
    <w:rsid w:val="5AC1002B"/>
    <w:rsid w:val="5ADE2869"/>
    <w:rsid w:val="5ADF5548"/>
    <w:rsid w:val="5AF904B7"/>
    <w:rsid w:val="5B04316E"/>
    <w:rsid w:val="5B0D1C23"/>
    <w:rsid w:val="5B116039"/>
    <w:rsid w:val="5B1C1224"/>
    <w:rsid w:val="5B3D1845"/>
    <w:rsid w:val="5B521B44"/>
    <w:rsid w:val="5B570024"/>
    <w:rsid w:val="5B6A62BC"/>
    <w:rsid w:val="5B6C33D3"/>
    <w:rsid w:val="5BA1276A"/>
    <w:rsid w:val="5BAD7361"/>
    <w:rsid w:val="5BAF23B3"/>
    <w:rsid w:val="5BCE7A03"/>
    <w:rsid w:val="5BDE679E"/>
    <w:rsid w:val="5BE251CA"/>
    <w:rsid w:val="5BF7728E"/>
    <w:rsid w:val="5BF7D060"/>
    <w:rsid w:val="5BFF2781"/>
    <w:rsid w:val="5BFF9ED3"/>
    <w:rsid w:val="5C007491"/>
    <w:rsid w:val="5C291CD9"/>
    <w:rsid w:val="5C2C4F2D"/>
    <w:rsid w:val="5C6C0FCA"/>
    <w:rsid w:val="5C7835C7"/>
    <w:rsid w:val="5C7BDD62"/>
    <w:rsid w:val="5C8005D2"/>
    <w:rsid w:val="5CA8355D"/>
    <w:rsid w:val="5CB72AAC"/>
    <w:rsid w:val="5CD8040E"/>
    <w:rsid w:val="5D056B6C"/>
    <w:rsid w:val="5D2673CB"/>
    <w:rsid w:val="5D2F40B3"/>
    <w:rsid w:val="5D3BFA03"/>
    <w:rsid w:val="5D445AA3"/>
    <w:rsid w:val="5D5C1EC5"/>
    <w:rsid w:val="5D616312"/>
    <w:rsid w:val="5D7C348F"/>
    <w:rsid w:val="5D7FD2B1"/>
    <w:rsid w:val="5D8E7EDD"/>
    <w:rsid w:val="5D97BD0A"/>
    <w:rsid w:val="5DB50C85"/>
    <w:rsid w:val="5DBF0330"/>
    <w:rsid w:val="5DC0337C"/>
    <w:rsid w:val="5DC60D98"/>
    <w:rsid w:val="5DCA6096"/>
    <w:rsid w:val="5DDA63BC"/>
    <w:rsid w:val="5DEF1EB3"/>
    <w:rsid w:val="5DF63241"/>
    <w:rsid w:val="5DFD4F8A"/>
    <w:rsid w:val="5DFF23DB"/>
    <w:rsid w:val="5E021BE6"/>
    <w:rsid w:val="5E096976"/>
    <w:rsid w:val="5E244A1E"/>
    <w:rsid w:val="5E2741F9"/>
    <w:rsid w:val="5E394EDC"/>
    <w:rsid w:val="5E4F2B5D"/>
    <w:rsid w:val="5E601B44"/>
    <w:rsid w:val="5E7DE460"/>
    <w:rsid w:val="5E91624E"/>
    <w:rsid w:val="5E99597B"/>
    <w:rsid w:val="5EA22A81"/>
    <w:rsid w:val="5EB13A9F"/>
    <w:rsid w:val="5EB804F7"/>
    <w:rsid w:val="5EC53CA5"/>
    <w:rsid w:val="5EE906B0"/>
    <w:rsid w:val="5EFC27E6"/>
    <w:rsid w:val="5EFFBD69"/>
    <w:rsid w:val="5F246325"/>
    <w:rsid w:val="5F457E2E"/>
    <w:rsid w:val="5F45B20B"/>
    <w:rsid w:val="5F473629"/>
    <w:rsid w:val="5F5521EA"/>
    <w:rsid w:val="5FA22D63"/>
    <w:rsid w:val="5FAB9266"/>
    <w:rsid w:val="5FAC2279"/>
    <w:rsid w:val="5FB213EA"/>
    <w:rsid w:val="5FBFFE19"/>
    <w:rsid w:val="5FC92290"/>
    <w:rsid w:val="5FD72D4A"/>
    <w:rsid w:val="5FD96977"/>
    <w:rsid w:val="5FE377F5"/>
    <w:rsid w:val="5FEC78CC"/>
    <w:rsid w:val="5FF422EB"/>
    <w:rsid w:val="5FF4555F"/>
    <w:rsid w:val="5FFD665B"/>
    <w:rsid w:val="5FFEEF2B"/>
    <w:rsid w:val="60006B4D"/>
    <w:rsid w:val="60163075"/>
    <w:rsid w:val="60282B57"/>
    <w:rsid w:val="603E2C7E"/>
    <w:rsid w:val="606326E4"/>
    <w:rsid w:val="60822B6A"/>
    <w:rsid w:val="60B13450"/>
    <w:rsid w:val="60C81BC8"/>
    <w:rsid w:val="60CC028A"/>
    <w:rsid w:val="60D31618"/>
    <w:rsid w:val="60D74F10"/>
    <w:rsid w:val="60E170B6"/>
    <w:rsid w:val="60EC092C"/>
    <w:rsid w:val="60F31CBA"/>
    <w:rsid w:val="60F733E5"/>
    <w:rsid w:val="6112389F"/>
    <w:rsid w:val="61246CAB"/>
    <w:rsid w:val="61385449"/>
    <w:rsid w:val="614044EB"/>
    <w:rsid w:val="614C5CF3"/>
    <w:rsid w:val="615D130E"/>
    <w:rsid w:val="615F10FE"/>
    <w:rsid w:val="616D55C9"/>
    <w:rsid w:val="61722BDF"/>
    <w:rsid w:val="61734BA9"/>
    <w:rsid w:val="61747C2C"/>
    <w:rsid w:val="61783F6D"/>
    <w:rsid w:val="61802FF5"/>
    <w:rsid w:val="619F14FA"/>
    <w:rsid w:val="61A60ADB"/>
    <w:rsid w:val="61B41449"/>
    <w:rsid w:val="61C12DAB"/>
    <w:rsid w:val="61CE3B8D"/>
    <w:rsid w:val="61D37D85"/>
    <w:rsid w:val="62223BC5"/>
    <w:rsid w:val="62376D64"/>
    <w:rsid w:val="62735EC4"/>
    <w:rsid w:val="62741185"/>
    <w:rsid w:val="628030DA"/>
    <w:rsid w:val="629B7F14"/>
    <w:rsid w:val="62A34776"/>
    <w:rsid w:val="62C92CD3"/>
    <w:rsid w:val="62D1245F"/>
    <w:rsid w:val="63393EE8"/>
    <w:rsid w:val="6339625B"/>
    <w:rsid w:val="634C51D8"/>
    <w:rsid w:val="63512CC8"/>
    <w:rsid w:val="63765509"/>
    <w:rsid w:val="63786595"/>
    <w:rsid w:val="638210D3"/>
    <w:rsid w:val="639C2195"/>
    <w:rsid w:val="63A31776"/>
    <w:rsid w:val="63A826E9"/>
    <w:rsid w:val="63A82847"/>
    <w:rsid w:val="63E15DFA"/>
    <w:rsid w:val="63F837E9"/>
    <w:rsid w:val="640D6BEF"/>
    <w:rsid w:val="64236413"/>
    <w:rsid w:val="64300B2F"/>
    <w:rsid w:val="6433087E"/>
    <w:rsid w:val="6448503B"/>
    <w:rsid w:val="64590086"/>
    <w:rsid w:val="647B624F"/>
    <w:rsid w:val="64947310"/>
    <w:rsid w:val="64D70743"/>
    <w:rsid w:val="65004F5B"/>
    <w:rsid w:val="650E0E71"/>
    <w:rsid w:val="652362C1"/>
    <w:rsid w:val="655CC3BB"/>
    <w:rsid w:val="656C3DE9"/>
    <w:rsid w:val="65827169"/>
    <w:rsid w:val="65BB33A3"/>
    <w:rsid w:val="65BEF57B"/>
    <w:rsid w:val="65DA0D53"/>
    <w:rsid w:val="65F20792"/>
    <w:rsid w:val="662408B4"/>
    <w:rsid w:val="66357968"/>
    <w:rsid w:val="664D59C9"/>
    <w:rsid w:val="665925BF"/>
    <w:rsid w:val="6665734A"/>
    <w:rsid w:val="6669468A"/>
    <w:rsid w:val="66985FB9"/>
    <w:rsid w:val="66BF312D"/>
    <w:rsid w:val="66D46B43"/>
    <w:rsid w:val="66DC6D4D"/>
    <w:rsid w:val="66E8749F"/>
    <w:rsid w:val="66FD119D"/>
    <w:rsid w:val="66FE36CC"/>
    <w:rsid w:val="6726DDAB"/>
    <w:rsid w:val="675E7762"/>
    <w:rsid w:val="67646A05"/>
    <w:rsid w:val="6764746E"/>
    <w:rsid w:val="676F196F"/>
    <w:rsid w:val="678216A2"/>
    <w:rsid w:val="67A53D32"/>
    <w:rsid w:val="67DD1E97"/>
    <w:rsid w:val="67FCB5D4"/>
    <w:rsid w:val="680B4763"/>
    <w:rsid w:val="68225670"/>
    <w:rsid w:val="683C1B91"/>
    <w:rsid w:val="68541290"/>
    <w:rsid w:val="68607A50"/>
    <w:rsid w:val="68644170"/>
    <w:rsid w:val="68866F70"/>
    <w:rsid w:val="688D184D"/>
    <w:rsid w:val="68AD0F6C"/>
    <w:rsid w:val="68D33706"/>
    <w:rsid w:val="68E0209D"/>
    <w:rsid w:val="69032E7F"/>
    <w:rsid w:val="690A5DF3"/>
    <w:rsid w:val="691073B0"/>
    <w:rsid w:val="692657CD"/>
    <w:rsid w:val="693115D2"/>
    <w:rsid w:val="693B7D5A"/>
    <w:rsid w:val="69531548"/>
    <w:rsid w:val="69586B5E"/>
    <w:rsid w:val="697800D3"/>
    <w:rsid w:val="698F64AD"/>
    <w:rsid w:val="69BC7560"/>
    <w:rsid w:val="69C515C4"/>
    <w:rsid w:val="69C51D1A"/>
    <w:rsid w:val="69CE5072"/>
    <w:rsid w:val="69D837FB"/>
    <w:rsid w:val="69ED3CE0"/>
    <w:rsid w:val="6A072332"/>
    <w:rsid w:val="6A1D56B2"/>
    <w:rsid w:val="6A2922A9"/>
    <w:rsid w:val="6A611A43"/>
    <w:rsid w:val="6A7445AB"/>
    <w:rsid w:val="6ACA3A8C"/>
    <w:rsid w:val="6ACB1211"/>
    <w:rsid w:val="6AF66D9D"/>
    <w:rsid w:val="6B23319C"/>
    <w:rsid w:val="6B276CF6"/>
    <w:rsid w:val="6B317667"/>
    <w:rsid w:val="6B3B2E68"/>
    <w:rsid w:val="6B47278C"/>
    <w:rsid w:val="6B682222"/>
    <w:rsid w:val="6B792713"/>
    <w:rsid w:val="6B8862B9"/>
    <w:rsid w:val="6BA51E03"/>
    <w:rsid w:val="6BA5407D"/>
    <w:rsid w:val="6BC23C5D"/>
    <w:rsid w:val="6BC26511"/>
    <w:rsid w:val="6BD44496"/>
    <w:rsid w:val="6BD5BCA5"/>
    <w:rsid w:val="6BE50451"/>
    <w:rsid w:val="6BFB461D"/>
    <w:rsid w:val="6BFC16D6"/>
    <w:rsid w:val="6BFF2064"/>
    <w:rsid w:val="6C327B3B"/>
    <w:rsid w:val="6C852CE3"/>
    <w:rsid w:val="6C953C26"/>
    <w:rsid w:val="6C9B73EC"/>
    <w:rsid w:val="6CA43E69"/>
    <w:rsid w:val="6CC369E5"/>
    <w:rsid w:val="6CEB5F3B"/>
    <w:rsid w:val="6CEC636C"/>
    <w:rsid w:val="6CF15B0F"/>
    <w:rsid w:val="6CF272CA"/>
    <w:rsid w:val="6CFEA127"/>
    <w:rsid w:val="6D1E3C1B"/>
    <w:rsid w:val="6D2E2BAB"/>
    <w:rsid w:val="6D2F7BD6"/>
    <w:rsid w:val="6D365409"/>
    <w:rsid w:val="6D38732A"/>
    <w:rsid w:val="6D4F64CA"/>
    <w:rsid w:val="6D6A4EC4"/>
    <w:rsid w:val="6D793547"/>
    <w:rsid w:val="6D9578A5"/>
    <w:rsid w:val="6DB02BFA"/>
    <w:rsid w:val="6DBFEDDB"/>
    <w:rsid w:val="6DCD73EF"/>
    <w:rsid w:val="6DEF28D4"/>
    <w:rsid w:val="6DEFFBEE"/>
    <w:rsid w:val="6DFC30A0"/>
    <w:rsid w:val="6E2E4332"/>
    <w:rsid w:val="6E5042A8"/>
    <w:rsid w:val="6E647D53"/>
    <w:rsid w:val="6E7BBB43"/>
    <w:rsid w:val="6E823CF4"/>
    <w:rsid w:val="6E9C573F"/>
    <w:rsid w:val="6EE3587D"/>
    <w:rsid w:val="6EF73025"/>
    <w:rsid w:val="6EF7FFD2"/>
    <w:rsid w:val="6EFE9E05"/>
    <w:rsid w:val="6F0F656D"/>
    <w:rsid w:val="6F126DB3"/>
    <w:rsid w:val="6F1E6154"/>
    <w:rsid w:val="6F3B4F58"/>
    <w:rsid w:val="6F43354C"/>
    <w:rsid w:val="6F4F3169"/>
    <w:rsid w:val="6F5002D8"/>
    <w:rsid w:val="6F5B51C0"/>
    <w:rsid w:val="6F60676D"/>
    <w:rsid w:val="6F6C1527"/>
    <w:rsid w:val="6F8F8119"/>
    <w:rsid w:val="6FA50623"/>
    <w:rsid w:val="6FA64737"/>
    <w:rsid w:val="6FB70357"/>
    <w:rsid w:val="6FBA0D82"/>
    <w:rsid w:val="6FBBE6E5"/>
    <w:rsid w:val="6FBF65E0"/>
    <w:rsid w:val="6FC52A74"/>
    <w:rsid w:val="6FCC795E"/>
    <w:rsid w:val="6FCD1928"/>
    <w:rsid w:val="6FEB924D"/>
    <w:rsid w:val="6FEF9B98"/>
    <w:rsid w:val="6FF9EF07"/>
    <w:rsid w:val="6FFA713D"/>
    <w:rsid w:val="6FFE2A3C"/>
    <w:rsid w:val="6FFF3F42"/>
    <w:rsid w:val="6FFFC6B7"/>
    <w:rsid w:val="700370F8"/>
    <w:rsid w:val="700D7F77"/>
    <w:rsid w:val="70324301"/>
    <w:rsid w:val="70335C2F"/>
    <w:rsid w:val="70416612"/>
    <w:rsid w:val="70587444"/>
    <w:rsid w:val="705D4A5A"/>
    <w:rsid w:val="70752853"/>
    <w:rsid w:val="707C76C7"/>
    <w:rsid w:val="7085575A"/>
    <w:rsid w:val="70A369B7"/>
    <w:rsid w:val="70AA2EA1"/>
    <w:rsid w:val="70C04FE9"/>
    <w:rsid w:val="7144725F"/>
    <w:rsid w:val="714C26E3"/>
    <w:rsid w:val="715A4E53"/>
    <w:rsid w:val="716625CB"/>
    <w:rsid w:val="7177252B"/>
    <w:rsid w:val="717C1858"/>
    <w:rsid w:val="71DB339C"/>
    <w:rsid w:val="71F5A491"/>
    <w:rsid w:val="71F68D00"/>
    <w:rsid w:val="71F9746B"/>
    <w:rsid w:val="7200571B"/>
    <w:rsid w:val="721C6F7D"/>
    <w:rsid w:val="7235238F"/>
    <w:rsid w:val="725D0E92"/>
    <w:rsid w:val="726FC17A"/>
    <w:rsid w:val="72752AE7"/>
    <w:rsid w:val="7298446F"/>
    <w:rsid w:val="72BB1F0C"/>
    <w:rsid w:val="72C01D6B"/>
    <w:rsid w:val="72CEBD46"/>
    <w:rsid w:val="72D03C09"/>
    <w:rsid w:val="72DA23C6"/>
    <w:rsid w:val="72DFAA65"/>
    <w:rsid w:val="730613D9"/>
    <w:rsid w:val="734239CA"/>
    <w:rsid w:val="7344430A"/>
    <w:rsid w:val="73552881"/>
    <w:rsid w:val="7358775B"/>
    <w:rsid w:val="735F4F8D"/>
    <w:rsid w:val="736EC3B3"/>
    <w:rsid w:val="737547B1"/>
    <w:rsid w:val="73C870C6"/>
    <w:rsid w:val="73E159A2"/>
    <w:rsid w:val="73F10906"/>
    <w:rsid w:val="740022CC"/>
    <w:rsid w:val="740A314B"/>
    <w:rsid w:val="741B7106"/>
    <w:rsid w:val="7434413E"/>
    <w:rsid w:val="744779DD"/>
    <w:rsid w:val="745266B5"/>
    <w:rsid w:val="74716D26"/>
    <w:rsid w:val="74A90F15"/>
    <w:rsid w:val="74BA738B"/>
    <w:rsid w:val="74BD0A6B"/>
    <w:rsid w:val="74C56D1D"/>
    <w:rsid w:val="74E219D2"/>
    <w:rsid w:val="75232E24"/>
    <w:rsid w:val="75244B75"/>
    <w:rsid w:val="754E7067"/>
    <w:rsid w:val="7557416E"/>
    <w:rsid w:val="756A6D48"/>
    <w:rsid w:val="757B49A0"/>
    <w:rsid w:val="758A1640"/>
    <w:rsid w:val="759476AE"/>
    <w:rsid w:val="759CE3DB"/>
    <w:rsid w:val="75C867B1"/>
    <w:rsid w:val="75EE4768"/>
    <w:rsid w:val="75F3778C"/>
    <w:rsid w:val="7614205F"/>
    <w:rsid w:val="76236746"/>
    <w:rsid w:val="763FD10B"/>
    <w:rsid w:val="76487F5B"/>
    <w:rsid w:val="764F3C94"/>
    <w:rsid w:val="765661D4"/>
    <w:rsid w:val="76786C5E"/>
    <w:rsid w:val="768E0CAE"/>
    <w:rsid w:val="769F7FD5"/>
    <w:rsid w:val="76AE6010"/>
    <w:rsid w:val="76B708C5"/>
    <w:rsid w:val="76F7FCF9"/>
    <w:rsid w:val="771A6F03"/>
    <w:rsid w:val="771B9C02"/>
    <w:rsid w:val="771F648D"/>
    <w:rsid w:val="772F9B2B"/>
    <w:rsid w:val="77356731"/>
    <w:rsid w:val="773F45E8"/>
    <w:rsid w:val="77420E4E"/>
    <w:rsid w:val="77562255"/>
    <w:rsid w:val="775766A7"/>
    <w:rsid w:val="775BC6DC"/>
    <w:rsid w:val="775D4AE1"/>
    <w:rsid w:val="776C1A27"/>
    <w:rsid w:val="776D31C6"/>
    <w:rsid w:val="777059BB"/>
    <w:rsid w:val="777B710E"/>
    <w:rsid w:val="77963478"/>
    <w:rsid w:val="77BFB579"/>
    <w:rsid w:val="77BFDD57"/>
    <w:rsid w:val="77DCD563"/>
    <w:rsid w:val="77E59F83"/>
    <w:rsid w:val="77E617D9"/>
    <w:rsid w:val="77EB3B04"/>
    <w:rsid w:val="77F46344"/>
    <w:rsid w:val="77FB6FE7"/>
    <w:rsid w:val="77FD4567"/>
    <w:rsid w:val="781379F5"/>
    <w:rsid w:val="782422DD"/>
    <w:rsid w:val="785E060A"/>
    <w:rsid w:val="78641792"/>
    <w:rsid w:val="7873590C"/>
    <w:rsid w:val="787E7C64"/>
    <w:rsid w:val="787F4744"/>
    <w:rsid w:val="788B50E5"/>
    <w:rsid w:val="78931E3A"/>
    <w:rsid w:val="78AE679B"/>
    <w:rsid w:val="78B46971"/>
    <w:rsid w:val="78C0795C"/>
    <w:rsid w:val="78C7160B"/>
    <w:rsid w:val="78CD25BE"/>
    <w:rsid w:val="78D2C99B"/>
    <w:rsid w:val="78E55F35"/>
    <w:rsid w:val="78E749B4"/>
    <w:rsid w:val="78FC22B9"/>
    <w:rsid w:val="790068CB"/>
    <w:rsid w:val="791F84BF"/>
    <w:rsid w:val="79226841"/>
    <w:rsid w:val="792C3B64"/>
    <w:rsid w:val="79305402"/>
    <w:rsid w:val="79334EF2"/>
    <w:rsid w:val="793A1DDD"/>
    <w:rsid w:val="794F29AE"/>
    <w:rsid w:val="79556C16"/>
    <w:rsid w:val="795A247F"/>
    <w:rsid w:val="7967201E"/>
    <w:rsid w:val="797604FD"/>
    <w:rsid w:val="797A48CF"/>
    <w:rsid w:val="799030F7"/>
    <w:rsid w:val="79BC4EE7"/>
    <w:rsid w:val="79D0629D"/>
    <w:rsid w:val="79DD6327"/>
    <w:rsid w:val="79DF7EFB"/>
    <w:rsid w:val="79EFA861"/>
    <w:rsid w:val="79FB54CD"/>
    <w:rsid w:val="79FEFAB7"/>
    <w:rsid w:val="79FFB9A9"/>
    <w:rsid w:val="7A124B07"/>
    <w:rsid w:val="7A372CB3"/>
    <w:rsid w:val="7A3AC3FD"/>
    <w:rsid w:val="7A592736"/>
    <w:rsid w:val="7A6B246A"/>
    <w:rsid w:val="7A7BA3D3"/>
    <w:rsid w:val="7A805F15"/>
    <w:rsid w:val="7A9F3F34"/>
    <w:rsid w:val="7AA634A2"/>
    <w:rsid w:val="7AB067E1"/>
    <w:rsid w:val="7ACF0C4A"/>
    <w:rsid w:val="7ACFDD87"/>
    <w:rsid w:val="7AD9230C"/>
    <w:rsid w:val="7ADEA875"/>
    <w:rsid w:val="7AE71AF0"/>
    <w:rsid w:val="7AE828CA"/>
    <w:rsid w:val="7AFFAF4F"/>
    <w:rsid w:val="7B13348F"/>
    <w:rsid w:val="7B1B7C5A"/>
    <w:rsid w:val="7B2484DC"/>
    <w:rsid w:val="7B3F7B7E"/>
    <w:rsid w:val="7B5573A2"/>
    <w:rsid w:val="7B6668B3"/>
    <w:rsid w:val="7B6DE0B4"/>
    <w:rsid w:val="7B786BEC"/>
    <w:rsid w:val="7B841A35"/>
    <w:rsid w:val="7B914152"/>
    <w:rsid w:val="7B917CAE"/>
    <w:rsid w:val="7B963516"/>
    <w:rsid w:val="7BBE0484"/>
    <w:rsid w:val="7BC20FEB"/>
    <w:rsid w:val="7BCE0F02"/>
    <w:rsid w:val="7BD44754"/>
    <w:rsid w:val="7BD52E88"/>
    <w:rsid w:val="7BDCC26D"/>
    <w:rsid w:val="7BE3E214"/>
    <w:rsid w:val="7BEF68B5"/>
    <w:rsid w:val="7BEFCB94"/>
    <w:rsid w:val="7BF95A4A"/>
    <w:rsid w:val="7BFB0F5C"/>
    <w:rsid w:val="7BFF54A0"/>
    <w:rsid w:val="7C251BA1"/>
    <w:rsid w:val="7C2A2B27"/>
    <w:rsid w:val="7C421482"/>
    <w:rsid w:val="7C477D64"/>
    <w:rsid w:val="7C647971"/>
    <w:rsid w:val="7C701FB9"/>
    <w:rsid w:val="7C8E2024"/>
    <w:rsid w:val="7CAFAA64"/>
    <w:rsid w:val="7CBFAEFF"/>
    <w:rsid w:val="7CDC13FD"/>
    <w:rsid w:val="7CEA3B1A"/>
    <w:rsid w:val="7CFDB7F7"/>
    <w:rsid w:val="7CFEC497"/>
    <w:rsid w:val="7D0934F2"/>
    <w:rsid w:val="7D1949D8"/>
    <w:rsid w:val="7D272678"/>
    <w:rsid w:val="7D2B7671"/>
    <w:rsid w:val="7D3D2AA8"/>
    <w:rsid w:val="7D5611AF"/>
    <w:rsid w:val="7D584927"/>
    <w:rsid w:val="7D63FF47"/>
    <w:rsid w:val="7D86CF79"/>
    <w:rsid w:val="7D8BCF03"/>
    <w:rsid w:val="7DA22646"/>
    <w:rsid w:val="7DA62C1A"/>
    <w:rsid w:val="7DBC2005"/>
    <w:rsid w:val="7DBF1725"/>
    <w:rsid w:val="7DCE556B"/>
    <w:rsid w:val="7DDE20AC"/>
    <w:rsid w:val="7DFC2953"/>
    <w:rsid w:val="7DFF0208"/>
    <w:rsid w:val="7E161E18"/>
    <w:rsid w:val="7E313987"/>
    <w:rsid w:val="7E4D1FD1"/>
    <w:rsid w:val="7E5D655F"/>
    <w:rsid w:val="7E5DD1FB"/>
    <w:rsid w:val="7E637A3E"/>
    <w:rsid w:val="7E6778CE"/>
    <w:rsid w:val="7EB50157"/>
    <w:rsid w:val="7EBC3294"/>
    <w:rsid w:val="7EBCB666"/>
    <w:rsid w:val="7EBF04D9"/>
    <w:rsid w:val="7ED1414D"/>
    <w:rsid w:val="7EDC3936"/>
    <w:rsid w:val="7EDFC57A"/>
    <w:rsid w:val="7EEAF7F4"/>
    <w:rsid w:val="7EEF0E07"/>
    <w:rsid w:val="7EEF3F71"/>
    <w:rsid w:val="7EF571A0"/>
    <w:rsid w:val="7EF96CCE"/>
    <w:rsid w:val="7EFB9FE8"/>
    <w:rsid w:val="7EFBE133"/>
    <w:rsid w:val="7EFF0F93"/>
    <w:rsid w:val="7EFF7ACE"/>
    <w:rsid w:val="7EFFAD48"/>
    <w:rsid w:val="7F122176"/>
    <w:rsid w:val="7F1629A4"/>
    <w:rsid w:val="7F264BB1"/>
    <w:rsid w:val="7F3CECDC"/>
    <w:rsid w:val="7F4423FF"/>
    <w:rsid w:val="7F446F89"/>
    <w:rsid w:val="7F4514DB"/>
    <w:rsid w:val="7F4944FA"/>
    <w:rsid w:val="7F4C4618"/>
    <w:rsid w:val="7F5E40EA"/>
    <w:rsid w:val="7F5F2C62"/>
    <w:rsid w:val="7F6739D6"/>
    <w:rsid w:val="7F6BECDC"/>
    <w:rsid w:val="7F6F314B"/>
    <w:rsid w:val="7F7BBDCB"/>
    <w:rsid w:val="7F7BED34"/>
    <w:rsid w:val="7F7D0C75"/>
    <w:rsid w:val="7F7DB646"/>
    <w:rsid w:val="7F7E1760"/>
    <w:rsid w:val="7F7E7C2A"/>
    <w:rsid w:val="7F7FA97A"/>
    <w:rsid w:val="7F7FEF03"/>
    <w:rsid w:val="7F8042C1"/>
    <w:rsid w:val="7F8F7349"/>
    <w:rsid w:val="7F96E85F"/>
    <w:rsid w:val="7F99E8C1"/>
    <w:rsid w:val="7FA91B10"/>
    <w:rsid w:val="7FAD2FA5"/>
    <w:rsid w:val="7FB0A5ED"/>
    <w:rsid w:val="7FB5F4C0"/>
    <w:rsid w:val="7FB7DFA4"/>
    <w:rsid w:val="7FBB2C98"/>
    <w:rsid w:val="7FBDA712"/>
    <w:rsid w:val="7FBE2057"/>
    <w:rsid w:val="7FC44AF6"/>
    <w:rsid w:val="7FC558D7"/>
    <w:rsid w:val="7FCF2960"/>
    <w:rsid w:val="7FCF8E37"/>
    <w:rsid w:val="7FD450CE"/>
    <w:rsid w:val="7FD665D7"/>
    <w:rsid w:val="7FD7F6F6"/>
    <w:rsid w:val="7FDF15CD"/>
    <w:rsid w:val="7FE532DC"/>
    <w:rsid w:val="7FE900B8"/>
    <w:rsid w:val="7FEF32B6"/>
    <w:rsid w:val="7FEF53A8"/>
    <w:rsid w:val="7FF5511B"/>
    <w:rsid w:val="7FF56A2F"/>
    <w:rsid w:val="7FF67A5F"/>
    <w:rsid w:val="7FF71ABD"/>
    <w:rsid w:val="7FF792E7"/>
    <w:rsid w:val="7FF7D1A2"/>
    <w:rsid w:val="7FF987E4"/>
    <w:rsid w:val="7FFBD215"/>
    <w:rsid w:val="7FFD9278"/>
    <w:rsid w:val="7FFDE198"/>
    <w:rsid w:val="7FFEE7FF"/>
    <w:rsid w:val="7FFF0341"/>
    <w:rsid w:val="7FFF0BA6"/>
    <w:rsid w:val="7FFF2E90"/>
    <w:rsid w:val="7FFF46BE"/>
    <w:rsid w:val="7FFF50C7"/>
    <w:rsid w:val="7FFF7D57"/>
    <w:rsid w:val="8FBC28F8"/>
    <w:rsid w:val="8FFDD43D"/>
    <w:rsid w:val="97F780A6"/>
    <w:rsid w:val="9A9FE2B1"/>
    <w:rsid w:val="9D77C385"/>
    <w:rsid w:val="9DF7FB3D"/>
    <w:rsid w:val="9EFFF54B"/>
    <w:rsid w:val="9F079A2D"/>
    <w:rsid w:val="9F77AF96"/>
    <w:rsid w:val="9FC1352E"/>
    <w:rsid w:val="9FE30E34"/>
    <w:rsid w:val="9FFD14CC"/>
    <w:rsid w:val="A1FCCEFB"/>
    <w:rsid w:val="A5FF8D2E"/>
    <w:rsid w:val="A6FF5D28"/>
    <w:rsid w:val="A88BB6C5"/>
    <w:rsid w:val="ADDF01AC"/>
    <w:rsid w:val="AEF3C60C"/>
    <w:rsid w:val="AF8BFE1F"/>
    <w:rsid w:val="AF9B4162"/>
    <w:rsid w:val="AFADC591"/>
    <w:rsid w:val="AFBDCBE7"/>
    <w:rsid w:val="AFFFE1AA"/>
    <w:rsid w:val="B1F53491"/>
    <w:rsid w:val="B2EF0ED3"/>
    <w:rsid w:val="B3F6D415"/>
    <w:rsid w:val="B4F71064"/>
    <w:rsid w:val="B5FE4DBE"/>
    <w:rsid w:val="B6EF714B"/>
    <w:rsid w:val="B79FF6C4"/>
    <w:rsid w:val="B7BC5CCD"/>
    <w:rsid w:val="B7FECC0E"/>
    <w:rsid w:val="BA97D68A"/>
    <w:rsid w:val="BB7F58F8"/>
    <w:rsid w:val="BB9F749C"/>
    <w:rsid w:val="BBAF9287"/>
    <w:rsid w:val="BBCFE77A"/>
    <w:rsid w:val="BBDE18B8"/>
    <w:rsid w:val="BBFDA48D"/>
    <w:rsid w:val="BD7EA874"/>
    <w:rsid w:val="BEB7446A"/>
    <w:rsid w:val="BEBEF29C"/>
    <w:rsid w:val="BEC77055"/>
    <w:rsid w:val="BEE7F1B3"/>
    <w:rsid w:val="BEED0FA3"/>
    <w:rsid w:val="BEF254DC"/>
    <w:rsid w:val="BF7BB58B"/>
    <w:rsid w:val="BF7F1743"/>
    <w:rsid w:val="BF9ECCB4"/>
    <w:rsid w:val="BFAD9CAB"/>
    <w:rsid w:val="BFBB3897"/>
    <w:rsid w:val="BFDE8777"/>
    <w:rsid w:val="BFDFCAE7"/>
    <w:rsid w:val="BFEF3247"/>
    <w:rsid w:val="BFFC5F70"/>
    <w:rsid w:val="C5EEA6C5"/>
    <w:rsid w:val="C6EEF4BF"/>
    <w:rsid w:val="CA7EC696"/>
    <w:rsid w:val="CBCDB551"/>
    <w:rsid w:val="CBFF2370"/>
    <w:rsid w:val="CDF2E8A7"/>
    <w:rsid w:val="CEBB0801"/>
    <w:rsid w:val="CEFF6C61"/>
    <w:rsid w:val="CF77B516"/>
    <w:rsid w:val="CF8D6723"/>
    <w:rsid w:val="CFDFD2F7"/>
    <w:rsid w:val="D27F665C"/>
    <w:rsid w:val="D4F37C05"/>
    <w:rsid w:val="D5FB776A"/>
    <w:rsid w:val="D7279FB0"/>
    <w:rsid w:val="D75F1DA2"/>
    <w:rsid w:val="D7F25418"/>
    <w:rsid w:val="D7FFBB5F"/>
    <w:rsid w:val="D86FB894"/>
    <w:rsid w:val="D93B684E"/>
    <w:rsid w:val="D93E0F7D"/>
    <w:rsid w:val="D97712E7"/>
    <w:rsid w:val="D9B733CB"/>
    <w:rsid w:val="DA86CAA1"/>
    <w:rsid w:val="DAFE4074"/>
    <w:rsid w:val="DAFFABE7"/>
    <w:rsid w:val="DBBF73E8"/>
    <w:rsid w:val="DBE63414"/>
    <w:rsid w:val="DBEFF3DE"/>
    <w:rsid w:val="DBF4DAA4"/>
    <w:rsid w:val="DBFF1A1B"/>
    <w:rsid w:val="DCB613C3"/>
    <w:rsid w:val="DDB41D44"/>
    <w:rsid w:val="DDD75BA4"/>
    <w:rsid w:val="DDE5BB45"/>
    <w:rsid w:val="DDEF42D2"/>
    <w:rsid w:val="DDF7BBD9"/>
    <w:rsid w:val="DDFEFCE8"/>
    <w:rsid w:val="DDFF6A50"/>
    <w:rsid w:val="DEA2A892"/>
    <w:rsid w:val="DEAF335A"/>
    <w:rsid w:val="DEBF9482"/>
    <w:rsid w:val="DEEF063B"/>
    <w:rsid w:val="DEF7DE7F"/>
    <w:rsid w:val="DF33F62A"/>
    <w:rsid w:val="DF5FFC21"/>
    <w:rsid w:val="DF67CF67"/>
    <w:rsid w:val="DF734D9B"/>
    <w:rsid w:val="DF7EF4B2"/>
    <w:rsid w:val="DFBD2EFA"/>
    <w:rsid w:val="DFBFEEFA"/>
    <w:rsid w:val="DFDD7449"/>
    <w:rsid w:val="DFDE633E"/>
    <w:rsid w:val="DFDF452E"/>
    <w:rsid w:val="DFEF7003"/>
    <w:rsid w:val="DFEF88B6"/>
    <w:rsid w:val="DFF5F1A6"/>
    <w:rsid w:val="DFFB4633"/>
    <w:rsid w:val="DFFF8146"/>
    <w:rsid w:val="DFFFBC84"/>
    <w:rsid w:val="E1D90C59"/>
    <w:rsid w:val="E3B715FE"/>
    <w:rsid w:val="E3BC1E5E"/>
    <w:rsid w:val="E4FFFDDA"/>
    <w:rsid w:val="E73BEF6E"/>
    <w:rsid w:val="E77E6AFE"/>
    <w:rsid w:val="E7BF55D2"/>
    <w:rsid w:val="E7DD3427"/>
    <w:rsid w:val="E7EFE55E"/>
    <w:rsid w:val="E7F7D87B"/>
    <w:rsid w:val="E7F7EB53"/>
    <w:rsid w:val="E7FCDE81"/>
    <w:rsid w:val="E99D5153"/>
    <w:rsid w:val="E9EEB2A7"/>
    <w:rsid w:val="EB772CF1"/>
    <w:rsid w:val="EBF531BB"/>
    <w:rsid w:val="EBFF981D"/>
    <w:rsid w:val="EC7F9ED4"/>
    <w:rsid w:val="ED6E5CEB"/>
    <w:rsid w:val="EDBD7D4C"/>
    <w:rsid w:val="EDF6C279"/>
    <w:rsid w:val="EE7D2CF6"/>
    <w:rsid w:val="EEAFE5AA"/>
    <w:rsid w:val="EEDFCDBD"/>
    <w:rsid w:val="EEF72A8D"/>
    <w:rsid w:val="EEFECF1F"/>
    <w:rsid w:val="EF1FAF15"/>
    <w:rsid w:val="EF399720"/>
    <w:rsid w:val="EF5E2FA8"/>
    <w:rsid w:val="EF5FD0B0"/>
    <w:rsid w:val="EF754119"/>
    <w:rsid w:val="EF7F8173"/>
    <w:rsid w:val="EFDF8EAE"/>
    <w:rsid w:val="EFEB48C7"/>
    <w:rsid w:val="EFF4FDEF"/>
    <w:rsid w:val="EFF6E5D5"/>
    <w:rsid w:val="EFF749D1"/>
    <w:rsid w:val="EFFA08AB"/>
    <w:rsid w:val="EFFAD96F"/>
    <w:rsid w:val="EFFB56EC"/>
    <w:rsid w:val="EFFBE33C"/>
    <w:rsid w:val="EFFE43EF"/>
    <w:rsid w:val="EFFF6E6E"/>
    <w:rsid w:val="F11F534E"/>
    <w:rsid w:val="F16D019F"/>
    <w:rsid w:val="F1BF1947"/>
    <w:rsid w:val="F1E6FEBE"/>
    <w:rsid w:val="F36CA79E"/>
    <w:rsid w:val="F3FE83D9"/>
    <w:rsid w:val="F47FFA77"/>
    <w:rsid w:val="F50B9867"/>
    <w:rsid w:val="F56EB34F"/>
    <w:rsid w:val="F571528F"/>
    <w:rsid w:val="F595381D"/>
    <w:rsid w:val="F5D9DA53"/>
    <w:rsid w:val="F5EFBF64"/>
    <w:rsid w:val="F5F3C4EA"/>
    <w:rsid w:val="F5FFA4ED"/>
    <w:rsid w:val="F69D0EAA"/>
    <w:rsid w:val="F6BD3E65"/>
    <w:rsid w:val="F6BE976E"/>
    <w:rsid w:val="F726E266"/>
    <w:rsid w:val="F76A0A23"/>
    <w:rsid w:val="F78F3078"/>
    <w:rsid w:val="F7EF39D7"/>
    <w:rsid w:val="F7EF6162"/>
    <w:rsid w:val="F7F22869"/>
    <w:rsid w:val="F7FC69CD"/>
    <w:rsid w:val="F7FE1B3F"/>
    <w:rsid w:val="F7FFC96C"/>
    <w:rsid w:val="F7FFD10A"/>
    <w:rsid w:val="F8BF3349"/>
    <w:rsid w:val="F969C7BD"/>
    <w:rsid w:val="F9FD8DEF"/>
    <w:rsid w:val="FA7D4D01"/>
    <w:rsid w:val="FAFF89A3"/>
    <w:rsid w:val="FB570838"/>
    <w:rsid w:val="FB6F94C2"/>
    <w:rsid w:val="FB763ECE"/>
    <w:rsid w:val="FB7B6BE1"/>
    <w:rsid w:val="FB7EEF99"/>
    <w:rsid w:val="FB864638"/>
    <w:rsid w:val="FBB7BE26"/>
    <w:rsid w:val="FBBFF6DF"/>
    <w:rsid w:val="FBC96E85"/>
    <w:rsid w:val="FBCBD0EB"/>
    <w:rsid w:val="FBD6D6BA"/>
    <w:rsid w:val="FBDCDA0A"/>
    <w:rsid w:val="FBEF30AD"/>
    <w:rsid w:val="FBFB3927"/>
    <w:rsid w:val="FBFFF8D0"/>
    <w:rsid w:val="FC2196EE"/>
    <w:rsid w:val="FCB35429"/>
    <w:rsid w:val="FCEF3847"/>
    <w:rsid w:val="FD6BD729"/>
    <w:rsid w:val="FD8FAA45"/>
    <w:rsid w:val="FDCE2F3E"/>
    <w:rsid w:val="FDF95F97"/>
    <w:rsid w:val="FDFD6FDC"/>
    <w:rsid w:val="FDFE983C"/>
    <w:rsid w:val="FDFF4758"/>
    <w:rsid w:val="FE77ABD5"/>
    <w:rsid w:val="FE7DCBE3"/>
    <w:rsid w:val="FE7FC625"/>
    <w:rsid w:val="FEB7F529"/>
    <w:rsid w:val="FEBF75ED"/>
    <w:rsid w:val="FED79838"/>
    <w:rsid w:val="FF2FBFA9"/>
    <w:rsid w:val="FF3F94A4"/>
    <w:rsid w:val="FF5EB091"/>
    <w:rsid w:val="FF5FCF18"/>
    <w:rsid w:val="FF67BD36"/>
    <w:rsid w:val="FF6F5C68"/>
    <w:rsid w:val="FF755B30"/>
    <w:rsid w:val="FF76A75A"/>
    <w:rsid w:val="FF7ACE95"/>
    <w:rsid w:val="FF7BFECE"/>
    <w:rsid w:val="FF7F24B6"/>
    <w:rsid w:val="FF8D8382"/>
    <w:rsid w:val="FF91A58F"/>
    <w:rsid w:val="FF9D670E"/>
    <w:rsid w:val="FFAF75FC"/>
    <w:rsid w:val="FFB57A1B"/>
    <w:rsid w:val="FFB70248"/>
    <w:rsid w:val="FFB734A4"/>
    <w:rsid w:val="FFB78591"/>
    <w:rsid w:val="FFBBA916"/>
    <w:rsid w:val="FFBE50BE"/>
    <w:rsid w:val="FFBE969D"/>
    <w:rsid w:val="FFBF579D"/>
    <w:rsid w:val="FFBFE2EF"/>
    <w:rsid w:val="FFCD7BAB"/>
    <w:rsid w:val="FFD79C4C"/>
    <w:rsid w:val="FFDFDE9F"/>
    <w:rsid w:val="FFDFE065"/>
    <w:rsid w:val="FFE22AC1"/>
    <w:rsid w:val="FFE63A90"/>
    <w:rsid w:val="FFED20FF"/>
    <w:rsid w:val="FFEE561B"/>
    <w:rsid w:val="FFEEA846"/>
    <w:rsid w:val="FFEF09D0"/>
    <w:rsid w:val="FFEF981A"/>
    <w:rsid w:val="FFEFA026"/>
    <w:rsid w:val="FFEFA5CC"/>
    <w:rsid w:val="FFF749C7"/>
    <w:rsid w:val="FFFA496C"/>
    <w:rsid w:val="FFFBACAE"/>
    <w:rsid w:val="FFFC3DA8"/>
    <w:rsid w:val="FFFDCB16"/>
    <w:rsid w:val="FFFDE86B"/>
    <w:rsid w:val="FFFF0062"/>
    <w:rsid w:val="FFFF54A9"/>
    <w:rsid w:val="FFFFB5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kern w:val="2"/>
      <w:sz w:val="32"/>
      <w:szCs w:val="22"/>
      <w:lang w:val="en-US" w:eastAsia="zh-CN" w:bidi="ar-SA"/>
    </w:rPr>
  </w:style>
  <w:style w:type="paragraph" w:styleId="2">
    <w:name w:val="heading 1"/>
    <w:basedOn w:val="1"/>
    <w:next w:val="1"/>
    <w:link w:val="40"/>
    <w:qFormat/>
    <w:uiPriority w:val="9"/>
    <w:pPr>
      <w:keepNext/>
      <w:keepLines/>
      <w:spacing w:before="120" w:after="120"/>
      <w:outlineLvl w:val="0"/>
    </w:pPr>
    <w:rPr>
      <w:rFonts w:eastAsia="黑体" w:cstheme="majorBidi"/>
      <w:color w:val="000000" w:themeColor="text1"/>
      <w:sz w:val="32"/>
      <w:szCs w:val="48"/>
      <w14:textFill>
        <w14:solidFill>
          <w14:schemeClr w14:val="tx1"/>
        </w14:solidFill>
      </w14:textFill>
    </w:rPr>
  </w:style>
  <w:style w:type="paragraph" w:styleId="3">
    <w:name w:val="heading 2"/>
    <w:basedOn w:val="1"/>
    <w:next w:val="1"/>
    <w:link w:val="41"/>
    <w:unhideWhenUsed/>
    <w:qFormat/>
    <w:uiPriority w:val="9"/>
    <w:pPr>
      <w:keepNext/>
      <w:keepLines/>
      <w:spacing w:before="0" w:line="560" w:lineRule="exact"/>
      <w:outlineLvl w:val="1"/>
    </w:pPr>
    <w:rPr>
      <w:rFonts w:eastAsia="楷体_GB2312" w:cstheme="majorBidi"/>
      <w:color w:val="000000" w:themeColor="text1"/>
      <w:szCs w:val="40"/>
      <w14:textFill>
        <w14:solidFill>
          <w14:schemeClr w14:val="tx1"/>
        </w14:solidFill>
      </w14:textFill>
    </w:rPr>
  </w:style>
  <w:style w:type="paragraph" w:styleId="4">
    <w:name w:val="heading 3"/>
    <w:basedOn w:val="1"/>
    <w:next w:val="1"/>
    <w:link w:val="42"/>
    <w:unhideWhenUsed/>
    <w:qFormat/>
    <w:uiPriority w:val="9"/>
    <w:pPr>
      <w:keepNext/>
      <w:keepLines/>
      <w:outlineLvl w:val="2"/>
    </w:pPr>
    <w:rPr>
      <w:rFonts w:ascii="Times New Roman" w:hAnsi="Times New Roman" w:cstheme="majorBidi"/>
      <w:b/>
      <w:szCs w:val="32"/>
    </w:rPr>
  </w:style>
  <w:style w:type="paragraph" w:styleId="5">
    <w:name w:val="heading 4"/>
    <w:basedOn w:val="1"/>
    <w:next w:val="1"/>
    <w:link w:val="4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44"/>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4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4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unhideWhenUsed/>
    <w:qFormat/>
    <w:uiPriority w:val="99"/>
    <w:pPr>
      <w:ind w:firstLine="420" w:firstLineChars="200"/>
    </w:pPr>
  </w:style>
  <w:style w:type="paragraph" w:customStyle="1" w:styleId="12">
    <w:name w:val="Char Char Char Char Char Char Char Char Char1 Char"/>
    <w:basedOn w:val="1"/>
    <w:next w:val="13"/>
    <w:qFormat/>
    <w:uiPriority w:val="0"/>
    <w:pPr>
      <w:spacing w:line="360" w:lineRule="auto"/>
      <w:ind w:firstLine="200"/>
    </w:pPr>
    <w:rPr>
      <w:rFonts w:ascii="宋体"/>
      <w:sz w:val="24"/>
    </w:rPr>
  </w:style>
  <w:style w:type="paragraph" w:customStyle="1" w:styleId="13">
    <w:name w:val="正文首行缩进1"/>
    <w:basedOn w:val="14"/>
    <w:next w:val="1"/>
    <w:qFormat/>
    <w:uiPriority w:val="0"/>
    <w:pPr>
      <w:spacing w:after="120"/>
      <w:ind w:firstLine="420"/>
    </w:pPr>
    <w:rPr>
      <w:rFonts w:ascii="Times New Roman" w:eastAsia="宋体"/>
    </w:rPr>
  </w:style>
  <w:style w:type="paragraph" w:styleId="14">
    <w:name w:val="Body Text"/>
    <w:basedOn w:val="1"/>
    <w:link w:val="91"/>
    <w:semiHidden/>
    <w:unhideWhenUsed/>
    <w:qFormat/>
    <w:uiPriority w:val="99"/>
    <w:pPr>
      <w:spacing w:after="120"/>
    </w:pPr>
  </w:style>
  <w:style w:type="paragraph" w:styleId="15">
    <w:name w:val="toa heading"/>
    <w:basedOn w:val="1"/>
    <w:next w:val="1"/>
    <w:semiHidden/>
    <w:unhideWhenUsed/>
    <w:qFormat/>
    <w:uiPriority w:val="99"/>
    <w:pPr>
      <w:spacing w:before="120" w:beforeLines="0" w:beforeAutospacing="0"/>
    </w:pPr>
    <w:rPr>
      <w:rFonts w:ascii="Arial" w:hAnsi="Arial"/>
      <w:sz w:val="24"/>
    </w:rPr>
  </w:style>
  <w:style w:type="paragraph" w:styleId="16">
    <w:name w:val="annotation text"/>
    <w:basedOn w:val="1"/>
    <w:link w:val="61"/>
    <w:semiHidden/>
    <w:unhideWhenUsed/>
    <w:qFormat/>
    <w:uiPriority w:val="99"/>
    <w:pPr>
      <w:jc w:val="left"/>
    </w:pPr>
  </w:style>
  <w:style w:type="paragraph" w:styleId="17">
    <w:name w:val="footer"/>
    <w:basedOn w:val="1"/>
    <w:link w:val="59"/>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8"/>
    <w:unhideWhenUsed/>
    <w:qFormat/>
    <w:uiPriority w:val="99"/>
    <w:pPr>
      <w:tabs>
        <w:tab w:val="center" w:pos="4153"/>
        <w:tab w:val="right" w:pos="8306"/>
      </w:tabs>
      <w:snapToGrid w:val="0"/>
      <w:spacing w:line="240" w:lineRule="auto"/>
      <w:jc w:val="center"/>
    </w:pPr>
    <w:rPr>
      <w:sz w:val="18"/>
      <w:szCs w:val="18"/>
    </w:rPr>
  </w:style>
  <w:style w:type="paragraph" w:styleId="19">
    <w:name w:val="toc 1"/>
    <w:basedOn w:val="1"/>
    <w:next w:val="1"/>
    <w:semiHidden/>
    <w:unhideWhenUsed/>
    <w:qFormat/>
    <w:uiPriority w:val="39"/>
    <w:pPr>
      <w:spacing w:line="560" w:lineRule="exact"/>
      <w:ind w:firstLine="0" w:firstLineChars="0"/>
    </w:pPr>
    <w:rPr>
      <w:rFonts w:ascii="Times New Roman" w:hAnsi="Times New Roman" w:eastAsia="黑体"/>
    </w:rPr>
  </w:style>
  <w:style w:type="paragraph" w:styleId="20">
    <w:name w:val="Subtitle"/>
    <w:basedOn w:val="1"/>
    <w:next w:val="1"/>
    <w:link w:val="5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footnote text"/>
    <w:basedOn w:val="1"/>
    <w:link w:val="63"/>
    <w:semiHidden/>
    <w:unhideWhenUsed/>
    <w:qFormat/>
    <w:uiPriority w:val="99"/>
    <w:pPr>
      <w:snapToGrid w:val="0"/>
      <w:jc w:val="left"/>
    </w:pPr>
    <w:rPr>
      <w:sz w:val="18"/>
      <w:szCs w:val="18"/>
    </w:rPr>
  </w:style>
  <w:style w:type="paragraph" w:styleId="22">
    <w:name w:val="toc 2"/>
    <w:basedOn w:val="1"/>
    <w:next w:val="1"/>
    <w:semiHidden/>
    <w:unhideWhenUsed/>
    <w:qFormat/>
    <w:uiPriority w:val="39"/>
    <w:pPr>
      <w:spacing w:line="240" w:lineRule="auto"/>
      <w:ind w:left="0" w:leftChars="0"/>
    </w:pPr>
    <w:rPr>
      <w:rFonts w:ascii="Times New Roman" w:hAnsi="Times New Roman" w:eastAsia="楷体_GB2312"/>
    </w:rPr>
  </w:style>
  <w:style w:type="paragraph" w:styleId="23">
    <w:name w:val="Normal (Web)"/>
    <w:basedOn w:val="1"/>
    <w:semiHidden/>
    <w:unhideWhenUsed/>
    <w:qFormat/>
    <w:uiPriority w:val="99"/>
    <w:rPr>
      <w:rFonts w:cs="Times New Roman"/>
      <w:sz w:val="24"/>
      <w:szCs w:val="24"/>
    </w:rPr>
  </w:style>
  <w:style w:type="paragraph" w:styleId="24">
    <w:name w:val="Title"/>
    <w:basedOn w:val="1"/>
    <w:next w:val="1"/>
    <w:link w:val="4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5">
    <w:name w:val="annotation subject"/>
    <w:basedOn w:val="16"/>
    <w:next w:val="16"/>
    <w:link w:val="62"/>
    <w:semiHidden/>
    <w:unhideWhenUsed/>
    <w:qFormat/>
    <w:uiPriority w:val="99"/>
    <w:rPr>
      <w:b/>
      <w:bCs/>
    </w:rPr>
  </w:style>
  <w:style w:type="paragraph" w:styleId="26">
    <w:name w:val="Body Text First Indent"/>
    <w:basedOn w:val="14"/>
    <w:link w:val="90"/>
    <w:semiHidden/>
    <w:unhideWhenUsed/>
    <w:qFormat/>
    <w:uiPriority w:val="99"/>
    <w:pPr>
      <w:ind w:firstLine="420" w:firstLineChars="100"/>
    </w:p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FollowedHyperlink"/>
    <w:basedOn w:val="29"/>
    <w:semiHidden/>
    <w:unhideWhenUsed/>
    <w:qFormat/>
    <w:uiPriority w:val="99"/>
    <w:rPr>
      <w:color w:val="954F72"/>
      <w:u w:val="single"/>
    </w:rPr>
  </w:style>
  <w:style w:type="character" w:styleId="32">
    <w:name w:val="Emphasis"/>
    <w:basedOn w:val="29"/>
    <w:qFormat/>
    <w:uiPriority w:val="20"/>
    <w:rPr>
      <w:i/>
    </w:rPr>
  </w:style>
  <w:style w:type="character" w:styleId="33">
    <w:name w:val="Hyperlink"/>
    <w:basedOn w:val="29"/>
    <w:semiHidden/>
    <w:unhideWhenUsed/>
    <w:qFormat/>
    <w:uiPriority w:val="99"/>
    <w:rPr>
      <w:color w:val="0563C1"/>
      <w:u w:val="single"/>
    </w:rPr>
  </w:style>
  <w:style w:type="character" w:styleId="34">
    <w:name w:val="annotation reference"/>
    <w:basedOn w:val="29"/>
    <w:semiHidden/>
    <w:unhideWhenUsed/>
    <w:qFormat/>
    <w:uiPriority w:val="99"/>
    <w:rPr>
      <w:sz w:val="21"/>
      <w:szCs w:val="21"/>
    </w:rPr>
  </w:style>
  <w:style w:type="character" w:styleId="35">
    <w:name w:val="footnote reference"/>
    <w:basedOn w:val="29"/>
    <w:semiHidden/>
    <w:unhideWhenUsed/>
    <w:qFormat/>
    <w:uiPriority w:val="99"/>
    <w:rPr>
      <w:vertAlign w:val="superscript"/>
    </w:rPr>
  </w:style>
  <w:style w:type="paragraph" w:customStyle="1" w:styleId="36">
    <w:name w:val="正文文本 21"/>
    <w:basedOn w:val="1"/>
    <w:qFormat/>
    <w:uiPriority w:val="0"/>
    <w:pPr>
      <w:widowControl/>
      <w:numPr>
        <w:ilvl w:val="0"/>
        <w:numId w:val="1"/>
      </w:numPr>
      <w:spacing w:before="156" w:beforeLines="50" w:line="336" w:lineRule="auto"/>
      <w:ind w:left="0" w:firstLine="0"/>
    </w:pPr>
    <w:rPr>
      <w:rFonts w:ascii="Times New Roman" w:hAnsi="Times New Roman" w:eastAsia="黑体" w:cs="Times New Roman"/>
      <w:szCs w:val="20"/>
    </w:rPr>
  </w:style>
  <w:style w:type="paragraph" w:customStyle="1" w:styleId="37">
    <w:name w:val="正文部分 Char Char Char"/>
    <w:basedOn w:val="14"/>
    <w:next w:val="38"/>
    <w:qFormat/>
    <w:uiPriority w:val="0"/>
    <w:pPr>
      <w:adjustRightInd w:val="0"/>
      <w:spacing w:line="460" w:lineRule="exact"/>
      <w:textAlignment w:val="baseline"/>
    </w:pPr>
    <w:rPr>
      <w:rFonts w:hAnsi="Calibri"/>
      <w:sz w:val="24"/>
    </w:rPr>
  </w:style>
  <w:style w:type="paragraph" w:customStyle="1" w:styleId="38">
    <w:name w:val="章标题"/>
    <w:basedOn w:val="24"/>
    <w:qFormat/>
    <w:uiPriority w:val="0"/>
    <w:pPr>
      <w:spacing w:line="360" w:lineRule="auto"/>
    </w:pPr>
  </w:style>
  <w:style w:type="paragraph" w:customStyle="1" w:styleId="3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0">
    <w:name w:val="标题 1 字符"/>
    <w:basedOn w:val="29"/>
    <w:link w:val="2"/>
    <w:qFormat/>
    <w:uiPriority w:val="9"/>
    <w:rPr>
      <w:rFonts w:ascii="Times New Roman" w:hAnsi="Times New Roman" w:eastAsia="黑体" w:cstheme="majorBidi"/>
      <w:color w:val="000000" w:themeColor="text1"/>
      <w:sz w:val="32"/>
      <w:szCs w:val="48"/>
      <w14:textFill>
        <w14:solidFill>
          <w14:schemeClr w14:val="tx1"/>
        </w14:solidFill>
      </w14:textFill>
    </w:rPr>
  </w:style>
  <w:style w:type="character" w:customStyle="1" w:styleId="41">
    <w:name w:val="标题 2 字符"/>
    <w:basedOn w:val="29"/>
    <w:link w:val="3"/>
    <w:qFormat/>
    <w:uiPriority w:val="9"/>
    <w:rPr>
      <w:rFonts w:ascii="Times New Roman" w:hAnsi="Times New Roman" w:eastAsia="楷体_GB2312" w:cstheme="majorBidi"/>
      <w:color w:val="000000" w:themeColor="text1"/>
      <w:kern w:val="2"/>
      <w:sz w:val="32"/>
      <w:szCs w:val="40"/>
      <w14:textFill>
        <w14:solidFill>
          <w14:schemeClr w14:val="tx1"/>
        </w14:solidFill>
      </w14:textFill>
    </w:rPr>
  </w:style>
  <w:style w:type="character" w:customStyle="1" w:styleId="42">
    <w:name w:val="标题 3 字符"/>
    <w:basedOn w:val="29"/>
    <w:link w:val="4"/>
    <w:qFormat/>
    <w:uiPriority w:val="9"/>
    <w:rPr>
      <w:rFonts w:ascii="Times New Roman" w:hAnsi="Times New Roman" w:eastAsia="仿宋_GB2312" w:cstheme="majorBidi"/>
      <w:b/>
      <w:sz w:val="32"/>
      <w:szCs w:val="32"/>
    </w:rPr>
  </w:style>
  <w:style w:type="character" w:customStyle="1" w:styleId="43">
    <w:name w:val="标题 4 字符"/>
    <w:basedOn w:val="29"/>
    <w:link w:val="5"/>
    <w:semiHidden/>
    <w:qFormat/>
    <w:uiPriority w:val="9"/>
    <w:rPr>
      <w:rFonts w:cstheme="majorBidi"/>
      <w:color w:val="2F5597" w:themeColor="accent1" w:themeShade="BF"/>
      <w:sz w:val="28"/>
      <w:szCs w:val="28"/>
    </w:rPr>
  </w:style>
  <w:style w:type="character" w:customStyle="1" w:styleId="44">
    <w:name w:val="标题 5 字符"/>
    <w:basedOn w:val="29"/>
    <w:link w:val="6"/>
    <w:semiHidden/>
    <w:qFormat/>
    <w:uiPriority w:val="9"/>
    <w:rPr>
      <w:rFonts w:cstheme="majorBidi"/>
      <w:color w:val="2F5597" w:themeColor="accent1" w:themeShade="BF"/>
      <w:sz w:val="24"/>
      <w:szCs w:val="24"/>
    </w:rPr>
  </w:style>
  <w:style w:type="character" w:customStyle="1" w:styleId="45">
    <w:name w:val="标题 6 字符"/>
    <w:basedOn w:val="29"/>
    <w:link w:val="7"/>
    <w:semiHidden/>
    <w:qFormat/>
    <w:uiPriority w:val="9"/>
    <w:rPr>
      <w:rFonts w:cstheme="majorBidi"/>
      <w:b/>
      <w:bCs/>
      <w:color w:val="2F5597" w:themeColor="accent1" w:themeShade="BF"/>
    </w:rPr>
  </w:style>
  <w:style w:type="character" w:customStyle="1" w:styleId="46">
    <w:name w:val="标题 7 字符"/>
    <w:basedOn w:val="2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7">
    <w:name w:val="标题 8 字符"/>
    <w:basedOn w:val="2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8">
    <w:name w:val="标题 9 字符"/>
    <w:basedOn w:val="2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9">
    <w:name w:val="标题 字符"/>
    <w:basedOn w:val="29"/>
    <w:link w:val="24"/>
    <w:qFormat/>
    <w:uiPriority w:val="10"/>
    <w:rPr>
      <w:rFonts w:asciiTheme="majorHAnsi" w:hAnsiTheme="majorHAnsi" w:eastAsiaTheme="majorEastAsia" w:cstheme="majorBidi"/>
      <w:spacing w:val="-10"/>
      <w:kern w:val="28"/>
      <w:sz w:val="56"/>
      <w:szCs w:val="56"/>
    </w:rPr>
  </w:style>
  <w:style w:type="character" w:customStyle="1" w:styleId="50">
    <w:name w:val="副标题 字符"/>
    <w:basedOn w:val="29"/>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1">
    <w:name w:val="Quote"/>
    <w:basedOn w:val="1"/>
    <w:next w:val="1"/>
    <w:link w:val="5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2">
    <w:name w:val="引用 字符"/>
    <w:basedOn w:val="29"/>
    <w:link w:val="51"/>
    <w:qFormat/>
    <w:uiPriority w:val="29"/>
    <w:rPr>
      <w:i/>
      <w:iCs/>
      <w:color w:val="404040" w:themeColor="text1" w:themeTint="BF"/>
      <w14:textFill>
        <w14:solidFill>
          <w14:schemeClr w14:val="tx1">
            <w14:lumMod w14:val="75000"/>
            <w14:lumOff w14:val="25000"/>
          </w14:schemeClr>
        </w14:solidFill>
      </w14:textFill>
    </w:rPr>
  </w:style>
  <w:style w:type="paragraph" w:styleId="53">
    <w:name w:val="List Paragraph"/>
    <w:basedOn w:val="1"/>
    <w:qFormat/>
    <w:uiPriority w:val="34"/>
    <w:pPr>
      <w:ind w:left="720"/>
      <w:contextualSpacing/>
    </w:pPr>
  </w:style>
  <w:style w:type="character" w:customStyle="1" w:styleId="54">
    <w:name w:val="明显强调1"/>
    <w:basedOn w:val="29"/>
    <w:qFormat/>
    <w:uiPriority w:val="21"/>
    <w:rPr>
      <w:i/>
      <w:iCs/>
      <w:color w:val="2F5597" w:themeColor="accent1" w:themeShade="BF"/>
    </w:rPr>
  </w:style>
  <w:style w:type="paragraph" w:styleId="55">
    <w:name w:val="Intense Quote"/>
    <w:basedOn w:val="1"/>
    <w:next w:val="1"/>
    <w:link w:val="5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6">
    <w:name w:val="明显引用 字符"/>
    <w:basedOn w:val="29"/>
    <w:link w:val="55"/>
    <w:qFormat/>
    <w:uiPriority w:val="30"/>
    <w:rPr>
      <w:i/>
      <w:iCs/>
      <w:color w:val="2F5597" w:themeColor="accent1" w:themeShade="BF"/>
    </w:rPr>
  </w:style>
  <w:style w:type="character" w:customStyle="1" w:styleId="57">
    <w:name w:val="明显参考1"/>
    <w:basedOn w:val="29"/>
    <w:qFormat/>
    <w:uiPriority w:val="32"/>
    <w:rPr>
      <w:b/>
      <w:bCs/>
      <w:smallCaps/>
      <w:color w:val="2F5597" w:themeColor="accent1" w:themeShade="BF"/>
      <w:spacing w:val="5"/>
    </w:rPr>
  </w:style>
  <w:style w:type="character" w:customStyle="1" w:styleId="58">
    <w:name w:val="页眉 字符"/>
    <w:basedOn w:val="29"/>
    <w:link w:val="18"/>
    <w:qFormat/>
    <w:uiPriority w:val="99"/>
    <w:rPr>
      <w:rFonts w:ascii="Times New Roman" w:hAnsi="Times New Roman" w:eastAsia="仿宋_GB2312"/>
      <w:sz w:val="18"/>
      <w:szCs w:val="18"/>
    </w:rPr>
  </w:style>
  <w:style w:type="character" w:customStyle="1" w:styleId="59">
    <w:name w:val="页脚 字符"/>
    <w:basedOn w:val="29"/>
    <w:link w:val="17"/>
    <w:qFormat/>
    <w:uiPriority w:val="99"/>
    <w:rPr>
      <w:rFonts w:ascii="Times New Roman" w:hAnsi="Times New Roman" w:eastAsia="仿宋_GB2312"/>
      <w:sz w:val="18"/>
      <w:szCs w:val="18"/>
    </w:rPr>
  </w:style>
  <w:style w:type="paragraph" w:customStyle="1" w:styleId="60">
    <w:name w:val="修订1"/>
    <w:hidden/>
    <w:semiHidden/>
    <w:qFormat/>
    <w:uiPriority w:val="99"/>
    <w:rPr>
      <w:rFonts w:ascii="Times New Roman" w:hAnsi="Times New Roman" w:eastAsia="仿宋_GB2312" w:cstheme="minorBidi"/>
      <w:kern w:val="2"/>
      <w:sz w:val="32"/>
      <w:szCs w:val="22"/>
      <w:lang w:val="en-US" w:eastAsia="zh-CN" w:bidi="ar-SA"/>
    </w:rPr>
  </w:style>
  <w:style w:type="character" w:customStyle="1" w:styleId="61">
    <w:name w:val="批注文字 字符"/>
    <w:basedOn w:val="29"/>
    <w:link w:val="16"/>
    <w:semiHidden/>
    <w:qFormat/>
    <w:uiPriority w:val="99"/>
    <w:rPr>
      <w:rFonts w:ascii="Times New Roman" w:hAnsi="Times New Roman" w:eastAsia="仿宋_GB2312"/>
      <w:sz w:val="32"/>
    </w:rPr>
  </w:style>
  <w:style w:type="character" w:customStyle="1" w:styleId="62">
    <w:name w:val="批注主题 字符"/>
    <w:basedOn w:val="61"/>
    <w:link w:val="25"/>
    <w:semiHidden/>
    <w:qFormat/>
    <w:uiPriority w:val="99"/>
    <w:rPr>
      <w:rFonts w:ascii="Times New Roman" w:hAnsi="Times New Roman" w:eastAsia="仿宋_GB2312"/>
      <w:b/>
      <w:bCs/>
      <w:sz w:val="32"/>
    </w:rPr>
  </w:style>
  <w:style w:type="character" w:customStyle="1" w:styleId="63">
    <w:name w:val="脚注文本 字符"/>
    <w:basedOn w:val="29"/>
    <w:link w:val="21"/>
    <w:semiHidden/>
    <w:qFormat/>
    <w:uiPriority w:val="99"/>
    <w:rPr>
      <w:rFonts w:ascii="Times New Roman" w:hAnsi="Times New Roman" w:eastAsia="仿宋_GB2312"/>
      <w:sz w:val="18"/>
      <w:szCs w:val="18"/>
    </w:rPr>
  </w:style>
  <w:style w:type="table" w:customStyle="1" w:styleId="64">
    <w:name w:val="网格型1"/>
    <w:basedOn w:val="2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5">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66">
    <w:name w:val="font1"/>
    <w:basedOn w:val="1"/>
    <w:qFormat/>
    <w:uiPriority w:val="0"/>
    <w:pPr>
      <w:widowControl/>
      <w:spacing w:before="100" w:beforeAutospacing="1" w:after="100" w:afterAutospacing="1" w:line="240" w:lineRule="auto"/>
      <w:ind w:firstLine="0" w:firstLineChars="0"/>
      <w:jc w:val="left"/>
    </w:pPr>
    <w:rPr>
      <w:rFonts w:ascii="等线" w:hAnsi="等线" w:eastAsia="等线" w:cs="宋体"/>
      <w:color w:val="000000"/>
      <w:kern w:val="0"/>
      <w:sz w:val="22"/>
    </w:rPr>
  </w:style>
  <w:style w:type="paragraph" w:customStyle="1" w:styleId="67">
    <w:name w:val="font5"/>
    <w:basedOn w:val="1"/>
    <w:qFormat/>
    <w:uiPriority w:val="0"/>
    <w:pPr>
      <w:widowControl/>
      <w:spacing w:before="100" w:beforeAutospacing="1" w:after="100" w:afterAutospacing="1" w:line="240" w:lineRule="auto"/>
      <w:ind w:firstLine="0" w:firstLineChars="0"/>
      <w:jc w:val="left"/>
    </w:pPr>
    <w:rPr>
      <w:rFonts w:ascii="仿宋_GB2312" w:hAnsi="宋体" w:cs="宋体"/>
      <w:color w:val="000000"/>
      <w:kern w:val="0"/>
      <w:sz w:val="24"/>
      <w:szCs w:val="24"/>
    </w:rPr>
  </w:style>
  <w:style w:type="paragraph" w:customStyle="1" w:styleId="68">
    <w:name w:val="font6"/>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4"/>
      <w:szCs w:val="24"/>
    </w:rPr>
  </w:style>
  <w:style w:type="paragraph" w:customStyle="1" w:styleId="69">
    <w:name w:val="font7"/>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70">
    <w:name w:val="font8"/>
    <w:basedOn w:val="1"/>
    <w:qFormat/>
    <w:uiPriority w:val="0"/>
    <w:pPr>
      <w:widowControl/>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71">
    <w:name w:val="font9"/>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2"/>
    </w:rPr>
  </w:style>
  <w:style w:type="paragraph" w:customStyle="1" w:styleId="72">
    <w:name w:val="font10"/>
    <w:basedOn w:val="1"/>
    <w:qFormat/>
    <w:uiPriority w:val="0"/>
    <w:pPr>
      <w:widowControl/>
      <w:spacing w:before="100" w:beforeAutospacing="1" w:after="100" w:afterAutospacing="1" w:line="240" w:lineRule="auto"/>
      <w:ind w:firstLine="0" w:firstLineChars="0"/>
      <w:jc w:val="left"/>
    </w:pPr>
    <w:rPr>
      <w:rFonts w:ascii="仿宋_GB2312" w:hAnsi="宋体" w:cs="宋体"/>
      <w:color w:val="000000"/>
      <w:kern w:val="0"/>
      <w:sz w:val="22"/>
    </w:rPr>
  </w:style>
  <w:style w:type="paragraph" w:customStyle="1" w:styleId="73">
    <w:name w:val="font11"/>
    <w:basedOn w:val="1"/>
    <w:qFormat/>
    <w:uiPriority w:val="0"/>
    <w:pPr>
      <w:widowControl/>
      <w:spacing w:before="100" w:beforeAutospacing="1" w:after="100" w:afterAutospacing="1" w:line="240" w:lineRule="auto"/>
      <w:ind w:firstLine="0" w:firstLineChars="0"/>
      <w:jc w:val="left"/>
    </w:pPr>
    <w:rPr>
      <w:rFonts w:eastAsia="宋体" w:cs="Times New Roman"/>
      <w:kern w:val="0"/>
      <w:sz w:val="24"/>
      <w:szCs w:val="24"/>
    </w:rPr>
  </w:style>
  <w:style w:type="paragraph" w:customStyle="1" w:styleId="74">
    <w:name w:val="font12"/>
    <w:basedOn w:val="1"/>
    <w:qFormat/>
    <w:uiPriority w:val="0"/>
    <w:pPr>
      <w:widowControl/>
      <w:spacing w:before="100" w:beforeAutospacing="1" w:after="100" w:afterAutospacing="1" w:line="240" w:lineRule="auto"/>
      <w:ind w:firstLine="0" w:firstLineChars="0"/>
      <w:jc w:val="left"/>
    </w:pPr>
    <w:rPr>
      <w:rFonts w:ascii="仿宋_GB2312" w:hAnsi="宋体" w:cs="宋体"/>
      <w:b/>
      <w:bCs/>
      <w:kern w:val="0"/>
      <w:sz w:val="24"/>
      <w:szCs w:val="24"/>
    </w:rPr>
  </w:style>
  <w:style w:type="paragraph" w:customStyle="1" w:styleId="75">
    <w:name w:val="font13"/>
    <w:basedOn w:val="1"/>
    <w:qFormat/>
    <w:uiPriority w:val="0"/>
    <w:pPr>
      <w:widowControl/>
      <w:spacing w:before="100" w:beforeAutospacing="1" w:after="100" w:afterAutospacing="1" w:line="240" w:lineRule="auto"/>
      <w:ind w:firstLine="0" w:firstLineChars="0"/>
      <w:jc w:val="left"/>
    </w:pPr>
    <w:rPr>
      <w:rFonts w:eastAsia="宋体" w:cs="Times New Roman"/>
      <w:b/>
      <w:bCs/>
      <w:kern w:val="0"/>
      <w:sz w:val="24"/>
      <w:szCs w:val="24"/>
    </w:rPr>
  </w:style>
  <w:style w:type="paragraph" w:customStyle="1" w:styleId="7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kern w:val="0"/>
      <w:sz w:val="24"/>
      <w:szCs w:val="24"/>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eastAsia="宋体" w:cs="Times New Roman"/>
      <w:kern w:val="0"/>
      <w:sz w:val="24"/>
      <w:szCs w:val="24"/>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kern w:val="0"/>
      <w:sz w:val="24"/>
      <w:szCs w:val="24"/>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eastAsia="宋体" w:cs="Times New Roman"/>
      <w:kern w:val="0"/>
      <w:sz w:val="24"/>
      <w:szCs w:val="24"/>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kern w:val="0"/>
      <w:sz w:val="24"/>
      <w:szCs w:val="24"/>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kern w:val="0"/>
      <w:sz w:val="24"/>
      <w:szCs w:val="24"/>
    </w:rPr>
  </w:style>
  <w:style w:type="paragraph" w:customStyle="1" w:styleId="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kern w:val="0"/>
      <w:sz w:val="24"/>
      <w:szCs w:val="24"/>
    </w:rPr>
  </w:style>
  <w:style w:type="paragraph" w:customStyle="1" w:styleId="8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eastAsia="宋体" w:cs="Times New Roman"/>
      <w:kern w:val="0"/>
      <w:sz w:val="24"/>
      <w:szCs w:val="24"/>
    </w:rPr>
  </w:style>
  <w:style w:type="paragraph" w:customStyle="1" w:styleId="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eastAsia="宋体" w:cs="Times New Roman"/>
      <w:kern w:val="0"/>
      <w:sz w:val="24"/>
      <w:szCs w:val="24"/>
    </w:rPr>
  </w:style>
  <w:style w:type="paragraph" w:customStyle="1" w:styleId="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eastAsia="宋体" w:cs="Times New Roman"/>
      <w:kern w:val="0"/>
      <w:sz w:val="24"/>
      <w:szCs w:val="24"/>
    </w:rPr>
  </w:style>
  <w:style w:type="character" w:customStyle="1" w:styleId="90">
    <w:name w:val="正文文本首行缩进 字符"/>
    <w:basedOn w:val="91"/>
    <w:link w:val="26"/>
    <w:qFormat/>
    <w:uiPriority w:val="0"/>
    <w:rPr>
      <w:rFonts w:hint="default" w:ascii="Calibri" w:hAnsi="Calibri" w:cs="Calibri"/>
      <w:kern w:val="2"/>
      <w:sz w:val="21"/>
      <w:szCs w:val="24"/>
    </w:rPr>
  </w:style>
  <w:style w:type="character" w:customStyle="1" w:styleId="91">
    <w:name w:val="正文文本 字符"/>
    <w:basedOn w:val="29"/>
    <w:link w:val="14"/>
    <w:qFormat/>
    <w:uiPriority w:val="0"/>
    <w:rPr>
      <w:rFonts w:hint="default" w:ascii="Calibri" w:hAnsi="Calibri" w:cs="Calibri"/>
      <w:kern w:val="2"/>
      <w:sz w:val="21"/>
      <w:szCs w:val="24"/>
    </w:rPr>
  </w:style>
  <w:style w:type="paragraph" w:customStyle="1" w:styleId="92">
    <w:name w:val="修订2"/>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93">
    <w:name w:val="font41"/>
    <w:basedOn w:val="29"/>
    <w:qFormat/>
    <w:uiPriority w:val="0"/>
    <w:rPr>
      <w:rFonts w:hint="default" w:ascii="Times New Roman" w:hAnsi="Times New Roman" w:cs="Times New Roman"/>
      <w:color w:val="000000"/>
      <w:sz w:val="24"/>
      <w:szCs w:val="24"/>
      <w:u w:val="none"/>
    </w:rPr>
  </w:style>
  <w:style w:type="character" w:customStyle="1" w:styleId="94">
    <w:name w:val="font31"/>
    <w:basedOn w:val="29"/>
    <w:qFormat/>
    <w:uiPriority w:val="0"/>
    <w:rPr>
      <w:rFonts w:hint="eastAsia" w:ascii="仿宋_GB2312" w:eastAsia="仿宋_GB2312"/>
      <w:color w:val="000000"/>
      <w:sz w:val="24"/>
      <w:szCs w:val="24"/>
      <w:u w:val="none"/>
    </w:rPr>
  </w:style>
  <w:style w:type="character" w:customStyle="1" w:styleId="95">
    <w:name w:val="font21"/>
    <w:basedOn w:val="29"/>
    <w:qFormat/>
    <w:uiPriority w:val="0"/>
    <w:rPr>
      <w:rFonts w:hint="eastAsia" w:ascii="微软雅黑" w:hAnsi="微软雅黑" w:eastAsia="微软雅黑"/>
      <w:color w:val="000000"/>
      <w:sz w:val="20"/>
      <w:szCs w:val="20"/>
      <w:u w:val="none"/>
    </w:rPr>
  </w:style>
  <w:style w:type="paragraph" w:customStyle="1" w:styleId="96">
    <w:name w:val="修订3"/>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97">
    <w:name w:val="Revision"/>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98">
    <w:name w:val="font221"/>
    <w:basedOn w:val="29"/>
    <w:qFormat/>
    <w:uiPriority w:val="0"/>
    <w:rPr>
      <w:rFonts w:hint="eastAsia" w:ascii="宋体" w:hAnsi="宋体" w:eastAsia="宋体" w:cs="宋体"/>
      <w:color w:val="000000"/>
      <w:sz w:val="28"/>
      <w:szCs w:val="28"/>
      <w:u w:val="none"/>
    </w:rPr>
  </w:style>
  <w:style w:type="character" w:customStyle="1" w:styleId="99">
    <w:name w:val="font51"/>
    <w:basedOn w:val="29"/>
    <w:qFormat/>
    <w:uiPriority w:val="0"/>
    <w:rPr>
      <w:rFonts w:hint="eastAsia" w:ascii="仿宋" w:hAnsi="仿宋" w:eastAsia="仿宋" w:cs="仿宋"/>
      <w:color w:val="000000"/>
      <w:sz w:val="28"/>
      <w:szCs w:val="28"/>
      <w:u w:val="none"/>
    </w:rPr>
  </w:style>
  <w:style w:type="character" w:customStyle="1" w:styleId="100">
    <w:name w:val="font61"/>
    <w:basedOn w:val="29"/>
    <w:qFormat/>
    <w:uiPriority w:val="0"/>
    <w:rPr>
      <w:rFonts w:hint="default" w:ascii="Times New Roman" w:hAnsi="Times New Roman" w:cs="Times New Roman"/>
      <w:color w:val="000000"/>
      <w:sz w:val="28"/>
      <w:szCs w:val="28"/>
      <w:u w:val="none"/>
    </w:rPr>
  </w:style>
  <w:style w:type="character" w:customStyle="1" w:styleId="101">
    <w:name w:val="font81"/>
    <w:basedOn w:val="29"/>
    <w:qFormat/>
    <w:uiPriority w:val="0"/>
    <w:rPr>
      <w:rFonts w:hint="default" w:ascii="Times New Roman" w:hAnsi="Times New Roman" w:cs="Times New Roman"/>
      <w:color w:val="000000"/>
      <w:sz w:val="28"/>
      <w:szCs w:val="28"/>
      <w:u w:val="none"/>
    </w:rPr>
  </w:style>
  <w:style w:type="character" w:customStyle="1" w:styleId="102">
    <w:name w:val="font151"/>
    <w:basedOn w:val="29"/>
    <w:qFormat/>
    <w:uiPriority w:val="0"/>
    <w:rPr>
      <w:rFonts w:hint="eastAsia" w:ascii="仿宋" w:hAnsi="仿宋" w:eastAsia="仿宋" w:cs="仿宋"/>
      <w:color w:val="000000"/>
      <w:sz w:val="28"/>
      <w:szCs w:val="28"/>
      <w:u w:val="none"/>
    </w:rPr>
  </w:style>
  <w:style w:type="character" w:customStyle="1" w:styleId="103">
    <w:name w:val="font131"/>
    <w:basedOn w:val="29"/>
    <w:qFormat/>
    <w:uiPriority w:val="0"/>
    <w:rPr>
      <w:rFonts w:hint="eastAsia" w:ascii="仿宋" w:hAnsi="仿宋" w:eastAsia="仿宋" w:cs="仿宋"/>
      <w:color w:val="000000"/>
      <w:sz w:val="28"/>
      <w:szCs w:val="28"/>
      <w:u w:val="none"/>
    </w:rPr>
  </w:style>
  <w:style w:type="character" w:customStyle="1" w:styleId="104">
    <w:name w:val="font161"/>
    <w:basedOn w:val="29"/>
    <w:qFormat/>
    <w:uiPriority w:val="0"/>
    <w:rPr>
      <w:rFonts w:hint="eastAsia" w:ascii="仿宋" w:hAnsi="仿宋" w:eastAsia="仿宋" w:cs="仿宋"/>
      <w:color w:val="000000"/>
      <w:sz w:val="28"/>
      <w:szCs w:val="28"/>
      <w:u w:val="none"/>
    </w:rPr>
  </w:style>
  <w:style w:type="character" w:customStyle="1" w:styleId="105">
    <w:name w:val="font71"/>
    <w:basedOn w:val="29"/>
    <w:qFormat/>
    <w:uiPriority w:val="0"/>
    <w:rPr>
      <w:rFonts w:hint="default" w:ascii="Times New Roman" w:hAnsi="Times New Roman" w:cs="Times New Roman"/>
      <w:color w:val="000000"/>
      <w:sz w:val="28"/>
      <w:szCs w:val="28"/>
      <w:u w:val="none"/>
    </w:rPr>
  </w:style>
  <w:style w:type="character" w:customStyle="1" w:styleId="106">
    <w:name w:val="font141"/>
    <w:basedOn w:val="29"/>
    <w:qFormat/>
    <w:uiPriority w:val="0"/>
    <w:rPr>
      <w:rFonts w:hint="eastAsia" w:ascii="仿宋" w:hAnsi="仿宋" w:eastAsia="仿宋" w:cs="仿宋"/>
      <w:color w:val="FF0000"/>
      <w:sz w:val="28"/>
      <w:szCs w:val="28"/>
      <w:u w:val="none"/>
    </w:rPr>
  </w:style>
  <w:style w:type="character" w:customStyle="1" w:styleId="107">
    <w:name w:val="font112"/>
    <w:basedOn w:val="29"/>
    <w:qFormat/>
    <w:uiPriority w:val="0"/>
    <w:rPr>
      <w:rFonts w:hint="default" w:ascii="Times New Roman" w:hAnsi="Times New Roman" w:cs="Times New Roman"/>
      <w:color w:val="FF0000"/>
      <w:sz w:val="28"/>
      <w:szCs w:val="28"/>
      <w:u w:val="none"/>
    </w:rPr>
  </w:style>
  <w:style w:type="character" w:customStyle="1" w:styleId="108">
    <w:name w:val="font101"/>
    <w:basedOn w:val="29"/>
    <w:qFormat/>
    <w:uiPriority w:val="0"/>
    <w:rPr>
      <w:rFonts w:hint="default" w:ascii="Times New Roman" w:hAnsi="Times New Roman" w:cs="Times New Roman"/>
      <w:color w:val="000000"/>
      <w:sz w:val="28"/>
      <w:szCs w:val="28"/>
      <w:u w:val="none"/>
    </w:rPr>
  </w:style>
  <w:style w:type="character" w:customStyle="1" w:styleId="109">
    <w:name w:val="font91"/>
    <w:basedOn w:val="29"/>
    <w:qFormat/>
    <w:uiPriority w:val="0"/>
    <w:rPr>
      <w:rFonts w:hint="default" w:ascii="Times New Roman" w:hAnsi="Times New Roman" w:cs="Times New Roman"/>
      <w:color w:val="000000"/>
      <w:sz w:val="28"/>
      <w:szCs w:val="28"/>
      <w:u w:val="none"/>
    </w:rPr>
  </w:style>
  <w:style w:type="character" w:customStyle="1" w:styleId="110">
    <w:name w:val="font231"/>
    <w:basedOn w:val="29"/>
    <w:qFormat/>
    <w:uiPriority w:val="0"/>
    <w:rPr>
      <w:rFonts w:hint="default" w:ascii="Times New Roman" w:hAnsi="Times New Roman" w:cs="Times New Roman"/>
      <w:color w:val="000000"/>
      <w:sz w:val="28"/>
      <w:szCs w:val="28"/>
      <w:u w:val="none"/>
    </w:rPr>
  </w:style>
  <w:style w:type="character" w:customStyle="1" w:styleId="111">
    <w:name w:val="font241"/>
    <w:basedOn w:val="29"/>
    <w:qFormat/>
    <w:uiPriority w:val="0"/>
    <w:rPr>
      <w:rFonts w:hint="eastAsia" w:ascii="仿宋" w:hAnsi="仿宋" w:eastAsia="仿宋" w:cs="仿宋"/>
      <w:color w:val="000000"/>
      <w:sz w:val="24"/>
      <w:szCs w:val="24"/>
      <w:u w:val="none"/>
    </w:rPr>
  </w:style>
  <w:style w:type="character" w:customStyle="1" w:styleId="112">
    <w:name w:val="font171"/>
    <w:basedOn w:val="29"/>
    <w:qFormat/>
    <w:uiPriority w:val="0"/>
    <w:rPr>
      <w:rFonts w:hint="eastAsia" w:ascii="宋体" w:hAnsi="宋体" w:eastAsia="宋体" w:cs="宋体"/>
      <w:color w:val="000000"/>
      <w:sz w:val="28"/>
      <w:szCs w:val="28"/>
      <w:u w:val="none"/>
    </w:rPr>
  </w:style>
  <w:style w:type="character" w:customStyle="1" w:styleId="113">
    <w:name w:val="font181"/>
    <w:basedOn w:val="29"/>
    <w:qFormat/>
    <w:uiPriority w:val="0"/>
    <w:rPr>
      <w:rFonts w:hint="default" w:ascii="Times New Roman" w:hAnsi="Times New Roman" w:cs="Times New Roman"/>
      <w:color w:val="000000"/>
      <w:sz w:val="24"/>
      <w:szCs w:val="24"/>
      <w:u w:val="none"/>
    </w:rPr>
  </w:style>
  <w:style w:type="character" w:customStyle="1" w:styleId="114">
    <w:name w:val="font251"/>
    <w:basedOn w:val="29"/>
    <w:qFormat/>
    <w:uiPriority w:val="0"/>
    <w:rPr>
      <w:rFonts w:hint="eastAsia" w:ascii="仿宋" w:hAnsi="仿宋" w:eastAsia="仿宋" w:cs="仿宋"/>
      <w:color w:val="000000"/>
      <w:sz w:val="24"/>
      <w:szCs w:val="24"/>
      <w:u w:val="none"/>
    </w:rPr>
  </w:style>
  <w:style w:type="character" w:customStyle="1" w:styleId="115">
    <w:name w:val="font261"/>
    <w:basedOn w:val="29"/>
    <w:qFormat/>
    <w:uiPriority w:val="0"/>
    <w:rPr>
      <w:rFonts w:hint="eastAsia" w:ascii="仿宋" w:hAnsi="仿宋" w:eastAsia="仿宋" w:cs="仿宋"/>
      <w:color w:val="000000"/>
      <w:sz w:val="24"/>
      <w:szCs w:val="24"/>
      <w:u w:val="none"/>
    </w:rPr>
  </w:style>
  <w:style w:type="character" w:customStyle="1" w:styleId="116">
    <w:name w:val="font201"/>
    <w:basedOn w:val="29"/>
    <w:qFormat/>
    <w:uiPriority w:val="0"/>
    <w:rPr>
      <w:rFonts w:hint="default" w:ascii="Times New Roman" w:hAnsi="Times New Roman" w:cs="Times New Roman"/>
      <w:color w:val="000000"/>
      <w:sz w:val="24"/>
      <w:szCs w:val="24"/>
      <w:u w:val="none"/>
    </w:rPr>
  </w:style>
  <w:style w:type="character" w:customStyle="1" w:styleId="117">
    <w:name w:val="font271"/>
    <w:basedOn w:val="29"/>
    <w:qFormat/>
    <w:uiPriority w:val="0"/>
    <w:rPr>
      <w:rFonts w:hint="eastAsia" w:ascii="仿宋" w:hAnsi="仿宋" w:eastAsia="仿宋" w:cs="仿宋"/>
      <w:color w:val="000000"/>
      <w:sz w:val="24"/>
      <w:szCs w:val="24"/>
      <w:u w:val="none"/>
    </w:rPr>
  </w:style>
  <w:style w:type="paragraph" w:customStyle="1" w:styleId="118">
    <w:name w:val="表格形式"/>
    <w:basedOn w:val="1"/>
    <w:qFormat/>
    <w:uiPriority w:val="0"/>
    <w:pPr>
      <w:widowControl/>
      <w:spacing w:line="240" w:lineRule="auto"/>
      <w:ind w:firstLine="0" w:firstLineChars="0"/>
      <w:jc w:val="center"/>
      <w:textAlignment w:val="center"/>
    </w:pPr>
    <w:rPr>
      <w:rFonts w:hint="eastAsia" w:ascii="黑体" w:hAnsi="黑体" w:eastAsia="仿宋" w:cs="黑体"/>
      <w:color w:val="000000"/>
      <w:kern w:val="0"/>
      <w:sz w:val="24"/>
      <w:szCs w:val="28"/>
      <w:u w:val="none"/>
      <w:lang w:bidi="ar"/>
    </w:rPr>
  </w:style>
  <w:style w:type="character" w:customStyle="1" w:styleId="119">
    <w:name w:val="font121"/>
    <w:basedOn w:val="29"/>
    <w:qFormat/>
    <w:uiPriority w:val="0"/>
    <w:rPr>
      <w:rFonts w:hint="eastAsia" w:ascii="仿宋" w:hAnsi="仿宋" w:eastAsia="仿宋" w:cs="仿宋"/>
      <w:color w:val="FF0000"/>
      <w:sz w:val="32"/>
      <w:szCs w:val="32"/>
      <w:u w:val="none"/>
    </w:rPr>
  </w:style>
  <w:style w:type="character" w:customStyle="1" w:styleId="120">
    <w:name w:val="font191"/>
    <w:basedOn w:val="29"/>
    <w:qFormat/>
    <w:uiPriority w:val="0"/>
    <w:rPr>
      <w:rFonts w:hint="eastAsia" w:ascii="仿宋" w:hAnsi="仿宋" w:eastAsia="仿宋" w:cs="仿宋"/>
      <w:color w:val="FF0000"/>
      <w:sz w:val="28"/>
      <w:szCs w:val="28"/>
      <w:u w:val="none"/>
    </w:rPr>
  </w:style>
  <w:style w:type="character" w:customStyle="1" w:styleId="121">
    <w:name w:val="font212"/>
    <w:basedOn w:val="29"/>
    <w:qFormat/>
    <w:uiPriority w:val="0"/>
    <w:rPr>
      <w:rFonts w:hint="eastAsia" w:ascii="仿宋" w:hAnsi="仿宋" w:eastAsia="仿宋" w:cs="仿宋"/>
      <w:color w:val="000000"/>
      <w:sz w:val="24"/>
      <w:szCs w:val="24"/>
      <w:u w:val="none"/>
    </w:rPr>
  </w:style>
  <w:style w:type="paragraph" w:customStyle="1" w:styleId="122">
    <w:name w:val="图表注"/>
    <w:basedOn w:val="123"/>
    <w:qFormat/>
    <w:uiPriority w:val="0"/>
    <w:pPr>
      <w:spacing w:line="240" w:lineRule="auto"/>
      <w:ind w:firstLine="0" w:firstLineChars="0"/>
      <w:jc w:val="center"/>
    </w:pPr>
    <w:rPr>
      <w:rFonts w:eastAsia="Times New Roman"/>
      <w:sz w:val="21"/>
    </w:rPr>
  </w:style>
  <w:style w:type="paragraph" w:customStyle="1" w:styleId="123">
    <w:name w:val="正文new"/>
    <w:basedOn w:val="1"/>
    <w:qFormat/>
    <w:uiPriority w:val="0"/>
    <w:pPr>
      <w:spacing w:line="400" w:lineRule="exact"/>
    </w:pPr>
    <w:rPr>
      <w:rFonts w:eastAsia="宋体"/>
      <w:szCs w:val="24"/>
    </w:rPr>
  </w:style>
  <w:style w:type="character" w:customStyle="1" w:styleId="124">
    <w:name w:val="font01"/>
    <w:basedOn w:val="29"/>
    <w:qFormat/>
    <w:uiPriority w:val="0"/>
    <w:rPr>
      <w:rFonts w:hint="eastAsia" w:ascii="宋体" w:hAnsi="宋体" w:eastAsia="宋体" w:cs="宋体"/>
      <w:color w:val="000000"/>
      <w:sz w:val="24"/>
      <w:szCs w:val="24"/>
      <w:u w:val="none"/>
    </w:rPr>
  </w:style>
  <w:style w:type="character" w:customStyle="1" w:styleId="125">
    <w:name w:val="font142"/>
    <w:basedOn w:val="29"/>
    <w:qFormat/>
    <w:uiPriority w:val="0"/>
    <w:rPr>
      <w:rFonts w:hint="default" w:ascii="Times New Roman" w:hAnsi="Times New Roman" w:cs="Times New Roman"/>
      <w:color w:val="000000"/>
      <w:sz w:val="28"/>
      <w:szCs w:val="2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357</Words>
  <Characters>370</Characters>
  <Lines>1</Lines>
  <Paragraphs>1</Paragraphs>
  <TotalTime>26</TotalTime>
  <ScaleCrop>false</ScaleCrop>
  <LinksUpToDate>false</LinksUpToDate>
  <CharactersWithSpaces>467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2025-06-14T05:23:00Z</dcterms:created>
  <dc:creator>wei zhang</dc:creator>
  <cp:lastModifiedBy>ht706</cp:lastModifiedBy>
  <cp:lastPrinted>2026-02-10T10:48:00Z</cp:lastPrinted>
  <dcterms:modified xsi:type="dcterms:W3CDTF">2026-07-03T16:51:13Z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eyJoZGlkIjoiNjEyN2E3Mjk0OTZmMGRiMGQ3OGVkOGMyZDQ3ZTk0OTkiLCJ1c2VySWQiOiI0MDE5NzcyOTgifQ==</vt:lpwstr>
  </property>
  <property fmtid="{D5CDD505-2E9C-101B-9397-08002B2CF9AE}" pid="3" name="KSOProductBuildVer">
    <vt:lpwstr>2052-11.8.2.1127</vt:lpwstr>
  </property>
  <property fmtid="{D5CDD505-2E9C-101B-9397-08002B2CF9AE}" pid="4" name="ICV">
    <vt:lpwstr>9F2039394311418E9B9B42737A98227F_13</vt:lpwstr>
  </property>
  <property fmtid="{D5CDD505-2E9C-101B-9397-08002B2CF9AE}" pid="5" name="hmcheck_markmode">
    <vt:i4>0</vt:i4>
  </property>
  <property fmtid="{D5CDD505-2E9C-101B-9397-08002B2CF9AE}" pid="6" name="hmcheck_taskpanetype">
    <vt:i4>1</vt:i4>
  </property>
</Properties>
</file>