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楷体_GB2312" w:eastAsia="楷体_GB2312" w:cs="楷体_GB2312" w:hAnsi="楷体_GB2312" w:hint="eastAsia"/>
          <w:sz w:val="32"/>
          <w:szCs w:val="32"/>
          <w:lang w:val="en-US" w:eastAsia="zh-CN"/>
        </w:rPr>
      </w:pPr>
      <w:r>
        <w:rPr>
          <w:rFonts w:ascii="楷体_GB2312" w:eastAsia="楷体_GB2312" w:cs="楷体_GB2312" w:hAnsi="楷体_GB2312" w:hint="eastAsia"/>
          <w:sz w:val="32"/>
          <w:szCs w:val="32"/>
          <w:lang w:eastAsia="zh-CN"/>
        </w:rPr>
        <w:t>附件</w:t>
      </w:r>
      <w:r>
        <w:rPr>
          <w:rFonts w:ascii="楷体_GB2312" w:eastAsia="楷体_GB2312" w:cs="楷体_GB2312" w:hAnsi="楷体_GB2312" w:hint="eastAsia"/>
          <w:sz w:val="32"/>
          <w:szCs w:val="32"/>
          <w:lang w:val="en-US" w:eastAsia="zh-CN"/>
        </w:rPr>
        <w:t>1:</w:t>
      </w:r>
    </w:p>
    <w:p>
      <w:pPr>
        <w:spacing w:line="560" w:lineRule="exact"/>
        <w:jc w:val="center"/>
        <w:rPr>
          <w:rFonts w:ascii="Times New Roman" w:eastAsia="方正小标宋简体" w:cs="Times New Roman" w:hAnsi="Times New Roman"/>
          <w:color w:val="auto"/>
          <w:sz w:val="44"/>
          <w:szCs w:val="44"/>
          <w:lang w:val="en-US" w:eastAsia="zh-CN"/>
        </w:rPr>
      </w:pPr>
    </w:p>
    <w:p>
      <w:pPr>
        <w:spacing w:line="560" w:lineRule="exact"/>
        <w:jc w:val="center"/>
        <w:rPr>
          <w:rFonts w:ascii="Times New Roman" w:eastAsia="方正小标宋简体" w:cs="Times New Roman" w:hAnsi="Times New Roman"/>
          <w:color w:val="auto"/>
          <w:sz w:val="44"/>
          <w:szCs w:val="44"/>
          <w:lang w:val="en-US" w:eastAsia="zh-CN"/>
        </w:rPr>
      </w:pPr>
      <w:r>
        <w:rPr>
          <w:rFonts w:ascii="Times New Roman" w:eastAsia="方正小标宋简体" w:cs="Times New Roman" w:hAnsi="Times New Roman"/>
          <w:color w:val="auto"/>
          <w:sz w:val="44"/>
          <w:szCs w:val="44"/>
          <w:lang w:val="en-US" w:eastAsia="zh-CN"/>
        </w:rPr>
        <w:t>关于划定禁止使用高排放非道路移动机械</w:t>
      </w:r>
    </w:p>
    <w:p>
      <w:pPr>
        <w:spacing w:line="560" w:lineRule="exact"/>
        <w:jc w:val="center"/>
        <w:rPr>
          <w:rFonts w:ascii="Times New Roman" w:eastAsia="方正小标宋简体" w:cs="Times New Roman" w:hAnsi="Times New Roman"/>
          <w:sz w:val="44"/>
          <w:szCs w:val="44"/>
        </w:rPr>
      </w:pPr>
      <w:r>
        <w:rPr>
          <w:rFonts w:ascii="Times New Roman" w:eastAsia="方正小标宋简体" w:cs="Times New Roman" w:hAnsi="Times New Roman"/>
          <w:color w:val="auto"/>
          <w:sz w:val="44"/>
          <w:szCs w:val="44"/>
          <w:lang w:val="en-US" w:eastAsia="zh-CN"/>
        </w:rPr>
        <w:t>区域的通告</w:t>
      </w:r>
    </w:p>
    <w:p>
      <w:pPr>
        <w:spacing w:line="560" w:lineRule="exact"/>
        <w:jc w:val="center"/>
        <w:rPr>
          <w:rFonts w:ascii="Times New Roman" w:eastAsia="楷体" w:cs="Times New Roman" w:hAnsi="Times New Roman"/>
          <w:color w:val="auto"/>
          <w:sz w:val="32"/>
          <w:szCs w:val="32"/>
          <w:lang w:val="en-US" w:eastAsia="zh-CN"/>
        </w:rPr>
      </w:pPr>
      <w:r>
        <w:rPr>
          <w:rFonts w:ascii="Times New Roman" w:eastAsia="楷体" w:cs="Times New Roman" w:hAnsi="Times New Roman"/>
          <w:color w:val="auto"/>
          <w:sz w:val="32"/>
          <w:szCs w:val="32"/>
          <w:lang w:val="en-US" w:eastAsia="zh-CN"/>
        </w:rPr>
        <w:t>（</w:t>
      </w:r>
      <w:r>
        <w:rPr>
          <w:rFonts w:ascii="Times New Roman" w:cs="Times New Roman" w:hAnsi="Times New Roman" w:hint="eastAsia"/>
          <w:color w:val="auto"/>
          <w:sz w:val="32"/>
          <w:szCs w:val="32"/>
          <w:lang w:val="en-US" w:eastAsia="zh-CN"/>
        </w:rPr>
        <w:t>代拟</w:t>
      </w:r>
      <w:r>
        <w:rPr>
          <w:rFonts w:ascii="Times New Roman" w:eastAsia="楷体" w:cs="Times New Roman" w:hAnsi="Times New Roman"/>
          <w:color w:val="auto"/>
          <w:sz w:val="32"/>
          <w:szCs w:val="32"/>
          <w:lang w:val="en-US" w:eastAsia="zh-CN"/>
        </w:rPr>
        <w:t>稿）</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仿宋_GB2312" w:cs="Times New Roman" w:hAnsi="Times New Roman"/>
          <w:lang w:val="en-US" w:eastAsia="zh-CN"/>
        </w:rPr>
      </w:pPr>
      <w:r>
        <w:rPr>
          <w:rFonts w:ascii="Times New Roman" w:eastAsia="仿宋_GB2312" w:cs="Times New Roman" w:hAnsi="Times New Roman"/>
        </w:rPr>
        <w:t>为进一步减少非道路移动机械污染物排放，深入打好污染防治攻坚战，持续改善</w:t>
      </w:r>
      <w:r>
        <w:rPr>
          <w:rFonts w:ascii="Times New Roman" w:eastAsia="仿宋_GB2312" w:cs="Times New Roman" w:hAnsi="Times New Roman"/>
          <w:lang w:val="en-US" w:eastAsia="zh-CN"/>
        </w:rPr>
        <w:t>我市</w:t>
      </w:r>
      <w:r>
        <w:rPr>
          <w:rFonts w:ascii="Times New Roman" w:eastAsia="仿宋_GB2312" w:cs="Times New Roman" w:hAnsi="Times New Roman"/>
        </w:rPr>
        <w:t>空气质量，依据相关法律法规及有关规定，市政府决定，在本市相关区域禁止使用高排放非道路移动机械。现就有关事项通告如下：</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仿宋_GB2312" w:cs="Times New Roman" w:hAnsi="Times New Roman"/>
          <w:b w:val="0"/>
          <w:bCs w:val="0"/>
          <w:kern w:val="2"/>
          <w:sz w:val="32"/>
          <w:szCs w:val="32"/>
          <w:lang w:val="en-US" w:eastAsia="zh-CN" w:bidi="ar-SA"/>
        </w:rPr>
      </w:pPr>
      <w:r>
        <w:rPr>
          <w:rFonts w:ascii="Times New Roman" w:eastAsia="黑体" w:cs="Times New Roman" w:hAnsi="Times New Roman"/>
          <w:lang w:val="en-US" w:eastAsia="zh-CN"/>
        </w:rPr>
        <w:t>一、</w:t>
      </w:r>
      <w:r>
        <w:rPr>
          <w:rFonts w:ascii="Times New Roman" w:eastAsia="黑体" w:cs="Times New Roman" w:hAnsi="Times New Roman"/>
          <w:lang w:val="en-US" w:eastAsia="zh-CN" w:bidi="ar-SA"/>
        </w:rPr>
        <w:t>高排放非道路移动机械界定</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仿宋_GB2312" w:cs="Times New Roman" w:hAnsi="Times New Roman"/>
          <w:b w:val="0"/>
          <w:bCs w:val="0"/>
          <w:kern w:val="2"/>
          <w:sz w:val="32"/>
          <w:szCs w:val="32"/>
          <w:lang w:val="en-US" w:eastAsia="zh-CN" w:bidi="ar-SA"/>
        </w:rPr>
      </w:pPr>
      <w:r>
        <w:rPr>
          <w:rFonts w:ascii="Times New Roman" w:eastAsia="仿宋_GB2312" w:cs="Times New Roman" w:hAnsi="Times New Roman"/>
          <w:b w:val="0"/>
          <w:bCs w:val="0"/>
          <w:kern w:val="2"/>
          <w:sz w:val="32"/>
          <w:szCs w:val="32"/>
          <w:lang w:val="en-US" w:eastAsia="zh-CN" w:bidi="ar-SA"/>
        </w:rPr>
        <w:t>（一）《非道路移动机械用柴油机排气污染物排放限值及测量方法（中国Ⅰ、Ⅱ阶段）》（GB20891－2007）中国Ⅰ及以下排放标准（含2009年10月1日前生产的编码登记为X阶段）的非道路移动机械（以下简称国Ⅰ及以下标准机械）；</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仿宋_GB2312" w:cs="Times New Roman" w:hAnsi="Times New Roman"/>
          <w:b w:val="0"/>
          <w:bCs w:val="0"/>
          <w:kern w:val="2"/>
          <w:sz w:val="32"/>
          <w:szCs w:val="32"/>
          <w:lang w:val="en-US" w:eastAsia="zh-CN" w:bidi="ar-SA"/>
        </w:rPr>
      </w:pPr>
      <w:r>
        <w:rPr>
          <w:rFonts w:ascii="Times New Roman" w:eastAsia="仿宋_GB2312" w:cs="Times New Roman" w:hAnsi="Times New Roman"/>
          <w:b w:val="0"/>
          <w:bCs w:val="0"/>
          <w:kern w:val="2"/>
          <w:sz w:val="32"/>
          <w:szCs w:val="32"/>
          <w:lang w:val="en-US" w:eastAsia="zh-CN" w:bidi="ar-SA"/>
        </w:rPr>
        <w:t>（二）《非道路移动机械用柴油机排气污染物排放限值及测量方法（中国Ⅰ、Ⅱ阶段）》（GB20891－2007）中国Ⅱ及以下排放标准（含2009年10月1日至2016年3月31日期间生产的编码登记为X阶段）的非道路移动机械（以下简称国Ⅱ及以下标准机械）；</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仿宋_GB2312" w:cs="Times New Roman" w:hAnsi="Times New Roman"/>
          <w:b w:val="0"/>
          <w:bCs w:val="0"/>
          <w:kern w:val="2"/>
          <w:sz w:val="32"/>
          <w:szCs w:val="32"/>
          <w:lang w:val="en-US" w:eastAsia="zh-CN" w:bidi="ar-SA"/>
        </w:rPr>
      </w:pPr>
      <w:r>
        <w:rPr>
          <w:rFonts w:ascii="Times New Roman" w:eastAsia="仿宋_GB2312" w:cs="Times New Roman" w:hAnsi="Times New Roman"/>
          <w:b w:val="0"/>
          <w:bCs w:val="0"/>
          <w:kern w:val="2"/>
          <w:sz w:val="32"/>
          <w:szCs w:val="32"/>
          <w:lang w:val="en-US" w:eastAsia="zh-CN" w:bidi="ar-SA"/>
        </w:rPr>
        <w:t>（三）不符合《非道路柴油移动机械排气烟度限值及测量方法》（GB36886－2018）中Ⅲ类限值标准的非道路移动机械（以下简称不符合Ⅲ类限值机械）。</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黑体" w:cs="Times New Roman" w:hAnsi="Times New Roman"/>
          <w:b w:val="0"/>
          <w:bCs w:val="0"/>
          <w:sz w:val="32"/>
          <w:szCs w:val="32"/>
          <w:lang w:val="en-US" w:eastAsia="zh-CN"/>
        </w:rPr>
      </w:pPr>
      <w:r>
        <w:rPr>
          <w:rFonts w:ascii="Times New Roman" w:eastAsia="黑体" w:cs="Times New Roman" w:hAnsi="Times New Roman"/>
          <w:b w:val="0"/>
          <w:bCs w:val="0"/>
          <w:sz w:val="32"/>
          <w:szCs w:val="32"/>
          <w:lang w:val="en-US" w:eastAsia="zh-CN"/>
        </w:rPr>
        <w:t>二、禁止使用高排放非道路移动机械范围</w:t>
      </w:r>
    </w:p>
    <w:p>
      <w:pPr>
        <w:pStyle w:val="21"/>
        <w:spacing w:after="0" w:line="560" w:lineRule="exact"/>
        <w:ind w:leftChars="0" w:left="0"/>
        <w:rPr>
          <w:rFonts w:eastAsia="仿宋_GB2312" w:cs="Times New Roman"/>
          <w:lang w:val="en-US" w:eastAsia="zh-CN" w:bidi="ar-SA"/>
        </w:rPr>
      </w:pPr>
      <w:r>
        <w:rPr>
          <w:rFonts w:eastAsia="仿宋_GB2312" w:cs="Times New Roman"/>
          <w:kern w:val="2"/>
          <w:sz w:val="32"/>
          <w:szCs w:val="32"/>
          <w:lang w:val="en-US" w:eastAsia="zh-CN" w:bidi="ar-SA"/>
        </w:rPr>
        <w:t>本市禁用区划分为一类禁用区和二类禁用区。</w:t>
      </w:r>
    </w:p>
    <w:p>
      <w:pPr>
        <w:spacing w:line="560" w:lineRule="exact"/>
        <w:ind w:firstLineChars="200" w:firstLine="640"/>
        <w:rPr>
          <w:rFonts w:ascii="Times New Roman" w:eastAsia="楷体" w:cs="Times New Roman" w:hAnsi="Times New Roman"/>
          <w:lang w:val="en-US" w:eastAsia="zh-CN" w:bidi="ar-SA"/>
        </w:rPr>
      </w:pPr>
      <w:r>
        <w:rPr>
          <w:rFonts w:ascii="Times New Roman" w:eastAsia="楷体" w:cs="Times New Roman" w:hAnsi="Times New Roman"/>
          <w:lang w:val="en-US" w:eastAsia="zh-CN"/>
        </w:rPr>
        <w:t>（一）</w:t>
      </w:r>
      <w:r>
        <w:rPr>
          <w:rFonts w:ascii="Times New Roman" w:eastAsia="楷体" w:cs="Times New Roman" w:hAnsi="Times New Roman"/>
        </w:rPr>
        <w:t>一类禁用区范围</w:t>
      </w:r>
    </w:p>
    <w:p>
      <w:pPr>
        <w:keepNext w:val="0"/>
        <w:keepLines w:val="0"/>
        <w:pageBreakBefore w:val="0"/>
        <w:widowControl/>
        <w:kinsoku w:val="0"/>
        <w:wordWrap/>
        <w:overflowPunct/>
        <w:topLinePunct/>
        <w:autoSpaceDE w:val="0"/>
        <w:autoSpaceDN w:val="0"/>
        <w:adjustRightInd/>
        <w:snapToGrid/>
        <w:spacing w:line="560" w:lineRule="exact"/>
        <w:ind w:left="0" w:firstLineChars="200" w:firstLine="640"/>
        <w:textAlignment w:val="baseline"/>
        <w:rPr>
          <w:rFonts w:ascii="Times New Roman" w:eastAsia="仿宋_GB2312" w:cs="Times New Roman" w:hAnsi="Times New Roman"/>
        </w:rPr>
      </w:pPr>
      <w:r>
        <w:rPr>
          <w:rFonts w:ascii="Times New Roman" w:eastAsia="仿宋_GB2312" w:cs="Times New Roman" w:hAnsi="Times New Roman"/>
        </w:rPr>
        <w:t>海港区及秦皇岛开发区：山东堡路</w:t>
      </w:r>
      <w:r>
        <w:rPr>
          <w:rFonts w:ascii="Times New Roman" w:eastAsia="仿宋_GB2312" w:cs="Times New Roman" w:hAnsi="Times New Roman"/>
          <w:lang w:eastAsia="zh-CN"/>
        </w:rPr>
        <w:t>—</w:t>
      </w:r>
      <w:r>
        <w:rPr>
          <w:rFonts w:ascii="Times New Roman" w:eastAsia="仿宋_GB2312" w:cs="Times New Roman" w:hAnsi="Times New Roman"/>
        </w:rPr>
        <w:t>西部快速路</w:t>
      </w:r>
      <w:r>
        <w:rPr>
          <w:rFonts w:ascii="Times New Roman" w:eastAsia="仿宋_GB2312" w:cs="Times New Roman" w:hAnsi="Times New Roman"/>
          <w:lang w:eastAsia="zh-CN"/>
        </w:rPr>
        <w:t>—</w:t>
      </w:r>
      <w:r>
        <w:rPr>
          <w:rFonts w:ascii="Times New Roman" w:eastAsia="仿宋_GB2312" w:cs="Times New Roman" w:hAnsi="Times New Roman"/>
        </w:rPr>
        <w:t>兴凯湖路</w:t>
      </w:r>
      <w:r>
        <w:rPr>
          <w:rFonts w:ascii="Times New Roman" w:eastAsia="仿宋_GB2312" w:cs="Times New Roman" w:hAnsi="Times New Roman"/>
          <w:lang w:eastAsia="zh-CN"/>
        </w:rPr>
        <w:t>—</w:t>
      </w:r>
      <w:r>
        <w:rPr>
          <w:rFonts w:ascii="Times New Roman" w:eastAsia="仿宋_GB2312" w:cs="Times New Roman" w:hAnsi="Times New Roman"/>
        </w:rPr>
        <w:t>102国道</w:t>
      </w:r>
      <w:r>
        <w:rPr>
          <w:rFonts w:ascii="Times New Roman" w:eastAsia="仿宋_GB2312" w:cs="Times New Roman" w:hAnsi="Times New Roman"/>
          <w:lang w:eastAsia="zh-CN"/>
        </w:rPr>
        <w:t>—</w:t>
      </w:r>
      <w:r>
        <w:rPr>
          <w:rFonts w:ascii="Times New Roman" w:eastAsia="仿宋_GB2312" w:cs="Times New Roman" w:hAnsi="Times New Roman"/>
        </w:rPr>
        <w:t>北环路</w:t>
      </w:r>
      <w:r>
        <w:rPr>
          <w:rFonts w:ascii="Times New Roman" w:eastAsia="仿宋_GB2312" w:cs="Times New Roman" w:hAnsi="Times New Roman"/>
          <w:lang w:eastAsia="zh-CN"/>
        </w:rPr>
        <w:t>—</w:t>
      </w:r>
      <w:r>
        <w:rPr>
          <w:rFonts w:ascii="Times New Roman" w:eastAsia="仿宋_GB2312" w:cs="Times New Roman" w:hAnsi="Times New Roman"/>
        </w:rPr>
        <w:t>东港路</w:t>
      </w:r>
      <w:r>
        <w:rPr>
          <w:rFonts w:ascii="Times New Roman" w:eastAsia="仿宋_GB2312" w:cs="Times New Roman" w:hAnsi="Times New Roman"/>
          <w:lang w:eastAsia="zh-CN"/>
        </w:rPr>
        <w:t>—</w:t>
      </w:r>
      <w:r>
        <w:rPr>
          <w:rFonts w:ascii="Times New Roman" w:eastAsia="仿宋_GB2312" w:cs="Times New Roman" w:hAnsi="Times New Roman"/>
        </w:rPr>
        <w:t>港口医院合围以南区域（含秦皇岛港东、西港区)。</w:t>
      </w:r>
    </w:p>
    <w:p>
      <w:pPr>
        <w:keepNext w:val="0"/>
        <w:keepLines w:val="0"/>
        <w:pageBreakBefore w:val="0"/>
        <w:widowControl/>
        <w:kinsoku w:val="0"/>
        <w:wordWrap/>
        <w:overflowPunct/>
        <w:topLinePunct/>
        <w:autoSpaceDE w:val="0"/>
        <w:autoSpaceDN w:val="0"/>
        <w:adjustRightInd/>
        <w:snapToGrid/>
        <w:spacing w:line="560" w:lineRule="exact"/>
        <w:ind w:left="0" w:firstLineChars="200" w:firstLine="640"/>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北戴河区：剑秋路—联峰北路—滨海大道(赤土山大桥)合围以南区域。</w:t>
      </w:r>
    </w:p>
    <w:p>
      <w:pPr>
        <w:keepNext w:val="0"/>
        <w:keepLines w:val="0"/>
        <w:pageBreakBefore w:val="0"/>
        <w:widowControl/>
        <w:kinsoku w:val="0"/>
        <w:wordWrap/>
        <w:overflowPunct/>
        <w:topLinePunct/>
        <w:autoSpaceDE w:val="0"/>
        <w:autoSpaceDN w:val="0"/>
        <w:adjustRightInd/>
        <w:snapToGrid/>
        <w:spacing w:line="560" w:lineRule="exact"/>
        <w:ind w:left="0" w:firstLineChars="200" w:firstLine="640"/>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山海关区：石河路以东—关城北路（老102国道）以南—关城东路以西—228国道以北区域。</w:t>
      </w:r>
    </w:p>
    <w:p>
      <w:pPr>
        <w:keepNext w:val="0"/>
        <w:keepLines w:val="0"/>
        <w:pageBreakBefore w:val="0"/>
        <w:widowControl/>
        <w:kinsoku w:val="0"/>
        <w:wordWrap/>
        <w:overflowPunct/>
        <w:topLinePunct/>
        <w:autoSpaceDE w:val="0"/>
        <w:autoSpaceDN w:val="0"/>
        <w:adjustRightInd/>
        <w:snapToGrid/>
        <w:spacing w:line="560" w:lineRule="exact"/>
        <w:ind w:left="0" w:firstLineChars="200" w:firstLine="640"/>
        <w:textAlignment w:val="baseline"/>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rPr>
        <w:t>北戴河新区：</w:t>
      </w:r>
      <w:r>
        <w:rPr>
          <w:rFonts w:ascii="Times New Roman" w:eastAsia="仿宋_GB2312" w:cs="Times New Roman" w:hAnsi="Times New Roman"/>
          <w:sz w:val="32"/>
          <w:szCs w:val="32"/>
          <w:lang w:val="en-US" w:eastAsia="zh-CN"/>
        </w:rPr>
        <w:t>宁海道机场快速路桥以南—宁海道以东—戴河大街戴河桥以西—戴河大街洋河桥以东—环海路以北区域。</w:t>
      </w:r>
    </w:p>
    <w:p>
      <w:pPr>
        <w:keepNext w:val="0"/>
        <w:keepLines w:val="0"/>
        <w:pageBreakBefore w:val="0"/>
        <w:widowControl/>
        <w:kinsoku w:val="0"/>
        <w:wordWrap/>
        <w:overflowPunct/>
        <w:topLinePunct/>
        <w:autoSpaceDE w:val="0"/>
        <w:autoSpaceDN w:val="0"/>
        <w:adjustRightInd/>
        <w:snapToGrid/>
        <w:spacing w:line="560" w:lineRule="exact"/>
        <w:ind w:left="0" w:firstLineChars="200" w:firstLine="640"/>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抚宁区：</w:t>
      </w:r>
      <w:r>
        <w:rPr>
          <w:rFonts w:ascii="Times New Roman" w:eastAsia="仿宋_GB2312" w:cs="Times New Roman" w:hAnsi="Times New Roman"/>
          <w:b w:val="0"/>
          <w:bCs w:val="0"/>
          <w:color w:val="auto"/>
          <w:w w:val="100"/>
          <w:sz w:val="32"/>
          <w:szCs w:val="32"/>
          <w:lang w:val="en-US" w:eastAsia="zh-CN"/>
          <w:highlight w:val="none"/>
        </w:rPr>
        <w:t>滨河东路以东</w:t>
      </w:r>
      <w:r>
        <w:rPr>
          <w:rFonts w:ascii="Times New Roman" w:eastAsia="仿宋_GB2312" w:cs="Times New Roman" w:hAnsi="Times New Roman"/>
          <w:sz w:val="32"/>
          <w:szCs w:val="32"/>
          <w:lang w:val="en-US" w:eastAsia="zh-CN"/>
        </w:rPr>
        <w:t>—</w:t>
      </w:r>
      <w:r>
        <w:rPr>
          <w:rFonts w:ascii="Times New Roman" w:eastAsia="仿宋_GB2312" w:cs="Times New Roman" w:hAnsi="Times New Roman"/>
          <w:b w:val="0"/>
          <w:bCs w:val="0"/>
          <w:color w:val="auto"/>
          <w:w w:val="100"/>
          <w:sz w:val="32"/>
          <w:szCs w:val="32"/>
          <w:lang w:val="en-US" w:eastAsia="zh-CN"/>
          <w:highlight w:val="none"/>
        </w:rPr>
        <w:t>宁海大道以北</w:t>
      </w:r>
      <w:r>
        <w:rPr>
          <w:rFonts w:ascii="Times New Roman" w:eastAsia="仿宋_GB2312" w:cs="Times New Roman" w:hAnsi="Times New Roman"/>
          <w:sz w:val="32"/>
          <w:szCs w:val="32"/>
          <w:lang w:val="en-US" w:eastAsia="zh-CN"/>
        </w:rPr>
        <w:t>—</w:t>
      </w:r>
      <w:r>
        <w:rPr>
          <w:rFonts w:ascii="Times New Roman" w:eastAsia="仿宋_GB2312" w:cs="Times New Roman" w:hAnsi="Times New Roman"/>
          <w:b w:val="0"/>
          <w:bCs w:val="0"/>
          <w:color w:val="auto"/>
          <w:w w:val="100"/>
          <w:sz w:val="32"/>
          <w:szCs w:val="32"/>
          <w:lang w:val="en-US" w:eastAsia="zh-CN"/>
          <w:highlight w:val="none"/>
        </w:rPr>
        <w:t>环城东路以西</w:t>
      </w:r>
      <w:r>
        <w:rPr>
          <w:rFonts w:ascii="Times New Roman" w:eastAsia="仿宋_GB2312" w:cs="Times New Roman" w:hAnsi="Times New Roman"/>
          <w:sz w:val="32"/>
          <w:szCs w:val="32"/>
          <w:lang w:val="en-US" w:eastAsia="zh-CN"/>
        </w:rPr>
        <w:t>—</w:t>
      </w:r>
      <w:r>
        <w:rPr>
          <w:rFonts w:ascii="Times New Roman" w:eastAsia="仿宋_GB2312" w:cs="Times New Roman" w:hAnsi="Times New Roman"/>
          <w:b w:val="0"/>
          <w:bCs w:val="0"/>
          <w:color w:val="auto"/>
          <w:w w:val="100"/>
          <w:sz w:val="32"/>
          <w:szCs w:val="32"/>
          <w:lang w:val="en-US" w:eastAsia="zh-CN"/>
          <w:highlight w:val="none"/>
        </w:rPr>
        <w:t>骊城大街以南城区区域。</w:t>
      </w:r>
    </w:p>
    <w:p>
      <w:pPr>
        <w:keepNext w:val="0"/>
        <w:keepLines w:val="0"/>
        <w:pageBreakBefore w:val="0"/>
        <w:widowControl/>
        <w:kinsoku w:val="0"/>
        <w:wordWrap/>
        <w:overflowPunct/>
        <w:topLinePunct/>
        <w:autoSpaceDE w:val="0"/>
        <w:autoSpaceDN w:val="0"/>
        <w:adjustRightInd/>
        <w:snapToGrid/>
        <w:spacing w:line="560" w:lineRule="exact"/>
        <w:ind w:left="0" w:firstLineChars="200" w:firstLine="640"/>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昌黎县：以华夏为中心，五峰山路</w:t>
      </w:r>
      <w:r>
        <w:rPr>
          <w:rFonts w:ascii="Times New Roman" w:eastAsia="仿宋_GB2312" w:cs="Times New Roman" w:hAnsi="Times New Roman"/>
          <w:sz w:val="32"/>
          <w:szCs w:val="32"/>
          <w:lang w:val="en-US" w:eastAsia="zh-CN"/>
        </w:rPr>
        <w:t>以西—</w:t>
      </w:r>
      <w:r>
        <w:rPr>
          <w:rFonts w:ascii="Times New Roman" w:eastAsia="仿宋_GB2312" w:cs="Times New Roman" w:hAnsi="Times New Roman"/>
          <w:sz w:val="32"/>
          <w:szCs w:val="32"/>
        </w:rPr>
        <w:t>华夏酒庄厂界北侧</w:t>
      </w:r>
      <w:r>
        <w:rPr>
          <w:rFonts w:ascii="Times New Roman" w:eastAsia="仿宋_GB2312" w:cs="Times New Roman" w:hAnsi="Times New Roman"/>
          <w:sz w:val="32"/>
          <w:szCs w:val="32"/>
          <w:lang w:val="en-US" w:eastAsia="zh-CN"/>
        </w:rPr>
        <w:t>以南—</w:t>
      </w:r>
      <w:r>
        <w:rPr>
          <w:rFonts w:ascii="Times New Roman" w:eastAsia="仿宋_GB2312" w:cs="Times New Roman" w:hAnsi="Times New Roman"/>
          <w:sz w:val="32"/>
          <w:szCs w:val="32"/>
        </w:rPr>
        <w:t>华夏酒庄厂界西侧</w:t>
      </w:r>
      <w:r>
        <w:rPr>
          <w:rFonts w:ascii="Times New Roman" w:eastAsia="仿宋_GB2312" w:cs="Times New Roman" w:hAnsi="Times New Roman"/>
          <w:sz w:val="32"/>
          <w:szCs w:val="32"/>
          <w:lang w:val="en-US" w:eastAsia="zh-CN"/>
        </w:rPr>
        <w:t>以东—</w:t>
      </w:r>
      <w:r>
        <w:rPr>
          <w:rFonts w:ascii="Times New Roman" w:eastAsia="仿宋_GB2312" w:cs="Times New Roman" w:hAnsi="Times New Roman"/>
          <w:sz w:val="32"/>
          <w:szCs w:val="32"/>
        </w:rPr>
        <w:t>韩愈大街</w:t>
      </w:r>
      <w:r>
        <w:rPr>
          <w:rFonts w:ascii="Times New Roman" w:eastAsia="仿宋_GB2312" w:cs="Times New Roman" w:hAnsi="Times New Roman"/>
          <w:sz w:val="32"/>
          <w:szCs w:val="32"/>
          <w:lang w:val="en-US" w:eastAsia="zh-CN"/>
        </w:rPr>
        <w:t>以北区域</w:t>
      </w:r>
      <w:r>
        <w:rPr>
          <w:rFonts w:ascii="Times New Roman" w:eastAsia="仿宋_GB2312" w:cs="Times New Roman" w:hAnsi="Times New Roman"/>
          <w:sz w:val="32"/>
          <w:szCs w:val="32"/>
        </w:rPr>
        <w:t>；以昌黎一中为中心，仙台路</w:t>
      </w:r>
      <w:r>
        <w:rPr>
          <w:rFonts w:ascii="Times New Roman" w:eastAsia="仿宋_GB2312" w:cs="Times New Roman" w:hAnsi="Times New Roman"/>
          <w:sz w:val="32"/>
          <w:szCs w:val="32"/>
          <w:lang w:val="en-US" w:eastAsia="zh-CN"/>
        </w:rPr>
        <w:t>以西—</w:t>
      </w:r>
      <w:r>
        <w:rPr>
          <w:rFonts w:ascii="Times New Roman" w:eastAsia="仿宋_GB2312" w:cs="Times New Roman" w:hAnsi="Times New Roman"/>
          <w:sz w:val="32"/>
          <w:szCs w:val="32"/>
        </w:rPr>
        <w:t>韩愈大街</w:t>
      </w:r>
      <w:r>
        <w:rPr>
          <w:rFonts w:ascii="Times New Roman" w:eastAsia="仿宋_GB2312" w:cs="Times New Roman" w:hAnsi="Times New Roman"/>
          <w:sz w:val="32"/>
          <w:szCs w:val="32"/>
          <w:lang w:val="en-US" w:eastAsia="zh-CN"/>
        </w:rPr>
        <w:t>以南—</w:t>
      </w:r>
      <w:r>
        <w:rPr>
          <w:rFonts w:ascii="Times New Roman" w:eastAsia="仿宋_GB2312" w:cs="Times New Roman" w:hAnsi="Times New Roman"/>
          <w:sz w:val="32"/>
          <w:szCs w:val="32"/>
        </w:rPr>
        <w:t>西苑小区西侧</w:t>
      </w:r>
      <w:r>
        <w:rPr>
          <w:rFonts w:ascii="Times New Roman" w:eastAsia="仿宋_GB2312" w:cs="Times New Roman" w:hAnsi="Times New Roman"/>
          <w:sz w:val="32"/>
          <w:szCs w:val="32"/>
          <w:lang w:val="en-US" w:eastAsia="zh-CN"/>
        </w:rPr>
        <w:t>以东—</w:t>
      </w:r>
      <w:r>
        <w:rPr>
          <w:rFonts w:ascii="Times New Roman" w:eastAsia="仿宋_GB2312" w:cs="Times New Roman" w:hAnsi="Times New Roman"/>
          <w:sz w:val="32"/>
          <w:szCs w:val="32"/>
        </w:rPr>
        <w:t>碣阳大街</w:t>
      </w:r>
      <w:r>
        <w:rPr>
          <w:rFonts w:ascii="Times New Roman" w:eastAsia="仿宋_GB2312" w:cs="Times New Roman" w:hAnsi="Times New Roman"/>
          <w:sz w:val="32"/>
          <w:szCs w:val="32"/>
          <w:lang w:val="en-US" w:eastAsia="zh-CN"/>
        </w:rPr>
        <w:t>以北区域</w:t>
      </w:r>
      <w:r>
        <w:rPr>
          <w:rFonts w:ascii="Times New Roman" w:eastAsia="仿宋_GB2312" w:cs="Times New Roman" w:hAnsi="Times New Roman"/>
          <w:sz w:val="32"/>
          <w:szCs w:val="32"/>
        </w:rPr>
        <w:t>。</w:t>
      </w:r>
    </w:p>
    <w:p>
      <w:pPr>
        <w:keepNext w:val="0"/>
        <w:keepLines w:val="0"/>
        <w:pageBreakBefore w:val="0"/>
        <w:widowControl/>
        <w:kinsoku w:val="0"/>
        <w:wordWrap/>
        <w:overflowPunct/>
        <w:topLinePunct/>
        <w:autoSpaceDE w:val="0"/>
        <w:autoSpaceDN w:val="0"/>
        <w:adjustRightInd/>
        <w:snapToGrid/>
        <w:spacing w:line="560" w:lineRule="exact"/>
        <w:ind w:left="0" w:firstLineChars="200" w:firstLine="640"/>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卢龙县：</w:t>
      </w:r>
      <w:r>
        <w:rPr>
          <w:rFonts w:ascii="Times New Roman" w:eastAsia="仿宋_GB2312" w:cs="Times New Roman" w:hAnsi="Times New Roman"/>
          <w:sz w:val="32"/>
          <w:szCs w:val="32"/>
          <w:lang w:val="en-US" w:eastAsia="zh-CN"/>
          <w:highlight w:val="none"/>
        </w:rPr>
        <w:t>开六路以西</w:t>
      </w:r>
      <w:r>
        <w:rPr>
          <w:rFonts w:ascii="Times New Roman" w:eastAsia="仿宋_GB2312" w:cs="Times New Roman" w:hAnsi="Times New Roman"/>
          <w:sz w:val="32"/>
          <w:szCs w:val="32"/>
          <w:lang w:val="en-US" w:eastAsia="zh-CN"/>
        </w:rPr>
        <w:t>—</w:t>
      </w:r>
      <w:r>
        <w:rPr>
          <w:rFonts w:ascii="Times New Roman" w:eastAsia="仿宋_GB2312" w:cs="Times New Roman" w:hAnsi="Times New Roman"/>
          <w:sz w:val="32"/>
          <w:szCs w:val="32"/>
          <w:lang w:val="en-US" w:eastAsia="zh-CN"/>
          <w:highlight w:val="none"/>
        </w:rPr>
        <w:t>新102国道以北</w:t>
      </w:r>
      <w:r>
        <w:rPr>
          <w:rFonts w:ascii="Times New Roman" w:eastAsia="仿宋_GB2312" w:cs="Times New Roman" w:hAnsi="Times New Roman"/>
          <w:sz w:val="32"/>
          <w:szCs w:val="32"/>
          <w:lang w:val="en-US" w:eastAsia="zh-CN"/>
        </w:rPr>
        <w:t>—</w:t>
      </w:r>
      <w:r>
        <w:rPr>
          <w:rFonts w:ascii="Times New Roman" w:eastAsia="仿宋_GB2312" w:cs="Times New Roman" w:hAnsi="Times New Roman"/>
          <w:sz w:val="32"/>
          <w:szCs w:val="32"/>
          <w:lang w:val="en-US" w:eastAsia="zh-CN"/>
          <w:highlight w:val="none"/>
        </w:rPr>
        <w:t>花溪路以东</w:t>
      </w:r>
      <w:r>
        <w:rPr>
          <w:rFonts w:ascii="Times New Roman" w:eastAsia="仿宋_GB2312" w:cs="Times New Roman" w:hAnsi="Times New Roman"/>
          <w:sz w:val="32"/>
          <w:szCs w:val="32"/>
          <w:lang w:val="en-US" w:eastAsia="zh-CN"/>
        </w:rPr>
        <w:t>—</w:t>
      </w:r>
      <w:r>
        <w:rPr>
          <w:rFonts w:ascii="Times New Roman" w:eastAsia="仿宋_GB2312" w:cs="Times New Roman" w:hAnsi="Times New Roman"/>
          <w:sz w:val="32"/>
          <w:szCs w:val="32"/>
          <w:lang w:val="en-US" w:eastAsia="zh-CN"/>
          <w:highlight w:val="none"/>
        </w:rPr>
        <w:t>京哈高速以南合围区域。</w:t>
      </w:r>
    </w:p>
    <w:p>
      <w:pPr>
        <w:keepNext w:val="0"/>
        <w:keepLines w:val="0"/>
        <w:pageBreakBefore w:val="0"/>
        <w:widowControl/>
        <w:kinsoku w:val="0"/>
        <w:wordWrap/>
        <w:overflowPunct/>
        <w:topLinePunct/>
        <w:autoSpaceDE w:val="0"/>
        <w:autoSpaceDN w:val="0"/>
        <w:adjustRightInd/>
        <w:snapToGrid/>
        <w:spacing w:line="560" w:lineRule="exact"/>
        <w:ind w:left="0" w:firstLineChars="200" w:firstLine="640"/>
        <w:textAlignment w:val="baseline"/>
        <w:rPr>
          <w:rFonts w:ascii="Times New Roman" w:eastAsia="仿宋_GB2312" w:cs="Times New Roman" w:hAnsi="Times New Roman"/>
          <w:sz w:val="32"/>
          <w:szCs w:val="32"/>
          <w:lang w:eastAsia="zh-CN"/>
        </w:rPr>
      </w:pPr>
      <w:r>
        <w:rPr>
          <w:rFonts w:ascii="Times New Roman" w:eastAsia="仿宋_GB2312" w:cs="Times New Roman" w:hAnsi="Times New Roman"/>
          <w:sz w:val="32"/>
          <w:szCs w:val="32"/>
        </w:rPr>
        <w:t>青龙满族自治县</w:t>
      </w:r>
      <w:r>
        <w:rPr>
          <w:rFonts w:ascii="Times New Roman" w:eastAsia="仿宋_GB2312" w:cs="Times New Roman" w:hAnsi="Times New Roman"/>
          <w:lang w:val="en-US" w:eastAsia="zh-CN" w:bidi="ar-SA"/>
        </w:rPr>
        <w:t>：承秦高速以南</w:t>
      </w:r>
      <w:r>
        <w:rPr>
          <w:rFonts w:ascii="Times New Roman" w:eastAsia="仿宋_GB2312" w:cs="Times New Roman" w:hAnsi="Times New Roman"/>
          <w:sz w:val="32"/>
          <w:szCs w:val="32"/>
          <w:lang w:val="en-US" w:eastAsia="zh-CN"/>
        </w:rPr>
        <w:t>—</w:t>
      </w:r>
      <w:r>
        <w:rPr>
          <w:rFonts w:ascii="Times New Roman" w:eastAsia="仿宋_GB2312" w:cs="Times New Roman" w:hAnsi="Times New Roman"/>
          <w:lang w:val="en-US" w:eastAsia="zh-CN" w:bidi="ar-SA"/>
        </w:rPr>
        <w:t>响水沟村路口以东</w:t>
      </w:r>
      <w:r>
        <w:rPr>
          <w:rFonts w:ascii="Times New Roman" w:eastAsia="仿宋_GB2312" w:cs="Times New Roman" w:hAnsi="Times New Roman"/>
          <w:sz w:val="32"/>
          <w:szCs w:val="32"/>
          <w:lang w:val="en-US" w:eastAsia="zh-CN"/>
        </w:rPr>
        <w:t>—</w:t>
      </w:r>
      <w:r>
        <w:rPr>
          <w:rFonts w:ascii="Times New Roman" w:eastAsia="仿宋_GB2312" w:cs="Times New Roman" w:hAnsi="Times New Roman"/>
          <w:lang w:val="en-US" w:eastAsia="zh-CN" w:bidi="ar-SA"/>
        </w:rPr>
        <w:t>广茶山村青龙恒力玻璃纤维有限公司以西</w:t>
      </w:r>
      <w:r>
        <w:rPr>
          <w:rFonts w:ascii="Times New Roman" w:eastAsia="仿宋_GB2312" w:cs="Times New Roman" w:hAnsi="Times New Roman"/>
          <w:sz w:val="32"/>
          <w:szCs w:val="32"/>
          <w:lang w:val="en-US" w:eastAsia="zh-CN"/>
        </w:rPr>
        <w:t>—</w:t>
      </w:r>
      <w:r>
        <w:rPr>
          <w:rFonts w:ascii="Times New Roman" w:eastAsia="仿宋_GB2312" w:cs="Times New Roman" w:hAnsi="Times New Roman"/>
          <w:lang w:val="en-US" w:eastAsia="zh-CN" w:bidi="ar-SA"/>
        </w:rPr>
        <w:t>高速连接线以北区域。</w:t>
      </w:r>
    </w:p>
    <w:p>
      <w:pPr>
        <w:spacing w:line="560" w:lineRule="exact"/>
        <w:ind w:firstLineChars="200" w:firstLine="640"/>
        <w:rPr>
          <w:rFonts w:ascii="Times New Roman" w:cs="Times New Roman" w:hAnsi="Times New Roman"/>
        </w:rPr>
      </w:pPr>
      <w:r>
        <w:rPr>
          <w:rFonts w:ascii="Times New Roman" w:cs="Times New Roman" w:hAnsi="Times New Roman"/>
        </w:rPr>
        <w:t>（二）二类禁用区范围</w:t>
      </w:r>
    </w:p>
    <w:p>
      <w:pPr>
        <w:spacing w:line="560" w:lineRule="exact"/>
        <w:ind w:firstLineChars="200" w:firstLine="640"/>
        <w:rPr>
          <w:rFonts w:ascii="Times New Roman" w:eastAsia="仿宋_GB2312" w:cs="Times New Roman" w:hAnsi="Times New Roman"/>
        </w:rPr>
      </w:pPr>
      <w:r>
        <w:rPr>
          <w:rFonts w:ascii="Times New Roman" w:eastAsia="仿宋_GB2312" w:cs="Times New Roman" w:hAnsi="Times New Roman"/>
        </w:rPr>
        <w:t>一类禁用区以外县区的城区建成区和施工工地、矿山、</w:t>
      </w:r>
      <w:r>
        <w:rPr>
          <w:rFonts w:ascii="Times New Roman" w:eastAsia="仿宋_GB2312" w:cs="Times New Roman" w:hAnsi="Times New Roman" w:hint="eastAsia"/>
          <w:lang w:eastAsia="zh-CN"/>
        </w:rPr>
        <w:t>港口、</w:t>
      </w:r>
      <w:r>
        <w:rPr>
          <w:rFonts w:ascii="Times New Roman" w:eastAsia="仿宋_GB2312" w:cs="Times New Roman" w:hAnsi="Times New Roman"/>
        </w:rPr>
        <w:t>机场、物流园区</w:t>
      </w:r>
      <w:r>
        <w:rPr>
          <w:rFonts w:ascii="Times New Roman" w:eastAsia="仿宋_GB2312" w:cs="Times New Roman" w:hAnsi="Times New Roman" w:hint="eastAsia"/>
          <w:lang w:eastAsia="zh-CN"/>
        </w:rPr>
        <w:t>、铁路货场等重点场所</w:t>
      </w:r>
      <w:r>
        <w:rPr>
          <w:rFonts w:ascii="Times New Roman" w:eastAsia="仿宋_GB2312" w:cs="Times New Roman" w:hAnsi="Times New Roman"/>
        </w:rPr>
        <w:t>。</w:t>
      </w:r>
    </w:p>
    <w:p>
      <w:pPr>
        <w:spacing w:line="560" w:lineRule="exact"/>
        <w:ind w:firstLineChars="200" w:firstLine="640"/>
        <w:rPr>
          <w:rFonts w:ascii="Times New Roman" w:eastAsia="黑体" w:cs="Times New Roman" w:hAnsi="Times New Roman"/>
        </w:rPr>
      </w:pPr>
      <w:r>
        <w:rPr>
          <w:rFonts w:ascii="Times New Roman" w:eastAsia="黑体" w:cs="Times New Roman" w:hAnsi="Times New Roman"/>
        </w:rPr>
        <w:t>三、管理要求</w:t>
      </w:r>
    </w:p>
    <w:p>
      <w:pPr>
        <w:pStyle w:val="21"/>
        <w:spacing w:after="0" w:line="560" w:lineRule="exact"/>
        <w:ind w:leftChars="0" w:left="0"/>
        <w:rPr>
          <w:rFonts w:eastAsia="仿宋_GB2312" w:cs="Times New Roman"/>
          <w:kern w:val="2"/>
          <w:sz w:val="32"/>
          <w:szCs w:val="32"/>
          <w:lang w:val="en-US" w:eastAsia="zh-CN" w:bidi="ar-SA"/>
        </w:rPr>
      </w:pPr>
      <w:r>
        <w:rPr>
          <w:rFonts w:eastAsia="仿宋_GB2312" w:cs="Times New Roman"/>
          <w:kern w:val="2"/>
          <w:sz w:val="32"/>
          <w:szCs w:val="32"/>
          <w:lang w:val="en-US" w:eastAsia="zh-CN" w:bidi="ar-SA"/>
        </w:rPr>
        <w:t>（一）自2026年7月1日起，本市所有区域禁止使用国</w:t>
      </w:r>
      <w:r>
        <w:rPr>
          <w:rFonts w:ascii="Times New Roman" w:eastAsia="仿宋_GB2312" w:cs="Times New Roman" w:hAnsi="Times New Roman"/>
          <w:kern w:val="2"/>
          <w:sz w:val="32"/>
          <w:szCs w:val="32"/>
          <w:lang w:val="en-US" w:eastAsia="zh-CN" w:bidi="ar-SA"/>
        </w:rPr>
        <w:t>Ⅰ</w:t>
      </w:r>
      <w:r>
        <w:rPr>
          <w:rFonts w:eastAsia="仿宋_GB2312" w:cs="Times New Roman"/>
          <w:kern w:val="2"/>
          <w:sz w:val="32"/>
          <w:szCs w:val="32"/>
          <w:lang w:val="en-US" w:eastAsia="zh-CN" w:bidi="ar-SA"/>
        </w:rPr>
        <w:t>及以下标准机械，一类禁用区禁止使用国</w:t>
      </w:r>
      <w:r>
        <w:rPr>
          <w:rFonts w:ascii="Times New Roman" w:eastAsia="仿宋_GB2312" w:cs="Times New Roman" w:hAnsi="Times New Roman"/>
          <w:kern w:val="2"/>
          <w:sz w:val="32"/>
          <w:szCs w:val="32"/>
          <w:lang w:val="en-US" w:eastAsia="zh-CN" w:bidi="ar-SA"/>
        </w:rPr>
        <w:t>Ⅱ</w:t>
      </w:r>
      <w:r>
        <w:rPr>
          <w:rFonts w:eastAsia="仿宋_GB2312" w:cs="Times New Roman"/>
          <w:kern w:val="2"/>
          <w:sz w:val="32"/>
          <w:szCs w:val="32"/>
          <w:lang w:val="en-US" w:eastAsia="zh-CN" w:bidi="ar-SA"/>
        </w:rPr>
        <w:t>及以下标准机械或不符合</w:t>
      </w:r>
      <w:r>
        <w:rPr>
          <w:rFonts w:ascii="Times New Roman" w:eastAsia="仿宋_GB2312" w:cs="Times New Roman" w:hAnsi="Times New Roman"/>
          <w:kern w:val="2"/>
          <w:sz w:val="32"/>
          <w:szCs w:val="32"/>
          <w:lang w:val="en-US" w:eastAsia="zh-CN" w:bidi="ar-SA"/>
        </w:rPr>
        <w:t>Ⅲ</w:t>
      </w:r>
      <w:r>
        <w:rPr>
          <w:rFonts w:eastAsia="仿宋_GB2312" w:cs="Times New Roman"/>
          <w:kern w:val="2"/>
          <w:sz w:val="32"/>
          <w:szCs w:val="32"/>
          <w:lang w:val="en-US" w:eastAsia="zh-CN" w:bidi="ar-SA"/>
        </w:rPr>
        <w:t>类限值机械；自2026年</w:t>
      </w:r>
      <w:r>
        <w:rPr>
          <w:rFonts w:eastAsia="仿宋_GB2312" w:cs="Times New Roman" w:hint="eastAsia"/>
          <w:kern w:val="2"/>
          <w:sz w:val="32"/>
          <w:szCs w:val="32"/>
          <w:lang w:val="en-US" w:eastAsia="zh-CN" w:bidi="ar-SA"/>
        </w:rPr>
        <w:t>10</w:t>
      </w:r>
      <w:r>
        <w:rPr>
          <w:rFonts w:eastAsia="仿宋_GB2312" w:cs="Times New Roman"/>
          <w:kern w:val="2"/>
          <w:sz w:val="32"/>
          <w:szCs w:val="32"/>
          <w:lang w:val="en-US" w:eastAsia="zh-CN" w:bidi="ar-SA"/>
        </w:rPr>
        <w:t>月1日起，二类禁用区禁止使用国</w:t>
      </w:r>
      <w:r>
        <w:rPr>
          <w:rFonts w:ascii="Times New Roman" w:eastAsia="仿宋_GB2312" w:cs="Times New Roman" w:hAnsi="Times New Roman"/>
          <w:kern w:val="2"/>
          <w:sz w:val="32"/>
          <w:szCs w:val="32"/>
          <w:lang w:val="en-US" w:eastAsia="zh-CN" w:bidi="ar-SA"/>
        </w:rPr>
        <w:t>Ⅱ</w:t>
      </w:r>
      <w:r>
        <w:rPr>
          <w:rFonts w:eastAsia="仿宋_GB2312" w:cs="Times New Roman"/>
          <w:kern w:val="2"/>
          <w:sz w:val="32"/>
          <w:szCs w:val="32"/>
          <w:lang w:val="en-US" w:eastAsia="zh-CN" w:bidi="ar-SA"/>
        </w:rPr>
        <w:t>及以下标准机械或不符合</w:t>
      </w:r>
      <w:r>
        <w:rPr>
          <w:rFonts w:ascii="Times New Roman" w:eastAsia="仿宋_GB2312" w:cs="Times New Roman" w:hAnsi="Times New Roman" w:hint="eastAsia"/>
          <w:kern w:val="2"/>
          <w:sz w:val="32"/>
          <w:szCs w:val="32"/>
          <w:lang w:val="en-US" w:eastAsia="zh-CN" w:bidi="ar-SA"/>
        </w:rPr>
        <w:t>Ⅲ</w:t>
      </w:r>
      <w:r>
        <w:rPr>
          <w:rFonts w:eastAsia="仿宋_GB2312" w:cs="Times New Roman"/>
          <w:kern w:val="2"/>
          <w:sz w:val="32"/>
          <w:szCs w:val="32"/>
          <w:lang w:val="en-US" w:eastAsia="zh-CN" w:bidi="ar-SA"/>
        </w:rPr>
        <w:t>类限值机械。</w:t>
      </w:r>
    </w:p>
    <w:p>
      <w:pPr>
        <w:pStyle w:val="21"/>
        <w:spacing w:after="0" w:line="560" w:lineRule="exact"/>
        <w:ind w:leftChars="0" w:left="0"/>
        <w:rPr>
          <w:rFonts w:eastAsia="仿宋_GB2312" w:cs="Times New Roman"/>
          <w:kern w:val="2"/>
          <w:sz w:val="32"/>
          <w:szCs w:val="32"/>
          <w:lang w:val="en-US" w:eastAsia="zh-CN" w:bidi="ar-SA"/>
        </w:rPr>
      </w:pPr>
      <w:r>
        <w:rPr>
          <w:rFonts w:eastAsia="仿宋_GB2312" w:cs="Times New Roman"/>
          <w:kern w:val="2"/>
          <w:sz w:val="32"/>
          <w:szCs w:val="32"/>
          <w:lang w:val="en-US" w:eastAsia="zh-CN" w:bidi="ar-SA"/>
        </w:rPr>
        <w:t>（二）鼓励使用电动或氢燃料电池非道路移动机械。</w:t>
      </w:r>
    </w:p>
    <w:p>
      <w:pPr>
        <w:spacing w:line="560" w:lineRule="exact"/>
        <w:rPr>
          <w:rFonts w:ascii="Times New Roman" w:cs="Times New Roman" w:hAnsi="Times New Roman"/>
        </w:rPr>
      </w:pPr>
      <w:r>
        <w:rPr>
          <w:rFonts w:ascii="Times New Roman" w:cs="Times New Roman" w:hAnsi="Times New Roman"/>
        </w:rPr>
        <w:t xml:space="preserve">    </w:t>
      </w:r>
      <w:r>
        <w:rPr>
          <w:rFonts w:ascii="Times New Roman" w:eastAsia="仿宋_GB2312" w:cs="Times New Roman" w:hAnsi="Times New Roman"/>
        </w:rPr>
        <w:t>（三）</w:t>
      </w:r>
      <w:r>
        <w:rPr>
          <w:rFonts w:ascii="Times New Roman" w:eastAsia="仿宋_GB2312" w:cs="Times New Roman" w:hAnsi="Times New Roman"/>
          <w:b w:val="0"/>
          <w:bCs w:val="0"/>
          <w:kern w:val="2"/>
          <w:sz w:val="32"/>
          <w:szCs w:val="32"/>
          <w:lang w:val="en-US" w:eastAsia="zh-CN" w:bidi="ar-SA"/>
        </w:rPr>
        <w:t>用于应急、抢险、农业生产等情形的非道路移动机械不受上述要求限制</w:t>
      </w:r>
      <w:r>
        <w:rPr>
          <w:rFonts w:ascii="Times New Roman" w:eastAsia="仿宋_GB2312" w:cs="Times New Roman" w:hAnsi="Times New Roman"/>
        </w:rPr>
        <w:t>。</w:t>
      </w:r>
    </w:p>
    <w:p>
      <w:pPr>
        <w:spacing w:line="560" w:lineRule="exact"/>
        <w:ind w:firstLineChars="200" w:firstLine="640"/>
        <w:rPr>
          <w:rFonts w:ascii="Times New Roman" w:eastAsia="仿宋_GB2312" w:cs="Times New Roman" w:hAnsi="Times New Roman"/>
          <w:kern w:val="2"/>
        </w:rPr>
      </w:pPr>
      <w:r>
        <w:rPr>
          <w:rFonts w:ascii="Times New Roman" w:eastAsia="仿宋_GB2312" w:cs="Times New Roman" w:hAnsi="Times New Roman"/>
          <w:kern w:val="2"/>
        </w:rPr>
        <w:t>（四）各县区和各有关部门要做好相关政策宣传解读，确保政策执行有序有力、落地落实。</w:t>
      </w:r>
    </w:p>
    <w:p>
      <w:pPr>
        <w:spacing w:line="560" w:lineRule="exact"/>
        <w:ind w:firstLineChars="200" w:firstLine="640"/>
        <w:rPr>
          <w:rFonts w:ascii="Times New Roman" w:eastAsia="黑体" w:cs="Times New Roman" w:hAnsi="Times New Roman"/>
          <w:sz w:val="32"/>
        </w:rPr>
      </w:pPr>
      <w:r>
        <w:rPr>
          <w:rFonts w:ascii="Times New Roman" w:eastAsia="黑体" w:cs="Times New Roman" w:hAnsi="Times New Roman"/>
          <w:sz w:val="32"/>
          <w:lang w:val="en-US" w:eastAsia="zh-CN"/>
        </w:rPr>
        <w:t>四</w:t>
      </w:r>
      <w:r>
        <w:rPr>
          <w:rFonts w:ascii="Times New Roman" w:eastAsia="黑体" w:cs="Times New Roman" w:hAnsi="Times New Roman"/>
          <w:sz w:val="32"/>
        </w:rPr>
        <w:t>、法律责任</w:t>
      </w:r>
    </w:p>
    <w:p>
      <w:pPr>
        <w:spacing w:line="560" w:lineRule="exact"/>
        <w:ind w:firstLineChars="200" w:firstLine="640"/>
        <w:rPr>
          <w:rFonts w:ascii="Times New Roman" w:eastAsia="仿宋_GB2312" w:cs="Times New Roman" w:hAnsi="Times New Roman"/>
        </w:rPr>
      </w:pPr>
      <w:r>
        <w:rPr>
          <w:rFonts w:ascii="Times New Roman" w:eastAsia="仿宋_GB2312" w:cs="Times New Roman" w:hAnsi="Times New Roman"/>
          <w:sz w:val="32"/>
        </w:rPr>
        <w:t>对违反本通告规定的，由相关部门依法追究相关法律责任</w:t>
      </w:r>
      <w:r>
        <w:rPr>
          <w:rFonts w:ascii="Times New Roman" w:eastAsia="仿宋_GB2312" w:cs="Times New Roman" w:hAnsi="Times New Roman"/>
        </w:rPr>
        <w:t>。</w:t>
      </w:r>
    </w:p>
    <w:p>
      <w:pPr>
        <w:spacing w:line="560" w:lineRule="exact"/>
        <w:ind w:firstLineChars="200" w:firstLine="640"/>
        <w:rPr>
          <w:rFonts w:ascii="Times New Roman" w:eastAsia="黑体" w:cs="Times New Roman" w:hAnsi="Times New Roman"/>
          <w:sz w:val="32"/>
          <w:lang w:val="en-US" w:eastAsia="zh-CN"/>
        </w:rPr>
      </w:pPr>
      <w:r>
        <w:rPr>
          <w:rFonts w:ascii="Times New Roman" w:eastAsia="黑体" w:cs="Times New Roman" w:hAnsi="Times New Roman"/>
          <w:sz w:val="32"/>
          <w:lang w:val="en-US" w:eastAsia="zh-CN"/>
        </w:rPr>
        <w:t>五、实施时间</w:t>
      </w:r>
    </w:p>
    <w:p>
      <w:pPr>
        <w:spacing w:line="560" w:lineRule="exact"/>
        <w:ind w:firstLineChars="200" w:firstLine="640"/>
        <w:rPr>
          <w:rFonts w:ascii="Times New Roman" w:eastAsia="仿宋_GB2312" w:cs="Times New Roman" w:hAnsi="Times New Roman"/>
        </w:rPr>
      </w:pPr>
      <w:r>
        <w:rPr>
          <w:rFonts w:ascii="Times New Roman" w:eastAsia="仿宋_GB2312" w:cs="Times New Roman" w:hAnsi="Times New Roman"/>
        </w:rPr>
        <w:t>本通告自2026年</w:t>
      </w:r>
      <w:r>
        <w:rPr>
          <w:rFonts w:ascii="Times New Roman" w:eastAsia="仿宋_GB2312" w:cs="Times New Roman" w:hAnsi="Times New Roman"/>
          <w:lang w:val="en-US" w:eastAsia="zh-CN"/>
        </w:rPr>
        <w:t>7</w:t>
      </w:r>
      <w:bookmarkStart w:id="0" w:name="_GoBack"/>
      <w:bookmarkEnd w:id="0"/>
      <w:r>
        <w:rPr>
          <w:rFonts w:ascii="Times New Roman" w:eastAsia="仿宋_GB2312" w:cs="Times New Roman" w:hAnsi="Times New Roman"/>
        </w:rPr>
        <w:t>月1日起实施，《秦皇岛市人民政府关于划定禁止使用高排放非道路移动机械区域的通告》（2024年3月29日发布实施）同时废止。</w:t>
      </w:r>
    </w:p>
    <w:p>
      <w:pPr>
        <w:spacing w:line="560" w:lineRule="exact"/>
        <w:rPr>
          <w:rFonts w:ascii="Times New Roman" w:cs="Times New Roman" w:hAnsi="Times New Roman"/>
          <w:lang w:val="en-US" w:eastAsia="zh-CN"/>
        </w:rPr>
      </w:pPr>
      <w:r>
        <w:rPr>
          <w:rFonts w:ascii="Times New Roman" w:cs="Times New Roman" w:hAnsi="Times New Roman"/>
          <w:lang w:val="en-US" w:eastAsia="zh-CN"/>
        </w:rPr>
        <w:t xml:space="preserve">                            </w:t>
      </w:r>
    </w:p>
    <w:p>
      <w:pPr>
        <w:spacing w:line="560" w:lineRule="exact"/>
        <w:rPr>
          <w:rFonts w:ascii="Times New Roman" w:cs="Times New Roman" w:hAnsi="Times New Roman"/>
          <w:lang w:val="en-US" w:eastAsia="zh-CN"/>
        </w:rPr>
      </w:pPr>
    </w:p>
    <w:p>
      <w:pPr>
        <w:keepNext w:val="0"/>
        <w:keepLines w:val="0"/>
        <w:pageBreakBefore w:val="0"/>
        <w:widowControl w:val="0"/>
        <w:kinsoku/>
        <w:wordWrap/>
        <w:overflowPunct/>
        <w:topLinePunct w:val="0"/>
        <w:autoSpaceDE/>
        <w:autoSpaceDN/>
        <w:spacing w:line="560" w:lineRule="exact"/>
        <w:ind w:firstLineChars="200" w:firstLine="640"/>
        <w:jc w:val="left"/>
        <w:textAlignment w:val="auto"/>
        <w:rPr>
          <w:rFonts w:ascii="Times New Roman" w:eastAsia="仿宋_GB2312" w:cs="Times New Roman" w:hAnsi="Times New Roman"/>
          <w:sz w:val="32"/>
          <w:szCs w:val="32"/>
          <w:lang w:val="en-US" w:eastAsia="zh-CN"/>
        </w:rPr>
      </w:pPr>
    </w:p>
    <w:sectPr>
      <w:footerReference w:type="default" r:id="rId2"/>
      <w:pgSz w:w="11906" w:h="16838"/>
      <w:pgMar w:top="1440" w:right="1800" w:bottom="1440" w:left="1800" w:header="851" w:footer="992" w:gutter="0"/>
      <w:pgNumType w:fmt="numberInDash"/>
      <w:cols w:num="1" w:space="425"/>
      <w:docGrid w:type="lines" w:linePitch="312" w:charSpace="-6553"/>
    </w:sectPr>
  </w:body>
</w:document>
</file>

<file path=word/fontTable.xml><?xml version="1.0" encoding="utf-8"?>
<w:fonts xmlns:w="http://schemas.openxmlformats.org/wordprocessingml/2006/main" xmlns:r="http://schemas.openxmlformats.org/officeDocument/2006/relationships">
  <w:font w:name="楷体_GB2312">
    <w:panose1 w:val="02010609030101010101"/>
    <w:charset w:val="86"/>
    <w:family w:val="auto"/>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小标宋简体">
    <w:panose1 w:val="03000509000000000000"/>
    <w:charset w:val="86"/>
    <w:family w:val="auto"/>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Calibri Light">
    <w:panose1 w:val="020F0302020204030204"/>
    <w:charset w:val="00"/>
    <w:family w:val="auto"/>
    <w:pitch w:val="variable"/>
    <w:sig w:usb0="A00002EF" w:usb1="4000207B" w:usb2="00000000" w:usb3="00000000" w:csb0="2000019F" w:csb1="00000000"/>
  </w:font>
  <w:font w:name="FZ Extra BSK">
    <w:altName w:val="宋体"/>
    <w:panose1 w:val="00000000000000000000"/>
    <w:charset w:val="86"/>
    <w:family w:val="swiss"/>
    <w:pitch w:val="variable"/>
    <w:sig w:usb0="00000000" w:usb1="0000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rPr>
        <w:sz w:val="24"/>
        <w:szCs w:val="24"/>
      </w:rPr>
    </w:pPr>
    <w:r>
      <w:rPr>
        <w:rStyle w:val="22"/>
        <w:sz w:val="24"/>
        <w:szCs w:val="24"/>
      </w:rPr>
      <w:fldChar w:fldCharType="begin"/>
    </w:r>
    <w:r>
      <w:rPr>
        <w:rStyle w:val="22"/>
        <w:sz w:val="24"/>
        <w:szCs w:val="24"/>
      </w:rPr>
      <w:instrText>Page</w:instrText>
    </w:r>
    <w:r>
      <w:rPr>
        <w:rStyle w:val="22"/>
        <w:sz w:val="24"/>
        <w:szCs w:val="24"/>
      </w:rPr>
      <w:fldChar w:fldCharType="separate"/>
    </w:r>
    <w:r>
      <w:rPr>
        <w:rStyle w:val="22"/>
        <w:sz w:val="24"/>
        <w:szCs w:val="24"/>
      </w:rPr>
      <w:t>- 1 -</w:t>
    </w:r>
    <w:r>
      <w:rPr>
        <w:rStyle w:val="22"/>
        <w:sz w:val="24"/>
        <w:szCs w:val="24"/>
      </w:rPr>
      <w:fldChar w:fldCharType="end"/>
    </w:r>
  </w:p>
  <w:p>
    <w:pPr>
      <w:pStyle w:val="17"/>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8"/>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2E1NjZkM2Q5NjYwY2M2NDg4Y2IxOTRmOTA4NTBlNzUifQ=="/>
  </w:docVars>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autoRedefine/>
    <w:pPr>
      <w:kinsoku w:val="0"/>
      <w:autoSpaceDE w:val="0"/>
      <w:autoSpaceDN w:val="0"/>
      <w:adjustRightInd w:val="0"/>
      <w:snapToGrid w:val="0"/>
      <w:spacing w:line="240" w:lineRule="auto"/>
      <w:jc w:val="both"/>
      <w:textAlignment w:val="baseline"/>
    </w:pPr>
    <w:rPr>
      <w:rFonts w:ascii="楷体" w:eastAsia="楷体" w:cs="楷体" w:hAnsi="楷体"/>
      <w:snapToGrid w:val="0"/>
      <w:color w:val="000000"/>
      <w:kern w:val="0"/>
      <w:sz w:val="32"/>
      <w:szCs w:val="3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楷体" w:eastAsia="楷体" w:cs="楷体" w:hAnsi="楷体"/>
      <w:b/>
      <w:bCs/>
      <w:snapToGrid w:val="0"/>
      <w:color w:val="000000"/>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楷体" w:hAnsi="Times New Roman"/>
      <w:b/>
      <w:bCs/>
      <w:snapToGrid w:val="0"/>
      <w:color w:val="000000"/>
      <w:kern w:val="0"/>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楷体" w:eastAsia="楷体" w:cs="楷体" w:hAnsi="楷体"/>
      <w:b/>
      <w:bCs/>
      <w:snapToGrid w:val="0"/>
      <w:color w:val="000000"/>
      <w:kern w:val="0"/>
      <w:sz w:val="32"/>
      <w:szCs w:val="32"/>
      <w:lang w:val="en-US" w:eastAsia="zh-CN" w:bidi="ar-SA"/>
    </w:rPr>
  </w:style>
  <w:style w:type="character" w:default="1" w:styleId="10">
    <w:name w:val="Default Paragraph Font"/>
    <w:qFormat/>
    <w:autoRedefine/>
  </w:style>
  <w:style w:type="paragraph" w:styleId="15">
    <w:name w:val="Normal Indent"/>
    <w:qFormat/>
    <w:basedOn w:val="0"/>
    <w:next w:val="16"/>
    <w:pPr>
      <w:widowControl w:val="0"/>
      <w:spacing w:line="360" w:lineRule="auto"/>
      <w:ind w:firstLineChars="200" w:firstLine="200"/>
      <w:jc w:val="both"/>
    </w:pPr>
    <w:rPr>
      <w:rFonts w:ascii="Times New Roman" w:eastAsia="仿宋_GB2312" w:cs="宋体" w:hAnsi="Times New Roman"/>
      <w:kern w:val="2"/>
      <w:sz w:val="30"/>
      <w:szCs w:val="21"/>
      <w:lang w:val="en-US" w:eastAsia="zh-CN" w:bidi="ar-SA"/>
    </w:rPr>
  </w:style>
  <w:style w:type="paragraph" w:customStyle="1" w:yozoId="4094" w:styleId="16">
    <w:name w:val="正文缩进1"/>
    <w:qFormat/>
    <w:basedOn w:val="0"/>
    <w:pPr>
      <w:ind w:firstLine="420"/>
    </w:pPr>
  </w:style>
  <w:style w:type="paragraph" w:styleId="17">
    <w:name w:val="footer"/>
    <w:qFormat/>
    <w:basedOn w:val="0"/>
    <w:pPr>
      <w:tabs>
        <w:tab w:val="center" w:pos="4153"/>
        <w:tab w:val="right" w:pos="8307"/>
      </w:tabs>
      <w:adjustRightInd w:val="0"/>
      <w:snapToGrid w:val="0"/>
      <w:jc w:val="left"/>
    </w:pPr>
    <w:rPr>
      <w:sz w:val="18"/>
      <w:szCs w:val="18"/>
    </w:rPr>
  </w:style>
  <w:style w:type="paragraph" w:styleId="18">
    <w:name w:val="header"/>
    <w:qFormat/>
    <w:basedOn w:val="0"/>
    <w:pPr>
      <w:pBdr>
        <w:bottom w:val="single" w:sz="6" w:space="1" w:color="auto"/>
      </w:pBdr>
      <w:tabs>
        <w:tab w:val="center" w:pos="4153"/>
        <w:tab w:val="right" w:pos="8306"/>
      </w:tabs>
      <w:adjustRightInd w:val="0"/>
      <w:snapToGrid w:val="0"/>
      <w:jc w:val="center"/>
    </w:pPr>
    <w:rPr>
      <w:sz w:val="18"/>
      <w:szCs w:val="18"/>
    </w:rPr>
  </w:style>
  <w:style w:type="paragraph" w:styleId="19">
    <w:name w:val="Normal (Web)"/>
    <w:qFormat/>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snapToGrid/>
      <w:color w:val="auto"/>
      <w:spacing w:val="0"/>
      <w:w w:val="100"/>
      <w:kern w:val="0"/>
      <w:position w:val="0"/>
      <w:sz w:val="24"/>
      <w:u w:val="none" w:color="auto"/>
      <w:shd w:val="clear" w:color="auto" w:fill="auto"/>
      <w:vertAlign w:val="baseline"/>
      <w:lang w:val="en-US" w:eastAsia="zh-CN"/>
    </w:rPr>
  </w:style>
  <w:style w:type="paragraph" w:styleId="20">
    <w:name w:val="Title"/>
    <w:qFormat/>
    <w:basedOn w:val="0"/>
    <w:next w:val="0"/>
    <w:pPr>
      <w:widowControl w:val="0"/>
      <w:spacing w:before="240" w:after="60"/>
      <w:jc w:val="center"/>
      <w:outlineLvl w:val="0"/>
    </w:pPr>
    <w:rPr>
      <w:rFonts w:ascii="Calibri Light" w:eastAsia="宋体" w:cs="Times New Roman" w:hAnsi="Calibri Light"/>
      <w:b/>
      <w:kern w:val="0"/>
      <w:sz w:val="32"/>
      <w:szCs w:val="22"/>
      <w:lang w:val="en-US" w:eastAsia="zh-CN" w:bidi="ar-SA"/>
    </w:rPr>
  </w:style>
  <w:style w:type="paragraph" w:styleId="21">
    <w:name w:val="Body Text First Indent 2"/>
    <w:qFormat/>
    <w:basedOn w:val="0"/>
    <w:next w:val="0"/>
    <w:pPr>
      <w:widowControl w:val="0"/>
      <w:spacing w:after="120"/>
      <w:ind w:leftChars="200" w:left="200" w:firstLineChars="200" w:firstLine="200"/>
      <w:jc w:val="both"/>
      <w:textAlignment w:val="baseline"/>
    </w:pPr>
    <w:rPr>
      <w:rFonts w:ascii="Times New Roman" w:eastAsia="宋体" w:cs="楷体" w:hAnsi="Times New Roman"/>
      <w:kern w:val="2"/>
      <w:sz w:val="24"/>
      <w:szCs w:val="24"/>
      <w:lang w:val="en-US" w:eastAsia="zh-CN" w:bidi="ar-SA"/>
    </w:rPr>
  </w:style>
  <w:style w:type="character" w:styleId="22">
    <w:name w:val="page number"/>
    <w:qFormat/>
    <w:basedOn w:val="10"/>
  </w:style>
  <w:style w:type="paragraph" w:customStyle="1" w:yozoId="4094" w:styleId="23">
    <w:name w:val="Default"/>
    <w:qFormat/>
    <w:autoRedefine/>
    <w:next w:val="24"/>
    <w:pPr>
      <w:widowControl w:val="0"/>
      <w:autoSpaceDE w:val="0"/>
      <w:autoSpaceDN w:val="0"/>
      <w:adjustRightInd w:val="0"/>
    </w:pPr>
    <w:rPr>
      <w:rFonts w:ascii="FZ Extra BSK" w:eastAsia="FZ Extra BSK" w:cs="FZ Extra BSK" w:hAnsi="Times New Roman"/>
      <w:color w:val="000000"/>
      <w:sz w:val="24"/>
      <w:szCs w:val="24"/>
      <w:lang w:val="en-US" w:eastAsia="zh-CN" w:bidi="ar-SA"/>
    </w:rPr>
  </w:style>
  <w:style w:type="paragraph" w:customStyle="1" w:yozoId="4094" w:styleId="24">
    <w:name w:val="index 51"/>
    <w:qFormat/>
    <w:basedOn w:val="0"/>
    <w:autoRedefine/>
    <w:next w:val="0"/>
    <w:pPr>
      <w:ind w:left="168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B14CC92-3768-4EA9-99A8-5AB4F674962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WPS_Yozo_Office9.0.5978.102ZH.HE59</Application>
  <Pages>3</Pages>
  <Words>0</Words>
  <Characters>1008</Characters>
  <Lines>0</Lines>
  <Paragraphs>35</Paragraphs>
  <CharactersWithSpaces>1344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15</cp:revision>
  <cp:lastPrinted>2025-06-11T07:36:00Z</cp:lastPrinted>
  <dcterms:created xsi:type="dcterms:W3CDTF">2023-07-06T03:21:00Z</dcterms:created>
  <dcterms:modified xsi:type="dcterms:W3CDTF">2026-04-27T06:42:52Z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ICV">
    <vt:lpwstr>43E7E2F44D9F46A1BE2BF6501ACFA867_12</vt:lpwstr>
  </property>
  <property fmtid="{D5CDD505-2E9C-101B-9397-08002B2CF9AE}" pid="4" name="KSOTemplateDocerSaveRecord">
    <vt:lpwstr>eyJoZGlkIjoiNjZkYmRiMTkzM2JmMTcwNTg2ZjNiN2E4MjM4NjBlZWMiLCJ1c2VySWQiOiI0NTk0MjM1MTcifQ==</vt:lpwstr>
  </property>
</Properties>
</file>