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黑体" w:hAnsi="黑体" w:eastAsia="黑体" w:cs="黑体"/>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附件</w:t>
      </w:r>
    </w:p>
    <w:p>
      <w:pPr>
        <w:pStyle w:val="4"/>
        <w:keepNext w:val="0"/>
        <w:keepLines w:val="0"/>
        <w:pageBreakBefore w:val="0"/>
        <w:widowControl w:val="0"/>
        <w:kinsoku/>
        <w:wordWrap/>
        <w:overflowPunct w:val="0"/>
        <w:topLinePunct w:val="0"/>
        <w:autoSpaceDE w:val="0"/>
        <w:autoSpaceDN w:val="0"/>
        <w:bidi w:val="0"/>
        <w:spacing w:line="600" w:lineRule="exact"/>
        <w:ind w:right="0" w:firstLine="0"/>
        <w:jc w:val="both"/>
        <w:rPr>
          <w:rFonts w:hint="eastAsia" w:ascii="方正小标宋简体" w:eastAsia="方正小标宋简体" w:cs="方正小标宋简体"/>
          <w:color w:val="auto"/>
          <w:spacing w:val="0"/>
          <w:position w:val="0"/>
          <w:sz w:val="44"/>
          <w:szCs w:val="44"/>
          <w:highlight w:val="none"/>
          <w:u w:val="none"/>
          <w:lang w:val="en-US" w:eastAsia="zh-CN" w:bidi="ar-SA"/>
        </w:rPr>
      </w:pPr>
      <w:r>
        <w:rPr>
          <w:rFonts w:hint="eastAsia" w:ascii="方正小标宋简体" w:eastAsia="方正小标宋简体" w:cs="方正小标宋简体"/>
          <w:color w:val="auto"/>
          <w:spacing w:val="0"/>
          <w:position w:val="0"/>
          <w:sz w:val="44"/>
          <w:szCs w:val="44"/>
          <w:highlight w:val="none"/>
          <w:u w:val="none"/>
          <w:lang w:val="en-US" w:eastAsia="zh-CN" w:bidi="ar-SA"/>
        </w:rPr>
        <w:t>秦皇岛市空气质量持续改善行动计划实施方案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仿宋_GB2312" w:eastAsia="仿宋_GB2312" w:cs="仿宋_GB2312"/>
          <w:color w:val="auto"/>
          <w:spacing w:val="0"/>
          <w:position w:val="0"/>
          <w:sz w:val="32"/>
          <w:szCs w:val="32"/>
          <w:highlight w:val="none"/>
          <w:u w:val="none"/>
          <w:lang w:bidi="ar-SA"/>
        </w:rPr>
      </w:pPr>
    </w:p>
    <w:p>
      <w:pPr>
        <w:pStyle w:val="2"/>
        <w:rPr>
          <w:rFonts w:hint="eastAsia"/>
          <w:color w:val="auto"/>
          <w:u w:val="none"/>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仿宋_GB2312" w:eastAsia="仿宋_GB2312" w:cs="仿宋_GB2312"/>
          <w:color w:val="auto"/>
          <w:spacing w:val="0"/>
          <w:position w:val="0"/>
          <w:sz w:val="32"/>
          <w:szCs w:val="32"/>
          <w:highlight w:val="none"/>
          <w:u w:val="none"/>
          <w:lang w:val="en-US" w:eastAsia="zh-CN" w:bidi="ar-SA"/>
        </w:rPr>
      </w:pPr>
      <w:r>
        <w:rPr>
          <w:rFonts w:hint="eastAsia" w:ascii="仿宋_GB2312" w:eastAsia="仿宋_GB2312" w:cs="仿宋_GB2312"/>
          <w:color w:val="auto"/>
          <w:spacing w:val="0"/>
          <w:position w:val="0"/>
          <w:sz w:val="32"/>
          <w:szCs w:val="32"/>
          <w:highlight w:val="none"/>
          <w:u w:val="none"/>
          <w:lang w:bidi="ar-SA"/>
        </w:rPr>
        <w:t>为</w:t>
      </w:r>
      <w:r>
        <w:rPr>
          <w:rFonts w:hint="eastAsia" w:ascii="仿宋_GB2312" w:eastAsia="仿宋_GB2312" w:cs="仿宋_GB2312"/>
          <w:color w:val="auto"/>
          <w:spacing w:val="0"/>
          <w:position w:val="0"/>
          <w:sz w:val="32"/>
          <w:szCs w:val="32"/>
          <w:highlight w:val="none"/>
          <w:u w:val="none"/>
          <w:lang w:eastAsia="zh-CN" w:bidi="ar-SA"/>
        </w:rPr>
        <w:t>贯彻落实《国务院空气质量持续改善行动计划》和《河北省空气质量持续改善行动计划实施方案》要求，</w:t>
      </w:r>
      <w:r>
        <w:rPr>
          <w:rFonts w:hint="eastAsia" w:ascii="仿宋_GB2312" w:eastAsia="仿宋_GB2312" w:cs="仿宋_GB2312"/>
          <w:color w:val="auto"/>
          <w:spacing w:val="0"/>
          <w:position w:val="0"/>
          <w:sz w:val="32"/>
          <w:szCs w:val="32"/>
          <w:highlight w:val="none"/>
          <w:u w:val="none"/>
          <w:lang w:val="en-US" w:eastAsia="zh-CN" w:bidi="ar-SA"/>
        </w:rPr>
        <w:t>结合我市实际，制定本方案。</w:t>
      </w:r>
    </w:p>
    <w:p>
      <w:pPr>
        <w:keepNext w:val="0"/>
        <w:keepLines w:val="0"/>
        <w:pageBreakBefore w:val="0"/>
        <w:widowControl w:val="0"/>
        <w:tabs>
          <w:tab w:val="left" w:pos="434"/>
        </w:tabs>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黑体" w:eastAsia="黑体" w:cs="黑体"/>
          <w:color w:val="auto"/>
          <w:spacing w:val="0"/>
          <w:position w:val="0"/>
          <w:sz w:val="32"/>
          <w:szCs w:val="32"/>
          <w:highlight w:val="none"/>
          <w:u w:val="none"/>
          <w:lang w:val="en-US" w:eastAsia="zh-CN" w:bidi="ar-SA"/>
        </w:rPr>
      </w:pPr>
      <w:r>
        <w:rPr>
          <w:rFonts w:hint="eastAsia" w:ascii="黑体" w:eastAsia="黑体" w:cs="黑体"/>
          <w:color w:val="auto"/>
          <w:spacing w:val="0"/>
          <w:position w:val="0"/>
          <w:sz w:val="32"/>
          <w:szCs w:val="32"/>
          <w:highlight w:val="none"/>
          <w:u w:val="none"/>
          <w:lang w:val="en-US" w:eastAsia="zh-CN" w:bidi="ar-SA"/>
        </w:rPr>
        <w:t>一、工作目标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 w:eastAsia="楷体" w:cs="楷体"/>
          <w:color w:val="auto"/>
          <w:spacing w:val="0"/>
          <w:position w:val="0"/>
          <w:sz w:val="32"/>
          <w:szCs w:val="32"/>
          <w:highlight w:val="none"/>
          <w:u w:val="none"/>
          <w:lang w:val="en-US" w:eastAsia="zh-CN" w:bidi="ar-SA"/>
        </w:rPr>
      </w:pPr>
      <w:r>
        <w:rPr>
          <w:rFonts w:hint="eastAsia" w:ascii="仿宋_GB2312" w:eastAsia="仿宋_GB2312" w:cs="仿宋_GB2312"/>
          <w:color w:val="auto"/>
          <w:spacing w:val="0"/>
          <w:position w:val="0"/>
          <w:sz w:val="32"/>
          <w:szCs w:val="32"/>
          <w:highlight w:val="none"/>
          <w:u w:val="none"/>
          <w:lang w:val="en-US" w:eastAsia="zh-CN" w:bidi="ar-SA"/>
        </w:rPr>
        <w:t>到2025年，全市PM</w:t>
      </w:r>
      <w:r>
        <w:rPr>
          <w:rFonts w:hint="eastAsia" w:ascii="仿宋_GB2312" w:eastAsia="仿宋_GB2312" w:cs="仿宋_GB2312"/>
          <w:color w:val="auto"/>
          <w:spacing w:val="0"/>
          <w:position w:val="0"/>
          <w:sz w:val="32"/>
          <w:szCs w:val="32"/>
          <w:highlight w:val="none"/>
          <w:u w:val="none"/>
          <w:vertAlign w:val="subscript"/>
          <w:lang w:val="en-US" w:eastAsia="zh-CN" w:bidi="ar-SA"/>
        </w:rPr>
        <w:t>2.5</w:t>
      </w:r>
      <w:r>
        <w:rPr>
          <w:rFonts w:hint="eastAsia" w:ascii="仿宋_GB2312" w:eastAsia="仿宋_GB2312" w:cs="仿宋_GB2312"/>
          <w:color w:val="auto"/>
          <w:spacing w:val="0"/>
          <w:position w:val="0"/>
          <w:sz w:val="32"/>
          <w:szCs w:val="32"/>
          <w:highlight w:val="none"/>
          <w:u w:val="none"/>
          <w:lang w:val="en-US" w:eastAsia="zh-CN" w:bidi="ar-SA"/>
        </w:rPr>
        <w:t>浓度比2020年下降20%，重度及以上污染天数比率控制在1%以内；氮氧化物和VOCs排放总量比2020年分别下降10%以上。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outlineLvl w:val="0"/>
        <w:rPr>
          <w:rFonts w:hint="eastAsia" w:ascii="黑体" w:eastAsia="黑体" w:cs="黑体"/>
          <w:color w:val="auto"/>
          <w:spacing w:val="0"/>
          <w:position w:val="0"/>
          <w:sz w:val="32"/>
          <w:szCs w:val="32"/>
          <w:highlight w:val="none"/>
          <w:u w:val="none"/>
          <w:lang w:val="en-US" w:eastAsia="zh-CN" w:bidi="ar-SA"/>
        </w:rPr>
      </w:pPr>
      <w:r>
        <w:rPr>
          <w:rFonts w:hint="eastAsia" w:ascii="黑体" w:eastAsia="黑体" w:cs="黑体"/>
          <w:color w:val="auto"/>
          <w:spacing w:val="0"/>
          <w:position w:val="0"/>
          <w:sz w:val="32"/>
          <w:szCs w:val="32"/>
          <w:highlight w:val="none"/>
          <w:u w:val="none"/>
          <w:lang w:val="en-US" w:eastAsia="zh-CN" w:bidi="ar-SA"/>
        </w:rPr>
        <w:t>二、深化产业结构优化调整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b/>
          <w:bCs/>
          <w:color w:val="auto"/>
          <w:spacing w:val="0"/>
          <w:position w:val="0"/>
          <w:sz w:val="32"/>
          <w:szCs w:val="32"/>
          <w:highlight w:val="none"/>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（一）严格高耗能、高排放项目准入</w:t>
      </w:r>
      <w:r>
        <w:rPr>
          <w:rFonts w:hint="eastAsia" w:ascii="仿宋_GB2312" w:eastAsia="仿宋_GB2312" w:cs="仿宋_GB2312"/>
          <w:color w:val="auto"/>
          <w:spacing w:val="0"/>
          <w:position w:val="0"/>
          <w:sz w:val="32"/>
          <w:szCs w:val="32"/>
          <w:highlight w:val="none"/>
          <w:u w:val="none"/>
          <w:lang w:val="en-US" w:eastAsia="zh-CN" w:bidi="ar-SA"/>
        </w:rPr>
        <w:t>。坚决遏制高耗能、高排放、低水平项目盲目上马，</w:t>
      </w:r>
      <w:r>
        <w:rPr>
          <w:rFonts w:hint="eastAsia" w:ascii="仿宋_GB2312" w:eastAsia="仿宋_GB2312" w:cs="仿宋_GB2312"/>
          <w:color w:val="auto"/>
          <w:sz w:val="32"/>
          <w:szCs w:val="32"/>
          <w:highlight w:val="none"/>
          <w:u w:val="none"/>
          <w:lang w:bidi="ar-SA"/>
        </w:rPr>
        <w:t>新改扩建项目严格落实国家</w:t>
      </w:r>
      <w:r>
        <w:rPr>
          <w:rFonts w:hint="eastAsia" w:ascii="仿宋_GB2312" w:eastAsia="仿宋_GB2312" w:cs="仿宋_GB2312"/>
          <w:color w:val="auto"/>
          <w:sz w:val="32"/>
          <w:szCs w:val="32"/>
          <w:highlight w:val="none"/>
          <w:u w:val="none"/>
          <w:lang w:eastAsia="zh-CN" w:bidi="ar-SA"/>
        </w:rPr>
        <w:t>和省</w:t>
      </w:r>
      <w:r>
        <w:rPr>
          <w:rFonts w:hint="eastAsia" w:ascii="仿宋_GB2312" w:eastAsia="仿宋_GB2312" w:cs="仿宋_GB2312"/>
          <w:color w:val="auto"/>
          <w:sz w:val="32"/>
          <w:szCs w:val="32"/>
          <w:highlight w:val="none"/>
          <w:u w:val="none"/>
          <w:lang w:bidi="ar-SA"/>
        </w:rPr>
        <w:t>产业规划、产业政策、生态环境分区管控方案、规划环评、项目环评、节能审查、产能置换、重点污染物总量控制、污染物排放区域削减、碳排放达峰目标等相关要求，原则上采用清洁运输方式</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bidi="ar-SA"/>
        </w:rPr>
        <w:t>涉及产能置换的项目，被置换产能及其配套设施关停后，新建项目方可投产。</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发改委、</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工</w:t>
      </w:r>
      <w:r>
        <w:rPr>
          <w:rFonts w:hint="eastAsia" w:ascii="楷体_GB2312" w:eastAsia="楷体_GB2312" w:cs="楷体_GB2312"/>
          <w:color w:val="auto"/>
          <w:spacing w:val="0"/>
          <w:position w:val="0"/>
          <w:sz w:val="32"/>
          <w:szCs w:val="32"/>
          <w:highlight w:val="none"/>
          <w:u w:val="none"/>
          <w:lang w:val="en-US" w:eastAsia="zh-CN" w:bidi="ar-SA"/>
        </w:rPr>
        <w:t>信局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市数政局、</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生态环境</w:t>
      </w:r>
      <w:r>
        <w:rPr>
          <w:rFonts w:hint="eastAsia" w:ascii="楷体_GB2312" w:eastAsia="楷体_GB2312" w:cs="楷体_GB2312"/>
          <w:color w:val="auto"/>
          <w:spacing w:val="0"/>
          <w:position w:val="0"/>
          <w:sz w:val="32"/>
          <w:szCs w:val="32"/>
          <w:highlight w:val="none"/>
          <w:u w:val="none"/>
          <w:lang w:val="en-US" w:eastAsia="zh-CN" w:bidi="ar-SA"/>
        </w:rPr>
        <w:t>局等按职责分工负责；责任主体：各县区人民政府，秦皇岛开发区、北戴河新区管委会；以下均需各县区人民政府，秦皇岛开发区、北戴河新区管委会落实，不再列出</w:t>
      </w:r>
      <w:r>
        <w:rPr>
          <w:rFonts w:hint="eastAsia" w:ascii="楷体_GB2312" w:eastAsia="楷体_GB2312" w:cs="楷体_GB2312"/>
          <w:color w:val="auto"/>
          <w:spacing w:val="0"/>
          <w:position w:val="0"/>
          <w:sz w:val="32"/>
          <w:szCs w:val="32"/>
          <w:highlight w:val="none"/>
          <w:u w:val="none"/>
          <w:lang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仿宋_GB2312" w:eastAsia="仿宋_GB2312" w:cs="仿宋_GB2312"/>
          <w:color w:val="auto"/>
          <w:sz w:val="32"/>
          <w:szCs w:val="32"/>
          <w:highlight w:val="none"/>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（二）切实优化产业布局。</w:t>
      </w:r>
      <w:r>
        <w:rPr>
          <w:rFonts w:hint="eastAsia" w:ascii="仿宋_GB2312" w:eastAsia="仿宋_GB2312" w:cs="仿宋_GB2312"/>
          <w:color w:val="auto"/>
          <w:sz w:val="32"/>
          <w:szCs w:val="32"/>
          <w:highlight w:val="none"/>
          <w:u w:val="none"/>
          <w:lang w:eastAsia="zh-CN" w:bidi="ar-SA"/>
        </w:rPr>
        <w:t>加快调整优化不符合生态环境功能定位的产业布局、规模和结构，明确禁止和限制发展的行业、生产工艺和产业目标。加快推动</w:t>
      </w:r>
      <w:r>
        <w:rPr>
          <w:rFonts w:hint="eastAsia" w:ascii="仿宋_GB2312" w:eastAsia="仿宋_GB2312" w:cs="仿宋_GB2312"/>
          <w:color w:val="auto"/>
          <w:sz w:val="32"/>
          <w:szCs w:val="32"/>
          <w:highlight w:val="none"/>
          <w:u w:val="none"/>
          <w:lang w:val="en-US" w:eastAsia="zh-CN" w:bidi="ar-SA"/>
        </w:rPr>
        <w:t>秦皇岛北方玻璃退城搬迁。</w:t>
      </w:r>
      <w:r>
        <w:rPr>
          <w:rFonts w:hint="eastAsia" w:ascii="楷体_GB2312" w:eastAsia="楷体_GB2312" w:cs="楷体_GB2312"/>
          <w:color w:val="auto"/>
          <w:spacing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发改委、</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工</w:t>
      </w:r>
      <w:r>
        <w:rPr>
          <w:rFonts w:hint="eastAsia" w:ascii="楷体_GB2312" w:eastAsia="楷体_GB2312" w:cs="楷体_GB2312"/>
          <w:color w:val="auto"/>
          <w:spacing w:val="0"/>
          <w:position w:val="0"/>
          <w:sz w:val="32"/>
          <w:szCs w:val="32"/>
          <w:highlight w:val="none"/>
          <w:u w:val="none"/>
          <w:lang w:val="en-US" w:eastAsia="zh-CN" w:bidi="ar-SA"/>
        </w:rPr>
        <w:t>信局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生态环境</w:t>
      </w:r>
      <w:r>
        <w:rPr>
          <w:rFonts w:hint="eastAsia" w:ascii="楷体_GB2312" w:eastAsia="楷体_GB2312" w:cs="楷体_GB2312"/>
          <w:color w:val="auto"/>
          <w:spacing w:val="0"/>
          <w:position w:val="0"/>
          <w:sz w:val="32"/>
          <w:szCs w:val="32"/>
          <w:highlight w:val="none"/>
          <w:u w:val="none"/>
          <w:lang w:val="en-US" w:eastAsia="zh-CN" w:bidi="ar-SA"/>
        </w:rPr>
        <w:t>局等按职责分工负责）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 w:eastAsia="楷体" w:cs="楷体"/>
          <w:color w:val="auto"/>
          <w:spacing w:val="0"/>
          <w:position w:val="0"/>
          <w:sz w:val="32"/>
          <w:szCs w:val="32"/>
          <w:highlight w:val="none"/>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（三）持续推进钢铁行业优化升级。</w:t>
      </w:r>
      <w:r>
        <w:rPr>
          <w:rFonts w:hint="eastAsia" w:ascii="仿宋_GB2312" w:eastAsia="仿宋_GB2312" w:cs="仿宋_GB2312"/>
          <w:color w:val="auto"/>
          <w:sz w:val="32"/>
          <w:szCs w:val="32"/>
          <w:highlight w:val="none"/>
          <w:u w:val="none"/>
          <w:lang w:bidi="ar-SA"/>
        </w:rPr>
        <w:t>严禁新增钢铁产能</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val="en-US" w:eastAsia="zh-CN" w:bidi="ar-SA"/>
        </w:rPr>
        <w:t>稳步</w:t>
      </w:r>
      <w:r>
        <w:rPr>
          <w:rFonts w:hint="eastAsia" w:ascii="仿宋_GB2312" w:eastAsia="仿宋_GB2312" w:cs="仿宋_GB2312"/>
          <w:color w:val="auto"/>
          <w:sz w:val="32"/>
          <w:szCs w:val="32"/>
          <w:highlight w:val="none"/>
          <w:u w:val="none"/>
          <w:lang w:bidi="ar-SA"/>
        </w:rPr>
        <w:t>推行钢铁、焦化、烧结一体化布局，有序引导高炉—转炉长流程炼钢转型为电炉短流程炼钢。</w:t>
      </w:r>
      <w:r>
        <w:rPr>
          <w:rFonts w:hint="eastAsia" w:ascii="楷体_GB2312" w:eastAsia="楷体_GB2312" w:cs="楷体_GB2312"/>
          <w:color w:val="auto"/>
          <w:spacing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发改委、</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工</w:t>
      </w:r>
      <w:r>
        <w:rPr>
          <w:rFonts w:hint="eastAsia" w:ascii="楷体_GB2312" w:eastAsia="楷体_GB2312" w:cs="楷体_GB2312"/>
          <w:color w:val="auto"/>
          <w:spacing w:val="0"/>
          <w:position w:val="0"/>
          <w:sz w:val="32"/>
          <w:szCs w:val="32"/>
          <w:highlight w:val="none"/>
          <w:u w:val="none"/>
          <w:lang w:val="en-US" w:eastAsia="zh-CN" w:bidi="ar-SA"/>
        </w:rPr>
        <w:t>信局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生态环境</w:t>
      </w:r>
      <w:r>
        <w:rPr>
          <w:rFonts w:hint="eastAsia" w:ascii="楷体_GB2312" w:eastAsia="楷体_GB2312" w:cs="楷体_GB2312"/>
          <w:color w:val="auto"/>
          <w:spacing w:val="0"/>
          <w:position w:val="0"/>
          <w:sz w:val="32"/>
          <w:szCs w:val="32"/>
          <w:highlight w:val="none"/>
          <w:u w:val="none"/>
          <w:lang w:val="en-US" w:eastAsia="zh-CN" w:bidi="ar-SA"/>
        </w:rPr>
        <w:t>局等按职责分工负责）</w:t>
      </w:r>
    </w:p>
    <w:p>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eastAsia="楷体_GB2312" w:cs="楷体_GB2312"/>
          <w:color w:val="auto"/>
          <w:spacing w:val="0"/>
          <w:kern w:val="2"/>
          <w:position w:val="0"/>
          <w:sz w:val="32"/>
          <w:szCs w:val="32"/>
          <w:highlight w:val="none"/>
          <w:u w:val="none"/>
          <w:lang w:val="en-US" w:eastAsia="zh-CN" w:bidi="ar-SA"/>
        </w:rPr>
      </w:pPr>
      <w:r>
        <w:rPr>
          <w:rFonts w:hint="eastAsia" w:ascii="楷体_GB2312" w:eastAsia="楷体_GB2312" w:cs="楷体_GB2312"/>
          <w:color w:val="auto"/>
          <w:spacing w:val="0"/>
          <w:kern w:val="2"/>
          <w:position w:val="0"/>
          <w:sz w:val="32"/>
          <w:szCs w:val="32"/>
          <w:highlight w:val="none"/>
          <w:u w:val="none"/>
          <w:lang w:val="en-US" w:eastAsia="zh-CN" w:bidi="ar-SA"/>
        </w:rPr>
        <w:t>（四）加快退出重点行业落后产能。</w:t>
      </w:r>
      <w:r>
        <w:rPr>
          <w:rFonts w:hint="eastAsia" w:ascii="仿宋_GB2312" w:eastAsia="仿宋_GB2312" w:cs="仿宋_GB2312"/>
          <w:color w:val="auto"/>
          <w:sz w:val="32"/>
          <w:szCs w:val="32"/>
          <w:highlight w:val="none"/>
          <w:u w:val="none"/>
          <w:lang w:eastAsia="zh-CN" w:bidi="ar-SA"/>
        </w:rPr>
        <w:t>严格执行</w:t>
      </w:r>
      <w:r>
        <w:rPr>
          <w:rFonts w:hint="eastAsia" w:ascii="仿宋_GB2312" w:eastAsia="仿宋_GB2312" w:cs="仿宋_GB2312"/>
          <w:color w:val="auto"/>
          <w:sz w:val="32"/>
          <w:szCs w:val="32"/>
          <w:highlight w:val="none"/>
          <w:u w:val="none"/>
          <w:lang w:bidi="ar-SA"/>
        </w:rPr>
        <w:t>《产业结构调整指导目录</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val="en-US" w:eastAsia="zh-CN" w:bidi="ar-SA"/>
        </w:rPr>
        <w:t>2024年本）</w:t>
      </w:r>
      <w:r>
        <w:rPr>
          <w:rFonts w:hint="eastAsia" w:ascii="仿宋_GB2312" w:eastAsia="仿宋_GB2312" w:cs="仿宋_GB2312"/>
          <w:color w:val="auto"/>
          <w:sz w:val="32"/>
          <w:szCs w:val="32"/>
          <w:highlight w:val="none"/>
          <w:u w:val="none"/>
          <w:lang w:bidi="ar-SA"/>
        </w:rPr>
        <w:t>》</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bidi="ar-SA"/>
        </w:rPr>
        <w:t>逐步淘汰步进式烧结机和球团竖炉。</w:t>
      </w:r>
      <w:r>
        <w:rPr>
          <w:rFonts w:hint="eastAsia" w:ascii="仿宋_GB2312" w:eastAsia="仿宋_GB2312" w:cs="仿宋_GB2312"/>
          <w:color w:val="auto"/>
          <w:sz w:val="32"/>
          <w:szCs w:val="32"/>
          <w:highlight w:val="none"/>
          <w:u w:val="none"/>
          <w:lang w:eastAsia="zh-CN" w:bidi="ar-SA"/>
        </w:rPr>
        <w:t>加快调整优化不符合生态环境功能定位的产业布局、规模和结构</w:t>
      </w:r>
      <w:r>
        <w:rPr>
          <w:rFonts w:hint="eastAsia" w:ascii="仿宋_GB2312" w:eastAsia="仿宋_GB2312" w:cs="仿宋_GB2312"/>
          <w:color w:val="auto"/>
          <w:sz w:val="32"/>
          <w:szCs w:val="32"/>
          <w:highlight w:val="none"/>
          <w:u w:val="none"/>
          <w:lang w:bidi="ar-SA"/>
        </w:rPr>
        <w:t>。</w:t>
      </w:r>
      <w:r>
        <w:rPr>
          <w:rFonts w:hint="eastAsia" w:ascii="楷体_GB2312" w:eastAsia="楷体_GB2312" w:cs="楷体_GB2312"/>
          <w:color w:val="auto"/>
          <w:spacing w:val="0"/>
          <w:kern w:val="2"/>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发改委、</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工</w:t>
      </w:r>
      <w:r>
        <w:rPr>
          <w:rFonts w:hint="eastAsia" w:ascii="楷体_GB2312" w:eastAsia="楷体_GB2312" w:cs="楷体_GB2312"/>
          <w:color w:val="auto"/>
          <w:spacing w:val="0"/>
          <w:position w:val="0"/>
          <w:sz w:val="32"/>
          <w:szCs w:val="32"/>
          <w:highlight w:val="none"/>
          <w:u w:val="none"/>
          <w:lang w:val="en-US" w:eastAsia="zh-CN" w:bidi="ar-SA"/>
        </w:rPr>
        <w:t>信局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市数政局、</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生态环境</w:t>
      </w:r>
      <w:r>
        <w:rPr>
          <w:rFonts w:hint="eastAsia" w:ascii="楷体_GB2312" w:eastAsia="楷体_GB2312" w:cs="楷体_GB2312"/>
          <w:color w:val="auto"/>
          <w:spacing w:val="0"/>
          <w:position w:val="0"/>
          <w:sz w:val="32"/>
          <w:szCs w:val="32"/>
          <w:highlight w:val="none"/>
          <w:u w:val="none"/>
          <w:lang w:val="en-US" w:eastAsia="zh-CN" w:bidi="ar-SA"/>
        </w:rPr>
        <w:t>局</w:t>
      </w:r>
      <w:r>
        <w:rPr>
          <w:rFonts w:hint="eastAsia" w:ascii="楷体_GB2312" w:eastAsia="楷体_GB2312" w:cs="楷体_GB2312"/>
          <w:color w:val="auto"/>
          <w:spacing w:val="0"/>
          <w:kern w:val="2"/>
          <w:position w:val="0"/>
          <w:sz w:val="32"/>
          <w:szCs w:val="32"/>
          <w:highlight w:val="none"/>
          <w:u w:val="none"/>
          <w:lang w:val="en-US" w:eastAsia="zh-CN" w:bidi="ar-SA"/>
        </w:rPr>
        <w:t>、市应急管理局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color w:val="auto"/>
          <w:spacing w:val="0"/>
          <w:kern w:val="2"/>
          <w:position w:val="0"/>
          <w:sz w:val="32"/>
          <w:szCs w:val="32"/>
          <w:highlight w:val="none"/>
          <w:u w:val="none"/>
          <w:lang w:val="en-US" w:eastAsia="zh-CN" w:bidi="ar-SA"/>
        </w:rPr>
        <w:t>）</w:t>
      </w:r>
    </w:p>
    <w:p>
      <w:pPr>
        <w:pStyle w:val="22"/>
        <w:keepNext w:val="0"/>
        <w:keepLines w:val="0"/>
        <w:pageBreakBefore w:val="0"/>
        <w:widowControl/>
        <w:kinsoku/>
        <w:wordWrap/>
        <w:overflowPunct/>
        <w:topLinePunct w:val="0"/>
        <w:autoSpaceDE/>
        <w:autoSpaceDN/>
        <w:bidi w:val="0"/>
        <w:adjustRightInd/>
        <w:snapToGrid/>
        <w:spacing w:before="0" w:line="560" w:lineRule="exact"/>
        <w:ind w:firstLine="640" w:firstLineChars="200"/>
        <w:textAlignment w:val="auto"/>
        <w:rPr>
          <w:rFonts w:hint="eastAsia" w:ascii="楷体_GB2312" w:eastAsia="楷体_GB2312" w:cs="楷体_GB2312"/>
          <w:color w:val="auto"/>
          <w:spacing w:val="0"/>
          <w:kern w:val="2"/>
          <w:position w:val="0"/>
          <w:sz w:val="32"/>
          <w:szCs w:val="32"/>
          <w:highlight w:val="none"/>
          <w:u w:val="none"/>
          <w:lang w:val="en-US" w:eastAsia="zh-CN" w:bidi="ar-SA"/>
        </w:rPr>
      </w:pPr>
      <w:r>
        <w:rPr>
          <w:rFonts w:hint="eastAsia" w:ascii="楷体_GB2312" w:eastAsia="楷体_GB2312" w:cs="楷体_GB2312"/>
          <w:color w:val="auto"/>
          <w:spacing w:val="0"/>
          <w:kern w:val="2"/>
          <w:position w:val="0"/>
          <w:sz w:val="32"/>
          <w:szCs w:val="32"/>
          <w:highlight w:val="none"/>
          <w:u w:val="none"/>
          <w:lang w:val="en-US" w:eastAsia="zh-CN" w:bidi="ar-SA"/>
        </w:rPr>
        <w:t>（五）全面开展涉气产业绿色发展。</w:t>
      </w:r>
      <w:r>
        <w:rPr>
          <w:rFonts w:hint="eastAsia" w:ascii="仿宋_GB2312" w:eastAsia="仿宋_GB2312" w:cs="仿宋_GB2312"/>
          <w:color w:val="auto"/>
          <w:sz w:val="32"/>
          <w:szCs w:val="32"/>
          <w:highlight w:val="none"/>
          <w:u w:val="none"/>
          <w:lang w:val="en-US" w:eastAsia="zh-CN" w:bidi="ar-SA"/>
        </w:rPr>
        <w:t>因地制宜规划建设集中喷涂中心、活性炭集中再生中心</w:t>
      </w:r>
      <w:r>
        <w:rPr>
          <w:rFonts w:hint="eastAsia" w:ascii="仿宋_GB2312" w:eastAsia="仿宋_GB2312" w:cs="仿宋_GB2312"/>
          <w:color w:val="auto"/>
          <w:sz w:val="32"/>
          <w:szCs w:val="32"/>
          <w:highlight w:val="none"/>
          <w:u w:val="none"/>
          <w:lang w:eastAsia="zh-CN" w:bidi="ar-SA"/>
        </w:rPr>
        <w:t>等“绿岛”项目</w:t>
      </w:r>
      <w:r>
        <w:rPr>
          <w:rFonts w:hint="eastAsia" w:ascii="仿宋_GB2312" w:eastAsia="仿宋_GB2312" w:cs="仿宋_GB2312"/>
          <w:color w:val="auto"/>
          <w:sz w:val="32"/>
          <w:szCs w:val="32"/>
          <w:highlight w:val="none"/>
          <w:u w:val="none"/>
          <w:lang w:val="en-US" w:eastAsia="zh-CN" w:bidi="ar-SA"/>
        </w:rPr>
        <w:t>，促进能源高效利用，提升集中治污水平。加快推进</w:t>
      </w:r>
      <w:r>
        <w:rPr>
          <w:rStyle w:val="14"/>
          <w:rFonts w:hint="default" w:ascii="Times New Roman" w:hAnsi="Times New Roman" w:eastAsia="仿宋_GB2312" w:cs="Times New Roman"/>
          <w:b w:val="0"/>
          <w:color w:val="auto"/>
          <w:sz w:val="32"/>
          <w:szCs w:val="32"/>
          <w:highlight w:val="none"/>
          <w:u w:val="none"/>
          <w:shd w:val="clear" w:color="auto" w:fill="FFFFFF"/>
          <w:lang w:bidi="ar-SA"/>
        </w:rPr>
        <w:t>秦皇岛市海</w:t>
      </w:r>
      <w:r>
        <w:rPr>
          <w:rStyle w:val="14"/>
          <w:rFonts w:hint="eastAsia" w:ascii="仿宋_GB2312" w:eastAsia="仿宋_GB2312" w:cs="仿宋_GB2312"/>
          <w:b w:val="0"/>
          <w:color w:val="auto"/>
          <w:sz w:val="32"/>
          <w:szCs w:val="32"/>
          <w:highlight w:val="none"/>
          <w:u w:val="none"/>
          <w:shd w:val="clear" w:color="auto" w:fill="FFFFFF"/>
          <w:lang w:bidi="ar-SA"/>
        </w:rPr>
        <w:t>港VOC产业园（一期）</w:t>
      </w:r>
      <w:r>
        <w:rPr>
          <w:rStyle w:val="14"/>
          <w:rFonts w:hint="eastAsia" w:ascii="仿宋_GB2312" w:eastAsia="仿宋_GB2312" w:cs="仿宋_GB2312"/>
          <w:b w:val="0"/>
          <w:color w:val="auto"/>
          <w:sz w:val="32"/>
          <w:szCs w:val="32"/>
          <w:highlight w:val="none"/>
          <w:u w:val="none"/>
          <w:shd w:val="clear" w:color="auto" w:fill="FFFFFF"/>
          <w:lang w:eastAsia="zh-CN" w:bidi="ar-SA"/>
        </w:rPr>
        <w:t>项目</w:t>
      </w:r>
      <w:r>
        <w:rPr>
          <w:rFonts w:hint="eastAsia" w:ascii="仿宋_GB2312" w:eastAsia="仿宋_GB2312" w:cs="仿宋_GB2312"/>
          <w:color w:val="auto"/>
          <w:sz w:val="32"/>
          <w:szCs w:val="32"/>
          <w:highlight w:val="none"/>
          <w:u w:val="none"/>
          <w:lang w:val="en-US" w:eastAsia="zh-CN" w:bidi="ar-SA"/>
        </w:rPr>
        <w:t>和</w:t>
      </w:r>
      <w:r>
        <w:rPr>
          <w:rStyle w:val="14"/>
          <w:rFonts w:hint="eastAsia" w:ascii="仿宋_GB2312" w:eastAsia="仿宋_GB2312" w:cs="仿宋_GB2312"/>
          <w:b w:val="0"/>
          <w:color w:val="auto"/>
          <w:sz w:val="32"/>
          <w:szCs w:val="32"/>
          <w:highlight w:val="none"/>
          <w:u w:val="none"/>
          <w:shd w:val="clear" w:color="auto" w:fill="FFFFFF"/>
          <w:lang w:bidi="ar-SA"/>
        </w:rPr>
        <w:t>秦皇岛市青龙满族自治县骐彰再生2万吨废活性炭回收再生VOCs综合治理建设项目</w:t>
      </w:r>
      <w:r>
        <w:rPr>
          <w:rFonts w:hint="eastAsia" w:ascii="仿宋_GB2312" w:eastAsia="仿宋_GB2312" w:cs="仿宋_GB2312"/>
          <w:color w:val="auto"/>
          <w:sz w:val="32"/>
          <w:szCs w:val="32"/>
          <w:highlight w:val="none"/>
          <w:u w:val="none"/>
          <w:lang w:val="en-US" w:eastAsia="zh-CN" w:bidi="ar-SA"/>
        </w:rPr>
        <w:t>。研究谋划预拌混凝土生产企业使用新能源泵（罐）车措施，</w:t>
      </w:r>
      <w:r>
        <w:rPr>
          <w:rFonts w:hint="eastAsia" w:ascii="仿宋_GB2312" w:eastAsia="仿宋_GB2312" w:cs="仿宋_GB2312"/>
          <w:color w:val="auto"/>
          <w:spacing w:val="0"/>
          <w:kern w:val="2"/>
          <w:position w:val="0"/>
          <w:sz w:val="32"/>
          <w:szCs w:val="32"/>
          <w:highlight w:val="none"/>
          <w:u w:val="none"/>
          <w:lang w:val="en-US" w:eastAsia="zh-CN" w:bidi="ar-SA"/>
        </w:rPr>
        <w:t>统筹推进预拌混凝土（砂浆）和装配式构件生产全产业链（矿山、运输、砂石加工、混凝土搅拌运输）规模化、集约化、绿色化、节地化、高质量发展。</w:t>
      </w:r>
      <w:r>
        <w:rPr>
          <w:rFonts w:hint="eastAsia" w:ascii="楷体_GB2312" w:eastAsia="楷体_GB2312" w:cs="楷体_GB2312"/>
          <w:color w:val="auto"/>
          <w:spacing w:val="0"/>
          <w:kern w:val="2"/>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发改委、</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工</w:t>
      </w:r>
      <w:r>
        <w:rPr>
          <w:rFonts w:hint="eastAsia" w:ascii="楷体_GB2312" w:eastAsia="楷体_GB2312" w:cs="楷体_GB2312"/>
          <w:color w:val="auto"/>
          <w:spacing w:val="0"/>
          <w:position w:val="0"/>
          <w:sz w:val="32"/>
          <w:szCs w:val="32"/>
          <w:highlight w:val="none"/>
          <w:u w:val="none"/>
          <w:lang w:val="en-US" w:eastAsia="zh-CN" w:bidi="ar-SA"/>
        </w:rPr>
        <w:t>信局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bidi="ar-SA"/>
        </w:rPr>
        <w:t>生态环境</w:t>
      </w:r>
      <w:r>
        <w:rPr>
          <w:rFonts w:hint="eastAsia" w:ascii="楷体_GB2312" w:eastAsia="楷体_GB2312" w:cs="楷体_GB2312"/>
          <w:color w:val="auto"/>
          <w:spacing w:val="0"/>
          <w:position w:val="0"/>
          <w:sz w:val="32"/>
          <w:szCs w:val="32"/>
          <w:highlight w:val="none"/>
          <w:u w:val="none"/>
          <w:lang w:val="en-US" w:eastAsia="zh-CN" w:bidi="ar-SA"/>
        </w:rPr>
        <w:t>局、市住建局、市资源规划局等按职责分工负责</w:t>
      </w:r>
      <w:r>
        <w:rPr>
          <w:rFonts w:hint="eastAsia" w:ascii="楷体_GB2312" w:eastAsia="楷体_GB2312" w:cs="楷体_GB2312"/>
          <w:color w:val="auto"/>
          <w:spacing w:val="0"/>
          <w:kern w:val="2"/>
          <w:position w:val="0"/>
          <w:sz w:val="32"/>
          <w:szCs w:val="32"/>
          <w:highlight w:val="none"/>
          <w:u w:val="none"/>
          <w:lang w:val="en-US" w:eastAsia="zh-CN" w:bidi="ar-SA"/>
        </w:rPr>
        <w:t>）</w:t>
      </w:r>
    </w:p>
    <w:p>
      <w:pPr>
        <w:pStyle w:val="22"/>
        <w:keepNext w:val="0"/>
        <w:keepLines w:val="0"/>
        <w:pageBreakBefore w:val="0"/>
        <w:widowControl/>
        <w:kinsoku/>
        <w:wordWrap/>
        <w:overflowPunct/>
        <w:topLinePunct w:val="0"/>
        <w:autoSpaceDE/>
        <w:autoSpaceDN/>
        <w:bidi w:val="0"/>
        <w:adjustRightInd/>
        <w:snapToGrid/>
        <w:spacing w:before="0" w:line="560" w:lineRule="exact"/>
        <w:ind w:firstLine="640" w:firstLineChars="200"/>
        <w:textAlignment w:val="auto"/>
        <w:rPr>
          <w:rFonts w:hint="eastAsia" w:ascii="楷体_GB2312" w:eastAsia="楷体_GB2312" w:cs="楷体_GB2312"/>
          <w:color w:val="auto"/>
          <w:spacing w:val="0"/>
          <w:kern w:val="2"/>
          <w:position w:val="0"/>
          <w:sz w:val="32"/>
          <w:szCs w:val="32"/>
          <w:highlight w:val="none"/>
          <w:u w:val="none"/>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outlineLvl w:val="0"/>
        <w:rPr>
          <w:rFonts w:hint="eastAsia" w:ascii="黑体" w:eastAsia="黑体" w:cs="黑体"/>
          <w:color w:val="auto"/>
          <w:spacing w:val="0"/>
          <w:position w:val="0"/>
          <w:sz w:val="32"/>
          <w:szCs w:val="32"/>
          <w:highlight w:val="none"/>
          <w:u w:val="none"/>
          <w:lang w:val="en-US" w:eastAsia="zh-CN" w:bidi="ar-SA"/>
        </w:rPr>
      </w:pPr>
      <w:r>
        <w:rPr>
          <w:rFonts w:hint="eastAsia" w:ascii="黑体" w:eastAsia="黑体" w:cs="黑体"/>
          <w:color w:val="auto"/>
          <w:spacing w:val="0"/>
          <w:position w:val="0"/>
          <w:sz w:val="32"/>
          <w:szCs w:val="32"/>
          <w:highlight w:val="none"/>
          <w:u w:val="none"/>
          <w:lang w:val="en-US" w:eastAsia="zh-CN" w:bidi="ar-SA"/>
        </w:rPr>
        <w:t>三、深化能源结构优化调整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baseline"/>
        <w:rPr>
          <w:rFonts w:hint="eastAsia" w:ascii="楷体_GB2312" w:eastAsia="楷体_GB2312" w:cs="楷体_GB2312"/>
          <w:color w:val="auto"/>
          <w:spacing w:val="0"/>
          <w:position w:val="0"/>
          <w:sz w:val="32"/>
          <w:szCs w:val="32"/>
          <w:highlight w:val="yellow"/>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（六）大力发展新能源和清洁能源。</w:t>
      </w:r>
      <w:r>
        <w:rPr>
          <w:rFonts w:hint="eastAsia" w:ascii="仿宋_GB2312" w:eastAsia="仿宋_GB2312" w:cs="仿宋_GB2312"/>
          <w:color w:val="auto"/>
          <w:sz w:val="32"/>
          <w:szCs w:val="32"/>
          <w:highlight w:val="none"/>
          <w:u w:val="none"/>
          <w:lang w:eastAsia="zh-CN" w:bidi="ar-SA"/>
        </w:rPr>
        <w:t>不断优化能源配置格局，</w:t>
      </w:r>
      <w:r>
        <w:rPr>
          <w:rFonts w:hint="eastAsia" w:ascii="仿宋_GB2312" w:eastAsia="仿宋_GB2312" w:cs="仿宋_GB2312"/>
          <w:color w:val="auto"/>
          <w:sz w:val="32"/>
          <w:szCs w:val="32"/>
          <w:highlight w:val="none"/>
          <w:u w:val="none"/>
          <w:lang w:val="en-US" w:eastAsia="zh-CN" w:bidi="ar-SA"/>
        </w:rPr>
        <w:t>稳步</w:t>
      </w:r>
      <w:r>
        <w:rPr>
          <w:rFonts w:hint="eastAsia" w:ascii="仿宋_GB2312" w:eastAsia="仿宋_GB2312" w:cs="仿宋_GB2312"/>
          <w:color w:val="auto"/>
          <w:sz w:val="32"/>
          <w:szCs w:val="32"/>
          <w:highlight w:val="none"/>
          <w:u w:val="none"/>
          <w:lang w:eastAsia="zh-CN" w:bidi="ar-SA"/>
        </w:rPr>
        <w:t>推进</w:t>
      </w:r>
      <w:r>
        <w:rPr>
          <w:rFonts w:hint="eastAsia" w:ascii="仿宋_GB2312" w:eastAsia="仿宋_GB2312" w:cs="仿宋_GB2312"/>
          <w:color w:val="auto"/>
          <w:sz w:val="32"/>
          <w:szCs w:val="32"/>
          <w:highlight w:val="none"/>
          <w:u w:val="none"/>
          <w:lang w:bidi="ar-SA"/>
        </w:rPr>
        <w:t>抽水蓄能</w:t>
      </w:r>
      <w:r>
        <w:rPr>
          <w:rFonts w:hint="eastAsia" w:ascii="仿宋_GB2312" w:eastAsia="仿宋_GB2312" w:cs="仿宋_GB2312"/>
          <w:color w:val="auto"/>
          <w:sz w:val="32"/>
          <w:szCs w:val="32"/>
          <w:highlight w:val="none"/>
          <w:u w:val="none"/>
          <w:lang w:eastAsia="zh-CN" w:bidi="ar-SA"/>
        </w:rPr>
        <w:t>、海上风电、生物质能和地热能等开发利用，大力推动电能替代工作，高标准建设配套电网线路走廊和城乡配电网络，</w:t>
      </w:r>
      <w:r>
        <w:rPr>
          <w:rFonts w:hint="eastAsia" w:ascii="仿宋_GB2312" w:eastAsia="仿宋_GB2312" w:cs="仿宋_GB2312"/>
          <w:color w:val="auto"/>
          <w:sz w:val="32"/>
          <w:szCs w:val="32"/>
          <w:highlight w:val="none"/>
          <w:u w:val="none"/>
          <w:lang w:bidi="ar-SA"/>
        </w:rPr>
        <w:t>提高</w:t>
      </w:r>
      <w:r>
        <w:rPr>
          <w:rFonts w:hint="eastAsia" w:ascii="仿宋_GB2312" w:eastAsia="仿宋_GB2312" w:cs="仿宋_GB2312"/>
          <w:color w:val="auto"/>
          <w:sz w:val="32"/>
          <w:szCs w:val="32"/>
          <w:highlight w:val="none"/>
          <w:u w:val="none"/>
          <w:lang w:eastAsia="zh-CN" w:bidi="ar-SA"/>
        </w:rPr>
        <w:t>电能占终端能源</w:t>
      </w:r>
      <w:r>
        <w:rPr>
          <w:rFonts w:hint="eastAsia" w:ascii="仿宋_GB2312" w:eastAsia="仿宋_GB2312" w:cs="仿宋_GB2312"/>
          <w:color w:val="auto"/>
          <w:sz w:val="32"/>
          <w:szCs w:val="32"/>
          <w:highlight w:val="none"/>
          <w:u w:val="none"/>
          <w:lang w:bidi="ar-SA"/>
        </w:rPr>
        <w:t>比重</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bidi="ar-SA"/>
        </w:rPr>
        <w:t>增加外购清洁电力比例</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val="en-US" w:eastAsia="zh-CN" w:bidi="ar-SA"/>
        </w:rPr>
        <w:t>加快推进山海关区50万千瓦海上风电项目建设，积极推进全省首个180万千瓦海上光伏示范试点项目建设。</w:t>
      </w:r>
      <w:r>
        <w:rPr>
          <w:rFonts w:hint="eastAsia" w:ascii="楷体_GB2312" w:eastAsia="楷体_GB2312" w:cs="楷体_GB2312"/>
          <w:color w:val="auto"/>
          <w:spacing w:val="0"/>
          <w:position w:val="0"/>
          <w:sz w:val="32"/>
          <w:szCs w:val="32"/>
          <w:highlight w:val="none"/>
          <w:u w:val="none"/>
          <w:lang w:eastAsia="zh-CN" w:bidi="ar-SA"/>
        </w:rPr>
        <w:t>（责任单位：市发改委</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市生态环境局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市城管执法局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市农业农村局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color w:val="auto"/>
          <w:spacing w:val="0"/>
          <w:position w:val="0"/>
          <w:sz w:val="32"/>
          <w:szCs w:val="32"/>
          <w:highlight w:val="none"/>
          <w:u w:val="none"/>
          <w:lang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baseline"/>
        <w:rPr>
          <w:rFonts w:hint="eastAsia" w:ascii="楷体_GB2312" w:eastAsia="楷体_GB2312" w:cs="楷体_GB2312"/>
          <w:color w:val="auto"/>
          <w:spacing w:val="0"/>
          <w:position w:val="0"/>
          <w:sz w:val="32"/>
          <w:szCs w:val="32"/>
          <w:highlight w:val="none"/>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（七）严格控制煤炭消费总量。</w:t>
      </w:r>
      <w:r>
        <w:rPr>
          <w:rFonts w:hint="eastAsia" w:ascii="仿宋_GB2312" w:eastAsia="仿宋_GB2312" w:cs="仿宋_GB2312"/>
          <w:color w:val="auto"/>
          <w:sz w:val="32"/>
          <w:szCs w:val="32"/>
          <w:highlight w:val="none"/>
          <w:u w:val="none"/>
          <w:lang w:bidi="ar-SA"/>
        </w:rPr>
        <w:t>到2025年，煤炭消费量较2020年下降10%</w:t>
      </w:r>
      <w:r>
        <w:rPr>
          <w:rFonts w:hint="eastAsia" w:ascii="仿宋_GB2312" w:eastAsia="仿宋_GB2312" w:cs="仿宋_GB2312"/>
          <w:color w:val="auto"/>
          <w:sz w:val="32"/>
          <w:szCs w:val="32"/>
          <w:highlight w:val="none"/>
          <w:u w:val="none"/>
          <w:lang w:eastAsia="zh-CN" w:bidi="ar-SA"/>
        </w:rPr>
        <w:t>左右，</w:t>
      </w:r>
      <w:r>
        <w:rPr>
          <w:rFonts w:hint="eastAsia" w:ascii="仿宋_GB2312" w:eastAsia="仿宋_GB2312" w:cs="仿宋_GB2312"/>
          <w:color w:val="auto"/>
          <w:sz w:val="32"/>
          <w:szCs w:val="32"/>
          <w:highlight w:val="none"/>
          <w:u w:val="none"/>
          <w:lang w:bidi="ar-SA"/>
        </w:rPr>
        <w:t>重点削减非电力用煤。</w:t>
      </w:r>
      <w:r>
        <w:rPr>
          <w:rFonts w:hint="eastAsia" w:ascii="仿宋_GB2312" w:eastAsia="仿宋_GB2312" w:cs="仿宋_GB2312"/>
          <w:color w:val="auto"/>
          <w:sz w:val="32"/>
          <w:szCs w:val="32"/>
          <w:highlight w:val="none"/>
          <w:u w:val="none"/>
          <w:lang w:eastAsia="zh-CN" w:bidi="ar-SA"/>
        </w:rPr>
        <w:t>对重点区域的</w:t>
      </w:r>
      <w:r>
        <w:rPr>
          <w:rFonts w:hint="eastAsia" w:ascii="仿宋_GB2312" w:eastAsia="仿宋_GB2312" w:cs="仿宋_GB2312"/>
          <w:color w:val="auto"/>
          <w:sz w:val="32"/>
          <w:szCs w:val="32"/>
          <w:highlight w:val="none"/>
          <w:u w:val="none"/>
          <w:lang w:bidi="ar-SA"/>
        </w:rPr>
        <w:t>新改扩建用煤项目，依法实行煤炭等量或减量替代，原则上不再新增自备燃煤机组。</w:t>
      </w:r>
      <w:r>
        <w:rPr>
          <w:rFonts w:hint="eastAsia" w:ascii="楷体_GB2312" w:eastAsia="楷体_GB2312" w:cs="楷体_GB2312"/>
          <w:color w:val="auto"/>
          <w:spacing w:val="0"/>
          <w:position w:val="0"/>
          <w:sz w:val="32"/>
          <w:szCs w:val="32"/>
          <w:highlight w:val="none"/>
          <w:u w:val="none"/>
          <w:lang w:eastAsia="zh-CN" w:bidi="ar-SA"/>
        </w:rPr>
        <w:t>（责任单位：市发改委</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市生态环境局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color w:val="auto"/>
          <w:spacing w:val="0"/>
          <w:position w:val="0"/>
          <w:sz w:val="32"/>
          <w:szCs w:val="32"/>
          <w:highlight w:val="none"/>
          <w:u w:val="none"/>
          <w:lang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b/>
          <w:bCs/>
          <w:color w:val="auto"/>
          <w:spacing w:val="0"/>
          <w:position w:val="0"/>
          <w:sz w:val="32"/>
          <w:szCs w:val="32"/>
          <w:highlight w:val="none"/>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（八）大力开展燃煤（燃气）锅炉关停整合。</w:t>
      </w:r>
      <w:r>
        <w:rPr>
          <w:rFonts w:hint="eastAsia" w:ascii="仿宋_GB2312" w:eastAsia="仿宋_GB2312" w:cs="仿宋_GB2312"/>
          <w:color w:val="auto"/>
          <w:sz w:val="32"/>
          <w:szCs w:val="32"/>
          <w:highlight w:val="none"/>
          <w:u w:val="none"/>
          <w:lang w:bidi="ar-SA"/>
        </w:rPr>
        <w:t>将燃煤供热锅炉替代项目纳入城镇供热规划。原则上不再新建除集中供暖外的燃煤锅炉。到2025年，35蒸吨/小时及以下燃煤锅炉及茶水炉、经营性炉灶、储粮烘干设备、农产品加工等燃煤</w:t>
      </w:r>
      <w:r>
        <w:rPr>
          <w:rFonts w:hint="eastAsia" w:ascii="仿宋_GB2312" w:eastAsia="仿宋_GB2312" w:cs="仿宋_GB2312"/>
          <w:color w:val="auto"/>
          <w:sz w:val="32"/>
          <w:szCs w:val="32"/>
          <w:highlight w:val="none"/>
          <w:u w:val="none"/>
          <w:lang w:eastAsia="zh-CN" w:bidi="ar-SA"/>
        </w:rPr>
        <w:t>设施动态清零。</w:t>
      </w:r>
      <w:r>
        <w:rPr>
          <w:rFonts w:hint="eastAsia" w:ascii="楷体_GB2312" w:eastAsia="楷体_GB2312" w:cs="楷体_GB2312"/>
          <w:color w:val="auto"/>
          <w:spacing w:val="0"/>
          <w:position w:val="0"/>
          <w:sz w:val="32"/>
          <w:szCs w:val="32"/>
          <w:highlight w:val="none"/>
          <w:u w:val="none"/>
          <w:lang w:eastAsia="zh-CN" w:bidi="ar-SA"/>
        </w:rPr>
        <w:t>（责任单位：市发改委</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市城管执法局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市生态</w:t>
      </w:r>
      <w:r>
        <w:rPr>
          <w:rFonts w:hint="eastAsia" w:ascii="楷体_GB2312" w:eastAsia="楷体_GB2312" w:cs="楷体_GB2312"/>
          <w:color w:val="auto"/>
          <w:spacing w:val="0"/>
          <w:position w:val="0"/>
          <w:sz w:val="32"/>
          <w:szCs w:val="32"/>
          <w:highlight w:val="none"/>
          <w:u w:val="none"/>
          <w:lang w:val="en-US" w:eastAsia="zh-CN" w:bidi="ar-SA"/>
        </w:rPr>
        <w:t>环境</w:t>
      </w:r>
      <w:r>
        <w:rPr>
          <w:rFonts w:hint="eastAsia" w:ascii="楷体_GB2312" w:eastAsia="楷体_GB2312" w:cs="楷体_GB2312"/>
          <w:color w:val="auto"/>
          <w:spacing w:val="0"/>
          <w:position w:val="0"/>
          <w:sz w:val="32"/>
          <w:szCs w:val="32"/>
          <w:highlight w:val="none"/>
          <w:u w:val="none"/>
          <w:lang w:eastAsia="zh-CN" w:bidi="ar-SA"/>
        </w:rPr>
        <w:t>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市市场监管局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color w:val="auto"/>
          <w:spacing w:val="0"/>
          <w:position w:val="0"/>
          <w:sz w:val="32"/>
          <w:szCs w:val="32"/>
          <w:highlight w:val="none"/>
          <w:u w:val="none"/>
          <w:lang w:eastAsia="zh-CN" w:bidi="ar-SA"/>
        </w:rPr>
        <w:t>）</w:t>
      </w:r>
    </w:p>
    <w:p>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color w:val="auto"/>
          <w:spacing w:val="0"/>
          <w:position w:val="0"/>
          <w:sz w:val="32"/>
          <w:szCs w:val="32"/>
          <w:highlight w:val="none"/>
          <w:u w:val="none"/>
          <w:lang w:eastAsia="zh-CN" w:bidi="ar-SA"/>
        </w:rPr>
      </w:pPr>
      <w:r>
        <w:rPr>
          <w:rFonts w:hint="eastAsia" w:ascii="楷体_GB2312" w:eastAsia="楷体_GB2312" w:cs="楷体_GB2312"/>
          <w:color w:val="auto"/>
          <w:spacing w:val="0"/>
          <w:kern w:val="2"/>
          <w:position w:val="0"/>
          <w:sz w:val="32"/>
          <w:szCs w:val="32"/>
          <w:highlight w:val="none"/>
          <w:u w:val="none"/>
          <w:lang w:val="en-US" w:eastAsia="zh-CN" w:bidi="ar-SA"/>
        </w:rPr>
        <w:t>（九)加快实施工业炉窑清洁能源替代。</w:t>
      </w:r>
      <w:r>
        <w:rPr>
          <w:rFonts w:hint="eastAsia" w:ascii="仿宋_GB2312" w:eastAsia="仿宋_GB2312" w:cs="仿宋_GB2312"/>
          <w:color w:val="auto"/>
          <w:sz w:val="32"/>
          <w:szCs w:val="32"/>
          <w:highlight w:val="none"/>
          <w:u w:val="none"/>
          <w:lang w:bidi="ar-SA"/>
        </w:rPr>
        <w:t>有序推进电代煤，积极稳妥推进气代煤。不再新增燃料类煤气发生炉，新改扩建加热炉、热处理炉、干燥炉、熔化炉原则上采用清洁低碳能源；安全稳妥推进使用高污染燃料的工业炉窑改用工业余热、电能、天然气等。</w:t>
      </w:r>
      <w:r>
        <w:rPr>
          <w:rFonts w:hint="eastAsia" w:ascii="楷体_GB2312" w:eastAsia="楷体_GB2312" w:cs="楷体_GB2312"/>
          <w:color w:val="auto"/>
          <w:spacing w:val="0"/>
          <w:position w:val="0"/>
          <w:sz w:val="32"/>
          <w:szCs w:val="32"/>
          <w:highlight w:val="none"/>
          <w:u w:val="none"/>
          <w:lang w:eastAsia="zh-CN" w:bidi="ar-SA"/>
        </w:rPr>
        <w:t>（责任单位：市生态环境局、市工信局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color w:val="auto"/>
          <w:spacing w:val="0"/>
          <w:position w:val="0"/>
          <w:sz w:val="32"/>
          <w:szCs w:val="32"/>
          <w:highlight w:val="none"/>
          <w:u w:val="none"/>
          <w:lang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color w:val="auto"/>
          <w:spacing w:val="0"/>
          <w:position w:val="0"/>
          <w:sz w:val="32"/>
          <w:szCs w:val="32"/>
          <w:highlight w:val="none"/>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（十）巩固拓展清洁取暖成果</w:t>
      </w:r>
      <w:r>
        <w:rPr>
          <w:rFonts w:hint="eastAsia" w:ascii="仿宋_GB2312" w:eastAsia="仿宋_GB2312" w:cs="仿宋_GB2312"/>
          <w:b/>
          <w:bCs/>
          <w:color w:val="auto"/>
          <w:spacing w:val="0"/>
          <w:kern w:val="2"/>
          <w:position w:val="0"/>
          <w:sz w:val="32"/>
          <w:szCs w:val="32"/>
          <w:highlight w:val="none"/>
          <w:u w:val="none"/>
          <w:lang w:val="en-US" w:eastAsia="zh-CN" w:bidi="ar-SA"/>
        </w:rPr>
        <w:t>。</w:t>
      </w:r>
      <w:r>
        <w:rPr>
          <w:rFonts w:hint="eastAsia" w:ascii="仿宋_GB2312" w:eastAsia="仿宋_GB2312" w:cs="仿宋_GB2312"/>
          <w:color w:val="auto"/>
          <w:sz w:val="32"/>
          <w:szCs w:val="32"/>
          <w:highlight w:val="none"/>
          <w:u w:val="none"/>
          <w:shd w:val="clear" w:color="auto" w:fill="FFFFFF"/>
          <w:lang w:bidi="ar-SA"/>
        </w:rPr>
        <w:t>加大天然气、电等能源保供力度，做好清洁取暖设备运行、维护，完善资金补贴</w:t>
      </w:r>
      <w:r>
        <w:rPr>
          <w:rFonts w:hint="eastAsia" w:ascii="仿宋_GB2312" w:eastAsia="仿宋_GB2312" w:cs="仿宋_GB2312"/>
          <w:color w:val="auto"/>
          <w:sz w:val="32"/>
          <w:szCs w:val="32"/>
          <w:highlight w:val="none"/>
          <w:u w:val="none"/>
          <w:shd w:val="clear" w:color="auto" w:fill="FFFFFF"/>
          <w:lang w:val="en-US" w:eastAsia="zh-CN" w:bidi="ar-SA"/>
        </w:rPr>
        <w:t>长效</w:t>
      </w:r>
      <w:r>
        <w:rPr>
          <w:rFonts w:hint="eastAsia" w:ascii="仿宋_GB2312" w:eastAsia="仿宋_GB2312" w:cs="仿宋_GB2312"/>
          <w:color w:val="auto"/>
          <w:sz w:val="32"/>
          <w:szCs w:val="32"/>
          <w:highlight w:val="none"/>
          <w:u w:val="none"/>
          <w:shd w:val="clear" w:color="auto" w:fill="FFFFFF"/>
          <w:lang w:bidi="ar-SA"/>
        </w:rPr>
        <w:t>机制，确保清洁取暖持续可行。</w:t>
      </w:r>
      <w:r>
        <w:rPr>
          <w:rFonts w:hint="eastAsia" w:ascii="仿宋_GB2312" w:eastAsia="仿宋_GB2312" w:cs="仿宋_GB2312"/>
          <w:color w:val="auto"/>
          <w:sz w:val="32"/>
          <w:szCs w:val="32"/>
          <w:highlight w:val="none"/>
          <w:u w:val="none"/>
          <w:lang w:eastAsia="zh-CN" w:bidi="ar-SA"/>
        </w:rPr>
        <w:t>有序推进农业种植、养殖农户产品加工等散煤替代</w:t>
      </w:r>
      <w:r>
        <w:rPr>
          <w:rFonts w:hint="eastAsia" w:ascii="仿宋_GB2312" w:eastAsia="仿宋_GB2312" w:cs="仿宋_GB2312"/>
          <w:color w:val="auto"/>
          <w:sz w:val="32"/>
          <w:szCs w:val="32"/>
          <w:highlight w:val="none"/>
          <w:u w:val="none"/>
          <w:lang w:bidi="ar-SA"/>
        </w:rPr>
        <w:t>。依法将整体完成清洁取暖改造的地区划定为高污染燃料禁燃区，</w:t>
      </w:r>
      <w:r>
        <w:rPr>
          <w:rFonts w:hint="eastAsia" w:ascii="仿宋_GB2312" w:eastAsia="仿宋_GB2312" w:cs="仿宋_GB2312"/>
          <w:color w:val="auto"/>
          <w:sz w:val="32"/>
          <w:szCs w:val="32"/>
          <w:highlight w:val="none"/>
          <w:u w:val="none"/>
          <w:shd w:val="clear" w:color="auto" w:fill="FFFFFF"/>
          <w:lang w:bidi="ar-SA"/>
        </w:rPr>
        <w:t>强化散煤管控，加大散煤质量监管力度，严</w:t>
      </w:r>
      <w:r>
        <w:rPr>
          <w:rFonts w:hint="eastAsia" w:ascii="仿宋_GB2312" w:eastAsia="仿宋_GB2312" w:cs="仿宋_GB2312"/>
          <w:color w:val="auto"/>
          <w:sz w:val="32"/>
          <w:szCs w:val="32"/>
          <w:highlight w:val="none"/>
          <w:u w:val="none"/>
          <w:shd w:val="clear" w:color="auto" w:fill="FFFFFF"/>
          <w:lang w:eastAsia="zh-CN" w:bidi="ar-SA"/>
        </w:rPr>
        <w:t>控</w:t>
      </w:r>
      <w:r>
        <w:rPr>
          <w:rFonts w:hint="eastAsia" w:ascii="仿宋_GB2312" w:eastAsia="仿宋_GB2312" w:cs="仿宋_GB2312"/>
          <w:color w:val="auto"/>
          <w:sz w:val="32"/>
          <w:szCs w:val="32"/>
          <w:highlight w:val="none"/>
          <w:u w:val="none"/>
          <w:shd w:val="clear" w:color="auto" w:fill="FFFFFF"/>
          <w:lang w:bidi="ar-SA"/>
        </w:rPr>
        <w:t>劣质散煤运销渠道，持续开展散煤复燃监督检查，严防散煤复燃。</w:t>
      </w:r>
      <w:r>
        <w:rPr>
          <w:rFonts w:hint="eastAsia" w:ascii="楷体_GB2312" w:eastAsia="楷体_GB2312" w:cs="楷体_GB2312"/>
          <w:color w:val="auto"/>
          <w:spacing w:val="0"/>
          <w:position w:val="0"/>
          <w:sz w:val="32"/>
          <w:szCs w:val="32"/>
          <w:highlight w:val="none"/>
          <w:u w:val="none"/>
          <w:lang w:eastAsia="zh-CN" w:bidi="ar-SA"/>
        </w:rPr>
        <w:t>（责任单位：市发改委</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市财政局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市生态环境局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市城管执法局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市农业农村局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eastAsia="zh-CN" w:bidi="ar-SA"/>
        </w:rPr>
        <w:t>市市场监管局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color w:val="auto"/>
          <w:spacing w:val="0"/>
          <w:position w:val="0"/>
          <w:sz w:val="32"/>
          <w:szCs w:val="32"/>
          <w:highlight w:val="none"/>
          <w:u w:val="none"/>
          <w:lang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outlineLvl w:val="0"/>
        <w:rPr>
          <w:rFonts w:hint="eastAsia" w:ascii="黑体" w:eastAsia="黑体" w:cs="黑体"/>
          <w:color w:val="auto"/>
          <w:spacing w:val="0"/>
          <w:position w:val="0"/>
          <w:sz w:val="32"/>
          <w:szCs w:val="32"/>
          <w:highlight w:val="none"/>
          <w:u w:val="none"/>
          <w:lang w:val="en-US" w:eastAsia="zh-CN" w:bidi="ar-SA"/>
        </w:rPr>
      </w:pPr>
      <w:r>
        <w:rPr>
          <w:rFonts w:hint="eastAsia" w:ascii="黑体" w:eastAsia="黑体" w:cs="黑体"/>
          <w:color w:val="auto"/>
          <w:spacing w:val="0"/>
          <w:position w:val="0"/>
          <w:sz w:val="32"/>
          <w:szCs w:val="32"/>
          <w:highlight w:val="none"/>
          <w:u w:val="none"/>
          <w:lang w:val="en-US" w:eastAsia="zh-CN" w:bidi="ar-SA"/>
        </w:rPr>
        <w:t>四、深化交通结构优化调整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color w:val="auto"/>
          <w:spacing w:val="0"/>
          <w:position w:val="0"/>
          <w:sz w:val="32"/>
          <w:szCs w:val="32"/>
          <w:highlight w:val="none"/>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（十一）持续优化调整货物运输结构。</w:t>
      </w:r>
      <w:r>
        <w:rPr>
          <w:rFonts w:hint="eastAsia" w:ascii="仿宋_GB2312" w:eastAsia="仿宋_GB2312"/>
          <w:color w:val="auto"/>
          <w:sz w:val="32"/>
          <w:szCs w:val="32"/>
          <w:highlight w:val="none"/>
          <w:u w:val="none"/>
        </w:rPr>
        <w:t>大宗货物中长距离运输优先采用铁路、水路运输，短距离运输优先采用封闭式皮带廊道或新能源货车。</w:t>
      </w:r>
      <w:r>
        <w:rPr>
          <w:rFonts w:hint="eastAsia" w:ascii="仿宋_GB2312" w:eastAsia="仿宋_GB2312" w:cs="仿宋_GB2312"/>
          <w:color w:val="auto"/>
          <w:sz w:val="32"/>
          <w:szCs w:val="32"/>
          <w:highlight w:val="none"/>
          <w:u w:val="none"/>
          <w:lang w:bidi="ar-SA"/>
        </w:rPr>
        <w:t>探索将清洁运输作为煤矿、钢铁、火电、有色、焦化、煤化工等行业新改扩建项目审核和监管重点。2025年</w:t>
      </w:r>
      <w:r>
        <w:rPr>
          <w:rFonts w:hint="eastAsia" w:ascii="仿宋_GB2312" w:eastAsia="仿宋_GB2312"/>
          <w:color w:val="auto"/>
          <w:sz w:val="32"/>
          <w:szCs w:val="32"/>
          <w:highlight w:val="none"/>
          <w:u w:val="none"/>
        </w:rPr>
        <w:t>水路货运量比2020年增长12%左右</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val="en-US" w:eastAsia="zh-CN" w:bidi="ar-SA"/>
        </w:rPr>
        <w:t>秦皇岛港</w:t>
      </w:r>
      <w:r>
        <w:rPr>
          <w:rFonts w:hint="eastAsia" w:ascii="仿宋_GB2312" w:eastAsia="仿宋_GB2312" w:cs="仿宋_GB2312"/>
          <w:color w:val="auto"/>
          <w:sz w:val="32"/>
          <w:szCs w:val="32"/>
          <w:highlight w:val="none"/>
          <w:u w:val="none"/>
          <w:lang w:bidi="ar-SA"/>
        </w:rPr>
        <w:t>铁矿石、焦炭等清洁运输</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bidi="ar-SA"/>
        </w:rPr>
        <w:t>含新能源车</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bidi="ar-SA"/>
        </w:rPr>
        <w:t>比例力争达到80%。</w:t>
      </w:r>
      <w:r>
        <w:rPr>
          <w:rFonts w:hint="eastAsia" w:ascii="仿宋_GB2312" w:eastAsia="仿宋_GB2312" w:cs="仿宋_GB2312"/>
          <w:color w:val="auto"/>
          <w:sz w:val="32"/>
          <w:szCs w:val="32"/>
          <w:highlight w:val="none"/>
          <w:u w:val="none"/>
          <w:lang w:val="en-US" w:eastAsia="zh-CN" w:bidi="ar-SA"/>
        </w:rPr>
        <w:t>推进开展铁路场站适货化改造。新建或迁建煤炭、矿石、焦炭等大宗货物年运量150万吨以上的物流园区、工况企业及粮食储备库等，原则上要接入铁路专用线或管道</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eastAsia="zh-CN" w:bidi="ar-SA"/>
        </w:rPr>
        <w:t>交通运输</w:t>
      </w:r>
      <w:r>
        <w:rPr>
          <w:rFonts w:hint="eastAsia" w:ascii="楷体_GB2312" w:eastAsia="楷体_GB2312" w:cs="楷体_GB2312"/>
          <w:color w:val="auto"/>
          <w:spacing w:val="0"/>
          <w:position w:val="0"/>
          <w:sz w:val="32"/>
          <w:szCs w:val="32"/>
          <w:highlight w:val="none"/>
          <w:u w:val="none"/>
          <w:lang w:val="en-US" w:eastAsia="zh-CN" w:bidi="ar-SA"/>
        </w:rPr>
        <w:t>局</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val="en-US" w:eastAsia="zh-CN" w:bidi="ar-SA"/>
        </w:rPr>
        <w:t>市发改委</w:t>
      </w:r>
      <w:r>
        <w:rPr>
          <w:rFonts w:hint="eastAsia" w:ascii="楷体_GB2312" w:eastAsia="楷体_GB2312" w:cs="楷体_GB2312"/>
          <w:color w:val="auto"/>
          <w:spacing w:val="0"/>
          <w:position w:val="0"/>
          <w:sz w:val="32"/>
          <w:szCs w:val="32"/>
          <w:highlight w:val="none"/>
          <w:u w:val="none"/>
          <w:lang w:bidi="ar-SA"/>
        </w:rPr>
        <w:t>、</w:t>
      </w:r>
      <w:r>
        <w:rPr>
          <w:rFonts w:hint="eastAsia" w:ascii="楷体_GB2312" w:eastAsia="楷体_GB2312" w:cs="楷体_GB2312"/>
          <w:color w:val="auto"/>
          <w:spacing w:val="0"/>
          <w:position w:val="0"/>
          <w:sz w:val="32"/>
          <w:szCs w:val="32"/>
          <w:highlight w:val="none"/>
          <w:u w:val="none"/>
          <w:lang w:val="en-US" w:eastAsia="zh-CN" w:bidi="ar-SA"/>
        </w:rPr>
        <w:t>市</w:t>
      </w:r>
      <w:r>
        <w:rPr>
          <w:rFonts w:hint="eastAsia" w:ascii="楷体_GB2312" w:eastAsia="楷体_GB2312" w:cs="楷体_GB2312"/>
          <w:color w:val="auto"/>
          <w:spacing w:val="0"/>
          <w:position w:val="0"/>
          <w:sz w:val="32"/>
          <w:szCs w:val="32"/>
          <w:highlight w:val="none"/>
          <w:u w:val="none"/>
          <w:lang w:eastAsia="zh-CN" w:bidi="ar-SA"/>
        </w:rPr>
        <w:t>生态环境</w:t>
      </w:r>
      <w:r>
        <w:rPr>
          <w:rFonts w:hint="eastAsia" w:ascii="楷体_GB2312" w:eastAsia="楷体_GB2312" w:cs="楷体_GB2312"/>
          <w:color w:val="auto"/>
          <w:spacing w:val="0"/>
          <w:position w:val="0"/>
          <w:sz w:val="32"/>
          <w:szCs w:val="32"/>
          <w:highlight w:val="none"/>
          <w:u w:val="none"/>
          <w:lang w:val="en-US" w:eastAsia="zh-CN" w:bidi="ar-SA"/>
        </w:rPr>
        <w:t>局、市海洋渔业局等按职责分工负责</w:t>
      </w:r>
      <w:r>
        <w:rPr>
          <w:rFonts w:hint="eastAsia" w:ascii="楷体_GB2312" w:eastAsia="楷体_GB2312" w:cs="楷体_GB2312"/>
          <w:color w:val="auto"/>
          <w:spacing w:val="0"/>
          <w:position w:val="0"/>
          <w:sz w:val="32"/>
          <w:szCs w:val="32"/>
          <w:highlight w:val="none"/>
          <w:u w:val="none"/>
          <w:lang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eastAsia="楷体_GB2312" w:cs="楷体_GB2312"/>
          <w:b/>
          <w:bCs/>
          <w:color w:val="auto"/>
          <w:spacing w:val="0"/>
          <w:position w:val="0"/>
          <w:sz w:val="32"/>
          <w:szCs w:val="32"/>
          <w:highlight w:val="none"/>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（十二）加快提升机动车清洁化水平。</w:t>
      </w:r>
      <w:r>
        <w:rPr>
          <w:rFonts w:hint="eastAsia" w:ascii="仿宋_GB2312" w:eastAsia="仿宋_GB2312" w:cs="仿宋_GB2312"/>
          <w:color w:val="auto"/>
          <w:sz w:val="32"/>
          <w:szCs w:val="32"/>
          <w:highlight w:val="none"/>
          <w:u w:val="none"/>
          <w:lang w:bidi="ar-SA"/>
        </w:rPr>
        <w:t>公共领域</w:t>
      </w:r>
      <w:r>
        <w:rPr>
          <w:rFonts w:hint="eastAsia" w:ascii="仿宋_GB2312" w:eastAsia="仿宋_GB2312" w:cs="仿宋_GB2312"/>
          <w:color w:val="auto"/>
          <w:spacing w:val="0"/>
          <w:position w:val="0"/>
          <w:sz w:val="32"/>
          <w:szCs w:val="32"/>
          <w:highlight w:val="none"/>
          <w:u w:val="none"/>
          <w:vertAlign w:val="baseline"/>
          <w:lang w:bidi="ar-SA"/>
        </w:rPr>
        <w:t>年度</w:t>
      </w:r>
      <w:r>
        <w:rPr>
          <w:rFonts w:hint="eastAsia" w:ascii="仿宋_GB2312" w:eastAsia="仿宋_GB2312" w:cs="仿宋_GB2312"/>
          <w:color w:val="auto"/>
          <w:sz w:val="32"/>
          <w:szCs w:val="32"/>
          <w:highlight w:val="none"/>
          <w:u w:val="none"/>
          <w:lang w:bidi="ar-SA"/>
        </w:rPr>
        <w:t>新增或更新公交、出租、城市物流配送、轻型环卫等车辆中，新能源比例不低于80%；加快淘汰采用稀薄燃烧技术的燃气货车。</w:t>
      </w:r>
      <w:r>
        <w:rPr>
          <w:rFonts w:hint="eastAsia" w:ascii="仿宋_GB2312" w:eastAsia="仿宋_GB2312" w:cs="仿宋_GB2312"/>
          <w:color w:val="auto"/>
          <w:sz w:val="32"/>
          <w:szCs w:val="32"/>
          <w:highlight w:val="none"/>
          <w:u w:val="none"/>
          <w:lang w:val="en-US" w:eastAsia="zh-CN" w:bidi="ar-SA"/>
        </w:rPr>
        <w:t>在重点行业和物流园区推广新能源中重型货车。到2025年，高速公路服务区快充站覆盖率不低于80%。加强路检路查和入户抽查，强化对排放检验机构和维修企业监管执法。（</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市工信局</w:t>
      </w:r>
      <w:r>
        <w:rPr>
          <w:rFonts w:hint="eastAsia" w:ascii="楷体_GB2312" w:eastAsia="楷体_GB2312" w:cs="楷体_GB2312"/>
          <w:color w:val="auto"/>
          <w:spacing w:val="0"/>
          <w:position w:val="0"/>
          <w:sz w:val="32"/>
          <w:szCs w:val="32"/>
          <w:highlight w:val="none"/>
          <w:u w:val="none"/>
          <w:lang w:val="en-US" w:eastAsia="en-US" w:bidi="ar-SA"/>
        </w:rPr>
        <w:t>、</w:t>
      </w:r>
      <w:r>
        <w:rPr>
          <w:rFonts w:hint="eastAsia" w:ascii="楷体_GB2312" w:eastAsia="楷体_GB2312" w:cs="楷体_GB2312"/>
          <w:color w:val="auto"/>
          <w:spacing w:val="0"/>
          <w:position w:val="0"/>
          <w:sz w:val="32"/>
          <w:szCs w:val="32"/>
          <w:highlight w:val="none"/>
          <w:u w:val="none"/>
          <w:lang w:val="en-US" w:eastAsia="zh-CN" w:bidi="ar-SA"/>
        </w:rPr>
        <w:t>市公安局</w:t>
      </w:r>
      <w:r>
        <w:rPr>
          <w:rFonts w:hint="eastAsia" w:ascii="楷体_GB2312" w:eastAsia="楷体_GB2312" w:cs="楷体_GB2312"/>
          <w:color w:val="auto"/>
          <w:spacing w:val="0"/>
          <w:position w:val="0"/>
          <w:sz w:val="32"/>
          <w:szCs w:val="32"/>
          <w:highlight w:val="none"/>
          <w:u w:val="none"/>
          <w:lang w:val="en-US" w:eastAsia="en-US" w:bidi="ar-SA"/>
        </w:rPr>
        <w:t>、</w:t>
      </w:r>
      <w:r>
        <w:rPr>
          <w:rFonts w:hint="eastAsia" w:ascii="楷体_GB2312" w:eastAsia="楷体_GB2312" w:cs="楷体_GB2312"/>
          <w:color w:val="auto"/>
          <w:spacing w:val="0"/>
          <w:position w:val="0"/>
          <w:sz w:val="32"/>
          <w:szCs w:val="32"/>
          <w:highlight w:val="none"/>
          <w:u w:val="none"/>
          <w:lang w:val="en-US" w:eastAsia="zh-CN" w:bidi="ar-SA"/>
        </w:rPr>
        <w:t>市生态环境局</w:t>
      </w:r>
      <w:r>
        <w:rPr>
          <w:rFonts w:hint="eastAsia" w:ascii="楷体_GB2312" w:eastAsia="楷体_GB2312" w:cs="楷体_GB2312"/>
          <w:color w:val="auto"/>
          <w:spacing w:val="0"/>
          <w:position w:val="0"/>
          <w:sz w:val="32"/>
          <w:szCs w:val="32"/>
          <w:highlight w:val="none"/>
          <w:u w:val="none"/>
          <w:lang w:val="en-US" w:eastAsia="en-US" w:bidi="ar-SA"/>
        </w:rPr>
        <w:t>、</w:t>
      </w:r>
      <w:r>
        <w:rPr>
          <w:rFonts w:hint="eastAsia" w:ascii="楷体_GB2312" w:eastAsia="楷体_GB2312" w:cs="楷体_GB2312"/>
          <w:color w:val="auto"/>
          <w:spacing w:val="0"/>
          <w:position w:val="0"/>
          <w:sz w:val="32"/>
          <w:szCs w:val="32"/>
          <w:highlight w:val="none"/>
          <w:u w:val="none"/>
          <w:lang w:val="en-US" w:eastAsia="zh-CN" w:bidi="ar-SA"/>
        </w:rPr>
        <w:t>市交通运输局、市发改委、市城管执法局、市外事商务局、市机关事务管理局、市邮政管理局等按职责分工负责）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snapToGrid w:val="0"/>
          <w:color w:val="auto"/>
          <w:spacing w:val="0"/>
          <w:kern w:val="0"/>
          <w:position w:val="0"/>
          <w:sz w:val="32"/>
          <w:szCs w:val="32"/>
          <w:highlight w:val="none"/>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（十三）强化非道路移动源综合治理。</w:t>
      </w:r>
      <w:r>
        <w:rPr>
          <w:rFonts w:hint="eastAsia" w:ascii="仿宋_GB2312" w:eastAsia="仿宋_GB2312" w:cs="仿宋_GB2312"/>
          <w:color w:val="auto"/>
          <w:sz w:val="32"/>
          <w:szCs w:val="32"/>
          <w:highlight w:val="none"/>
          <w:u w:val="none"/>
          <w:lang w:bidi="ar-SA"/>
        </w:rPr>
        <w:t>推动发展新能源和清洁能源船舶，</w:t>
      </w:r>
      <w:r>
        <w:rPr>
          <w:rFonts w:hint="eastAsia" w:ascii="仿宋_GB2312" w:eastAsia="仿宋_GB2312" w:cs="仿宋_GB2312"/>
          <w:color w:val="auto"/>
          <w:spacing w:val="0"/>
          <w:position w:val="0"/>
          <w:sz w:val="32"/>
          <w:szCs w:val="32"/>
          <w:highlight w:val="none"/>
          <w:u w:val="none"/>
          <w:vertAlign w:val="baseline"/>
          <w:lang w:bidi="ar-SA"/>
        </w:rPr>
        <w:t>严格落实船舶大气污染物排放控制区各项要求，依法淘汰高耗能高排放老旧船舶</w:t>
      </w:r>
      <w:r>
        <w:rPr>
          <w:rFonts w:hint="eastAsia" w:ascii="仿宋_GB2312" w:eastAsia="仿宋_GB2312" w:cs="仿宋_GB2312"/>
          <w:color w:val="auto"/>
          <w:spacing w:val="0"/>
          <w:position w:val="0"/>
          <w:sz w:val="32"/>
          <w:szCs w:val="32"/>
          <w:highlight w:val="none"/>
          <w:u w:val="none"/>
          <w:vertAlign w:val="baseline"/>
          <w:lang w:eastAsia="zh-CN" w:bidi="ar-SA"/>
        </w:rPr>
        <w:t>。</w:t>
      </w:r>
      <w:r>
        <w:rPr>
          <w:rFonts w:hint="eastAsia" w:ascii="仿宋_GB2312" w:eastAsia="仿宋_GB2312" w:cs="仿宋_GB2312"/>
          <w:color w:val="auto"/>
          <w:spacing w:val="0"/>
          <w:position w:val="0"/>
          <w:sz w:val="32"/>
          <w:szCs w:val="32"/>
          <w:highlight w:val="none"/>
          <w:u w:val="none"/>
          <w:vertAlign w:val="baseline"/>
          <w:lang w:bidi="ar-SA"/>
        </w:rPr>
        <w:t>协同推进船舶受电设施改造，到2025年，秦皇岛</w:t>
      </w:r>
      <w:r>
        <w:rPr>
          <w:rFonts w:hint="eastAsia" w:ascii="仿宋_GB2312" w:eastAsia="仿宋_GB2312" w:cs="仿宋_GB2312"/>
          <w:color w:val="auto"/>
          <w:spacing w:val="0"/>
          <w:position w:val="0"/>
          <w:sz w:val="32"/>
          <w:szCs w:val="32"/>
          <w:highlight w:val="none"/>
          <w:u w:val="none"/>
          <w:vertAlign w:val="baseline"/>
          <w:lang w:val="en-US" w:eastAsia="zh-CN" w:bidi="ar-SA"/>
        </w:rPr>
        <w:t>港</w:t>
      </w:r>
      <w:r>
        <w:rPr>
          <w:rFonts w:hint="eastAsia" w:ascii="仿宋_GB2312" w:eastAsia="仿宋_GB2312" w:cs="仿宋_GB2312"/>
          <w:color w:val="auto"/>
          <w:spacing w:val="0"/>
          <w:position w:val="0"/>
          <w:sz w:val="32"/>
          <w:szCs w:val="32"/>
          <w:highlight w:val="none"/>
          <w:u w:val="none"/>
          <w:vertAlign w:val="baseline"/>
          <w:lang w:bidi="ar-SA"/>
        </w:rPr>
        <w:t>80%的5万吨级以上专业化泊位（除油气码头外）具备岸电供应能力，</w:t>
      </w:r>
      <w:r>
        <w:rPr>
          <w:rFonts w:hint="eastAsia" w:ascii="仿宋_GB2312" w:eastAsia="仿宋_GB2312" w:cs="仿宋_GB2312"/>
          <w:color w:val="auto"/>
          <w:sz w:val="32"/>
          <w:szCs w:val="32"/>
          <w:highlight w:val="none"/>
          <w:u w:val="none"/>
          <w:lang w:bidi="ar-SA"/>
        </w:rPr>
        <w:t>提高</w:t>
      </w:r>
      <w:r>
        <w:rPr>
          <w:rFonts w:hint="eastAsia" w:ascii="仿宋_GB2312" w:eastAsia="仿宋_GB2312" w:cs="仿宋_GB2312"/>
          <w:color w:val="auto"/>
          <w:spacing w:val="0"/>
          <w:position w:val="0"/>
          <w:sz w:val="32"/>
          <w:szCs w:val="32"/>
          <w:highlight w:val="none"/>
          <w:u w:val="none"/>
          <w:vertAlign w:val="baseline"/>
          <w:lang w:bidi="ar-SA"/>
        </w:rPr>
        <w:t>船舶靠</w:t>
      </w:r>
      <w:r>
        <w:rPr>
          <w:rFonts w:hint="eastAsia" w:ascii="仿宋_GB2312" w:eastAsia="仿宋_GB2312" w:cs="仿宋_GB2312"/>
          <w:color w:val="auto"/>
          <w:spacing w:val="0"/>
          <w:position w:val="0"/>
          <w:sz w:val="32"/>
          <w:szCs w:val="32"/>
          <w:highlight w:val="none"/>
          <w:u w:val="none"/>
          <w:vertAlign w:val="baseline"/>
          <w:lang w:eastAsia="zh-CN" w:bidi="ar-SA"/>
        </w:rPr>
        <w:t>港</w:t>
      </w:r>
      <w:r>
        <w:rPr>
          <w:rFonts w:hint="eastAsia" w:ascii="仿宋_GB2312" w:eastAsia="仿宋_GB2312" w:cs="仿宋_GB2312"/>
          <w:color w:val="auto"/>
          <w:sz w:val="32"/>
          <w:szCs w:val="32"/>
          <w:highlight w:val="none"/>
          <w:u w:val="none"/>
          <w:lang w:bidi="ar-SA"/>
        </w:rPr>
        <w:t>岸电使用率。到2025年，基本消除非道路移动机械、船舶及重点区域铁路机车“冒黑烟”现象，基本淘汰第一阶段及以下排放标准的非道路移动机械。</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snapToGrid w:val="0"/>
          <w:color w:val="auto"/>
          <w:spacing w:val="0"/>
          <w:kern w:val="0"/>
          <w:position w:val="0"/>
          <w:sz w:val="32"/>
          <w:szCs w:val="32"/>
          <w:highlight w:val="none"/>
          <w:u w:val="none"/>
          <w:lang w:val="en-US" w:eastAsia="zh-CN" w:bidi="ar-SA"/>
        </w:rPr>
        <w:t>市生态环境局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市发改委</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市交通运输局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市海洋渔业局、秦皇岛海事局</w:t>
      </w:r>
      <w:r>
        <w:rPr>
          <w:rFonts w:hint="eastAsia" w:ascii="楷体_GB2312" w:eastAsia="楷体_GB2312" w:cs="楷体_GB2312"/>
          <w:color w:val="auto"/>
          <w:spacing w:val="0"/>
          <w:position w:val="0"/>
          <w:sz w:val="32"/>
          <w:szCs w:val="32"/>
          <w:highlight w:val="none"/>
          <w:u w:val="none"/>
          <w:lang w:val="en-US" w:eastAsia="zh-CN" w:bidi="ar-SA"/>
        </w:rPr>
        <w:t>按职责分工负责</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楷体_GB2312" w:eastAsia="楷体_GB2312" w:cs="楷体_GB2312"/>
          <w:color w:val="auto"/>
          <w:kern w:val="2"/>
          <w:sz w:val="32"/>
          <w:szCs w:val="32"/>
          <w:highlight w:val="none"/>
          <w:u w:val="none"/>
          <w:lang w:val="en-US" w:eastAsia="zh-CN" w:bidi="ar-SA"/>
        </w:rPr>
      </w:pPr>
      <w:r>
        <w:rPr>
          <w:rFonts w:hint="eastAsia" w:ascii="楷体_GB2312" w:eastAsia="楷体_GB2312" w:cs="楷体_GB2312"/>
          <w:color w:val="auto"/>
          <w:spacing w:val="0"/>
          <w:kern w:val="2"/>
          <w:position w:val="0"/>
          <w:sz w:val="32"/>
          <w:szCs w:val="32"/>
          <w:highlight w:val="none"/>
          <w:u w:val="none"/>
          <w:lang w:val="en-US" w:eastAsia="zh-CN" w:bidi="ar-SA"/>
        </w:rPr>
        <w:t>（十四）全面保障成品油质量。</w:t>
      </w:r>
      <w:r>
        <w:rPr>
          <w:rFonts w:hint="eastAsia" w:ascii="仿宋_GB2312" w:eastAsia="仿宋_GB2312" w:cs="仿宋_GB2312"/>
          <w:color w:val="auto"/>
          <w:kern w:val="2"/>
          <w:sz w:val="32"/>
          <w:szCs w:val="32"/>
          <w:highlight w:val="none"/>
          <w:u w:val="none"/>
          <w:lang w:val="en-US" w:eastAsia="zh-CN" w:bidi="ar-SA"/>
        </w:rPr>
        <w:t>加强油品进口、生产、仓储、销售、运输、使用全环节部门联合监管，全面清理整顿无证无照或证照不全的自建油罐、流动加油车（船）和黑加油站点，坚决打击将非标油品作为发动机燃料销售等行为。提升货车、非道路移动机械、船舶油箱中柴油抽测频次，对发现的线索进行溯源，严厉追究相关生产、销售、运输者主体责任。</w:t>
      </w:r>
      <w:r>
        <w:rPr>
          <w:rFonts w:hint="eastAsia" w:ascii="楷体_GB2312" w:eastAsia="楷体_GB2312" w:cs="楷体_GB2312"/>
          <w:color w:val="auto"/>
          <w:kern w:val="2"/>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kern w:val="2"/>
          <w:sz w:val="32"/>
          <w:szCs w:val="32"/>
          <w:highlight w:val="none"/>
          <w:u w:val="none"/>
          <w:lang w:val="en-US" w:eastAsia="zh-CN" w:bidi="ar-SA"/>
        </w:rPr>
        <w:t>市发改委</w:t>
      </w:r>
      <w:r>
        <w:rPr>
          <w:rFonts w:hint="eastAsia" w:ascii="楷体_GB2312" w:eastAsia="楷体_GB2312" w:cs="楷体_GB2312"/>
          <w:color w:val="auto"/>
          <w:kern w:val="2"/>
          <w:sz w:val="32"/>
          <w:szCs w:val="32"/>
          <w:highlight w:val="none"/>
          <w:u w:val="none"/>
          <w:lang w:val="en-US" w:eastAsia="en-US" w:bidi="ar-SA"/>
        </w:rPr>
        <w:t>、</w:t>
      </w:r>
      <w:r>
        <w:rPr>
          <w:rFonts w:hint="eastAsia" w:ascii="楷体_GB2312" w:eastAsia="楷体_GB2312" w:cs="楷体_GB2312"/>
          <w:color w:val="auto"/>
          <w:kern w:val="2"/>
          <w:sz w:val="32"/>
          <w:szCs w:val="32"/>
          <w:highlight w:val="none"/>
          <w:u w:val="none"/>
          <w:lang w:val="en-US" w:eastAsia="zh-CN" w:bidi="ar-SA"/>
        </w:rPr>
        <w:t>市公安局</w:t>
      </w:r>
      <w:r>
        <w:rPr>
          <w:rFonts w:hint="eastAsia" w:ascii="楷体_GB2312" w:eastAsia="楷体_GB2312" w:cs="楷体_GB2312"/>
          <w:color w:val="auto"/>
          <w:kern w:val="2"/>
          <w:sz w:val="32"/>
          <w:szCs w:val="32"/>
          <w:highlight w:val="none"/>
          <w:u w:val="none"/>
          <w:lang w:val="en-US" w:eastAsia="en-US" w:bidi="ar-SA"/>
        </w:rPr>
        <w:t>、</w:t>
      </w:r>
      <w:r>
        <w:rPr>
          <w:rFonts w:hint="eastAsia" w:ascii="楷体_GB2312" w:eastAsia="楷体_GB2312" w:cs="楷体_GB2312"/>
          <w:color w:val="auto"/>
          <w:kern w:val="2"/>
          <w:sz w:val="32"/>
          <w:szCs w:val="32"/>
          <w:highlight w:val="none"/>
          <w:u w:val="none"/>
          <w:lang w:val="en-US" w:eastAsia="zh-CN" w:bidi="ar-SA"/>
        </w:rPr>
        <w:t>市生态环境局</w:t>
      </w:r>
      <w:r>
        <w:rPr>
          <w:rFonts w:hint="eastAsia" w:ascii="楷体_GB2312" w:eastAsia="楷体_GB2312" w:cs="楷体_GB2312"/>
          <w:color w:val="auto"/>
          <w:kern w:val="2"/>
          <w:sz w:val="32"/>
          <w:szCs w:val="32"/>
          <w:highlight w:val="none"/>
          <w:u w:val="none"/>
          <w:lang w:val="en-US" w:eastAsia="en-US" w:bidi="ar-SA"/>
        </w:rPr>
        <w:t>、</w:t>
      </w:r>
      <w:r>
        <w:rPr>
          <w:rFonts w:hint="eastAsia" w:ascii="楷体_GB2312" w:eastAsia="楷体_GB2312" w:cs="楷体_GB2312"/>
          <w:color w:val="auto"/>
          <w:kern w:val="2"/>
          <w:sz w:val="32"/>
          <w:szCs w:val="32"/>
          <w:highlight w:val="none"/>
          <w:u w:val="none"/>
          <w:lang w:val="en-US" w:eastAsia="zh-CN" w:bidi="ar-SA"/>
        </w:rPr>
        <w:t>市交通运输局</w:t>
      </w:r>
      <w:r>
        <w:rPr>
          <w:rFonts w:hint="eastAsia" w:ascii="楷体_GB2312" w:eastAsia="楷体_GB2312" w:cs="楷体_GB2312"/>
          <w:color w:val="auto"/>
          <w:kern w:val="2"/>
          <w:sz w:val="32"/>
          <w:szCs w:val="32"/>
          <w:highlight w:val="none"/>
          <w:u w:val="none"/>
          <w:lang w:val="en-US" w:eastAsia="en-US" w:bidi="ar-SA"/>
        </w:rPr>
        <w:t>、</w:t>
      </w:r>
      <w:r>
        <w:rPr>
          <w:rFonts w:hint="eastAsia" w:ascii="楷体_GB2312" w:eastAsia="楷体_GB2312" w:cs="楷体_GB2312"/>
          <w:color w:val="auto"/>
          <w:kern w:val="2"/>
          <w:sz w:val="32"/>
          <w:szCs w:val="32"/>
          <w:highlight w:val="none"/>
          <w:u w:val="none"/>
          <w:lang w:val="en-US" w:eastAsia="zh-CN" w:bidi="ar-SA"/>
        </w:rPr>
        <w:t>市外事商务局</w:t>
      </w:r>
      <w:r>
        <w:rPr>
          <w:rFonts w:hint="eastAsia" w:ascii="楷体_GB2312" w:eastAsia="楷体_GB2312" w:cs="楷体_GB2312"/>
          <w:color w:val="auto"/>
          <w:kern w:val="2"/>
          <w:sz w:val="32"/>
          <w:szCs w:val="32"/>
          <w:highlight w:val="none"/>
          <w:u w:val="none"/>
          <w:lang w:val="en-US" w:eastAsia="en-US" w:bidi="ar-SA"/>
        </w:rPr>
        <w:t>、</w:t>
      </w:r>
      <w:r>
        <w:rPr>
          <w:rFonts w:hint="eastAsia" w:ascii="楷体_GB2312" w:eastAsia="楷体_GB2312" w:cs="楷体_GB2312"/>
          <w:color w:val="auto"/>
          <w:kern w:val="2"/>
          <w:sz w:val="32"/>
          <w:szCs w:val="32"/>
          <w:highlight w:val="none"/>
          <w:u w:val="none"/>
          <w:lang w:val="en-US" w:eastAsia="zh-CN" w:bidi="ar-SA"/>
        </w:rPr>
        <w:t>市市场监管局、市海洋渔业局、秦皇岛海事局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color w:val="auto"/>
          <w:kern w:val="2"/>
          <w:sz w:val="32"/>
          <w:szCs w:val="32"/>
          <w:highlight w:val="none"/>
          <w:u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left="640" w:leftChars="305" w:right="0" w:firstLine="640" w:firstLineChars="200"/>
        <w:jc w:val="both"/>
        <w:textAlignment w:val="auto"/>
        <w:rPr>
          <w:rFonts w:hint="eastAsia" w:ascii="黑体" w:eastAsia="黑体" w:cs="黑体"/>
          <w:color w:val="auto"/>
          <w:spacing w:val="0"/>
          <w:position w:val="0"/>
          <w:sz w:val="32"/>
          <w:szCs w:val="32"/>
          <w:highlight w:val="none"/>
          <w:u w:val="none"/>
          <w:lang w:eastAsia="zh-CN" w:bidi="ar-SA"/>
        </w:rPr>
      </w:pPr>
      <w:r>
        <w:rPr>
          <w:rFonts w:hint="eastAsia" w:ascii="黑体" w:eastAsia="黑体" w:cs="黑体"/>
          <w:color w:val="auto"/>
          <w:spacing w:val="0"/>
          <w:position w:val="0"/>
          <w:sz w:val="32"/>
          <w:szCs w:val="32"/>
          <w:highlight w:val="none"/>
          <w:u w:val="none"/>
          <w:lang w:eastAsia="zh-CN" w:bidi="ar-SA"/>
        </w:rPr>
        <w:t>五、持续整治</w:t>
      </w:r>
      <w:r>
        <w:rPr>
          <w:rFonts w:hint="eastAsia" w:ascii="黑体" w:eastAsia="黑体" w:cs="黑体"/>
          <w:color w:val="auto"/>
          <w:spacing w:val="0"/>
          <w:position w:val="0"/>
          <w:sz w:val="32"/>
          <w:szCs w:val="32"/>
          <w:highlight w:val="none"/>
          <w:u w:val="none"/>
          <w:lang w:bidi="ar-SA"/>
        </w:rPr>
        <w:t>面源污染</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color w:val="auto"/>
          <w:spacing w:val="0"/>
          <w:position w:val="0"/>
          <w:sz w:val="32"/>
          <w:szCs w:val="32"/>
          <w:highlight w:val="none"/>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（十五）狠抓扬尘污染治理攻坚。</w:t>
      </w:r>
      <w:r>
        <w:rPr>
          <w:rFonts w:hint="eastAsia" w:ascii="仿宋_GB2312" w:eastAsia="仿宋_GB2312" w:cs="仿宋_GB2312"/>
          <w:bCs/>
          <w:color w:val="auto"/>
          <w:sz w:val="32"/>
          <w:szCs w:val="32"/>
          <w:highlight w:val="none"/>
          <w:u w:val="none"/>
          <w:lang w:val="en-US" w:eastAsia="zh-CN" w:bidi="ar-SA"/>
        </w:rPr>
        <w:t>严格落实《河北省扬尘污染防治办法》，聚焦施工工地、线性工程、裸露地块、闲置场院、露天矿山、平交路口、城乡道路、露天停车场、城乡结合部等9个重点领域开展扬尘治理攻坚，严格管控标准，明确责任分工，强化精细管理，狠抓全域控尘。以BIM（建筑信息模型）设计为先导，引领绿色施工与绿色建造，减少或禁止现场砌筑、抹灰、切割、研磨作业等产生扬尘污染的环节。</w:t>
      </w:r>
      <w:r>
        <w:rPr>
          <w:rFonts w:hint="eastAsia" w:ascii="仿宋_GB2312" w:eastAsia="仿宋_GB2312" w:cs="仿宋_GB2312"/>
          <w:color w:val="auto"/>
          <w:sz w:val="32"/>
          <w:szCs w:val="32"/>
          <w:highlight w:val="none"/>
          <w:u w:val="none"/>
          <w:lang w:bidi="ar-SA"/>
        </w:rPr>
        <w:t>将防治扬尘污染费用纳入工程造价。到2025年，装配式建筑占新建建筑面积比例达30%;</w:t>
      </w:r>
      <w:r>
        <w:rPr>
          <w:rFonts w:hint="eastAsia" w:ascii="仿宋_GB2312" w:eastAsia="仿宋_GB2312" w:cs="仿宋_GB2312"/>
          <w:color w:val="auto"/>
          <w:sz w:val="32"/>
          <w:szCs w:val="32"/>
          <w:highlight w:val="none"/>
          <w:u w:val="none"/>
          <w:lang w:val="en-US" w:eastAsia="zh-CN" w:bidi="ar-SA"/>
        </w:rPr>
        <w:t>全市建成区道路持续推广“水洗机扫”作业方式和“以克论净”考核标准，建成区主要道路机械化清扫率保持100%</w:t>
      </w:r>
      <w:r>
        <w:rPr>
          <w:rFonts w:hint="eastAsia" w:ascii="仿宋_GB2312" w:eastAsia="仿宋_GB2312" w:cs="仿宋_GB2312"/>
          <w:color w:val="auto"/>
          <w:sz w:val="32"/>
          <w:szCs w:val="32"/>
          <w:highlight w:val="none"/>
          <w:u w:val="none"/>
          <w:lang w:bidi="ar-SA"/>
        </w:rPr>
        <w:t>。城市大型煤炭、矿石等干散货码头物料堆场基本完成抑尘设施建设和物料输送系统封闭改造。实施降尘量月度通报排名，</w:t>
      </w:r>
      <w:r>
        <w:rPr>
          <w:rFonts w:hint="eastAsia" w:ascii="仿宋_GB2312" w:eastAsia="仿宋_GB2312" w:cs="仿宋_GB2312"/>
          <w:color w:val="auto"/>
          <w:sz w:val="32"/>
          <w:szCs w:val="32"/>
          <w:highlight w:val="none"/>
          <w:u w:val="none"/>
          <w:lang w:eastAsia="zh-CN" w:bidi="ar-SA"/>
        </w:rPr>
        <w:t>到</w:t>
      </w:r>
      <w:r>
        <w:rPr>
          <w:rFonts w:hint="eastAsia" w:ascii="仿宋_GB2312" w:eastAsia="仿宋_GB2312" w:cs="仿宋_GB2312"/>
          <w:color w:val="auto"/>
          <w:sz w:val="32"/>
          <w:szCs w:val="32"/>
          <w:highlight w:val="none"/>
          <w:u w:val="none"/>
          <w:lang w:val="en-US" w:eastAsia="zh-CN" w:bidi="ar-SA"/>
        </w:rPr>
        <w:t>2025年底，全市建成区</w:t>
      </w:r>
      <w:r>
        <w:rPr>
          <w:rFonts w:hint="eastAsia" w:ascii="仿宋_GB2312" w:eastAsia="仿宋_GB2312" w:cs="仿宋_GB2312"/>
          <w:color w:val="auto"/>
          <w:sz w:val="32"/>
          <w:szCs w:val="32"/>
          <w:highlight w:val="none"/>
          <w:u w:val="none"/>
          <w:lang w:bidi="ar-SA"/>
        </w:rPr>
        <w:t>平均降尘量不高于</w:t>
      </w:r>
      <w:r>
        <w:rPr>
          <w:rFonts w:hint="eastAsia" w:ascii="仿宋_GB2312" w:eastAsia="仿宋_GB2312" w:cs="仿宋_GB2312"/>
          <w:color w:val="auto"/>
          <w:sz w:val="32"/>
          <w:szCs w:val="32"/>
          <w:highlight w:val="none"/>
          <w:u w:val="none"/>
          <w:lang w:val="en-US" w:eastAsia="zh-CN" w:bidi="ar-SA"/>
        </w:rPr>
        <w:t>5</w:t>
      </w:r>
      <w:r>
        <w:rPr>
          <w:rFonts w:hint="eastAsia" w:ascii="仿宋_GB2312" w:eastAsia="仿宋_GB2312" w:cs="仿宋_GB2312"/>
          <w:color w:val="auto"/>
          <w:sz w:val="32"/>
          <w:szCs w:val="32"/>
          <w:highlight w:val="none"/>
          <w:u w:val="none"/>
          <w:lang w:bidi="ar-SA"/>
        </w:rPr>
        <w:t>吨/平方公里·月</w:t>
      </w:r>
      <w:r>
        <w:rPr>
          <w:rFonts w:hint="eastAsia" w:ascii="仿宋_GB2312" w:eastAsia="仿宋_GB2312" w:cs="仿宋_GB2312"/>
          <w:color w:val="auto"/>
          <w:sz w:val="32"/>
          <w:szCs w:val="32"/>
          <w:highlight w:val="none"/>
          <w:u w:val="none"/>
          <w:lang w:eastAsia="zh-CN"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snapToGrid w:val="0"/>
          <w:color w:val="auto"/>
          <w:spacing w:val="0"/>
          <w:kern w:val="0"/>
          <w:position w:val="0"/>
          <w:sz w:val="32"/>
          <w:szCs w:val="32"/>
          <w:highlight w:val="none"/>
          <w:u w:val="none"/>
          <w:lang w:val="en-US" w:eastAsia="zh-CN" w:bidi="ar-SA"/>
        </w:rPr>
        <w:t>市生态环境局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市住建局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市城管执法局、市交通运输局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市工信局、市水务局、市资源规划局、市农业农村局、市海洋渔业局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b/>
          <w:bCs/>
          <w:color w:val="auto"/>
          <w:spacing w:val="0"/>
          <w:position w:val="0"/>
          <w:sz w:val="32"/>
          <w:szCs w:val="32"/>
          <w:highlight w:val="red"/>
          <w:u w:val="none"/>
          <w:lang w:eastAsia="zh-CN" w:bidi="ar-SA"/>
        </w:rPr>
      </w:pPr>
      <w:r>
        <w:rPr>
          <w:rFonts w:hint="eastAsia" w:ascii="楷体_GB2312" w:eastAsia="楷体_GB2312" w:cs="楷体_GB2312"/>
          <w:color w:val="auto"/>
          <w:spacing w:val="0"/>
          <w:position w:val="0"/>
          <w:sz w:val="32"/>
          <w:szCs w:val="32"/>
          <w:highlight w:val="none"/>
          <w:u w:val="none"/>
          <w:lang w:val="en-US" w:eastAsia="zh-CN" w:bidi="ar-SA"/>
        </w:rPr>
        <w:t>（十六）推进矿山生态环境综合整治。</w:t>
      </w:r>
      <w:r>
        <w:rPr>
          <w:rFonts w:hint="eastAsia" w:ascii="仿宋_GB2312" w:eastAsia="仿宋_GB2312" w:cs="仿宋_GB2312"/>
          <w:color w:val="auto"/>
          <w:kern w:val="2"/>
          <w:sz w:val="32"/>
          <w:szCs w:val="32"/>
          <w:highlight w:val="none"/>
          <w:u w:val="none"/>
          <w:lang w:val="en-US" w:eastAsia="zh-CN" w:bidi="ar-SA"/>
        </w:rPr>
        <w:t>坚持科学规划、源头控制、分类管控、系统修复，对露天矿山实施综合治理和生态修复。矿山资源开采，采取遮盖、洒水、密闭和安装除尘装置等措施，控制扬尘污染；对尾矿库、排土场、排岩场采取喷洒覆</w:t>
      </w:r>
      <w:bookmarkStart w:id="0" w:name="_GoBack"/>
      <w:bookmarkEnd w:id="0"/>
      <w:r>
        <w:rPr>
          <w:rFonts w:hint="eastAsia" w:ascii="仿宋_GB2312" w:eastAsia="仿宋_GB2312" w:cs="仿宋_GB2312"/>
          <w:color w:val="auto"/>
          <w:kern w:val="2"/>
          <w:sz w:val="32"/>
          <w:szCs w:val="32"/>
          <w:highlight w:val="none"/>
          <w:u w:val="none"/>
          <w:lang w:val="en-US" w:eastAsia="zh-CN" w:bidi="ar-SA"/>
        </w:rPr>
        <w:t>盖剂、覆盖防尘网、绿化、复垦等防尘措施；停用的矿山要制定生态修复计划，及时恢复生态植被。</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snapToGrid w:val="0"/>
          <w:color w:val="auto"/>
          <w:spacing w:val="0"/>
          <w:kern w:val="0"/>
          <w:position w:val="0"/>
          <w:sz w:val="32"/>
          <w:szCs w:val="32"/>
          <w:highlight w:val="none"/>
          <w:u w:val="none"/>
          <w:lang w:val="en-US" w:eastAsia="zh-CN" w:bidi="ar-SA"/>
        </w:rPr>
        <w:t>市资源规划局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市生态环境局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市应急管理局等按</w:t>
      </w:r>
      <w:r>
        <w:rPr>
          <w:rFonts w:hint="eastAsia" w:ascii="楷体_GB2312" w:eastAsia="楷体_GB2312" w:cs="楷体_GB2312"/>
          <w:color w:val="auto"/>
          <w:spacing w:val="0"/>
          <w:position w:val="0"/>
          <w:sz w:val="32"/>
          <w:szCs w:val="32"/>
          <w:highlight w:val="none"/>
          <w:u w:val="none"/>
          <w:lang w:val="en-US" w:eastAsia="zh-CN" w:bidi="ar-SA"/>
        </w:rPr>
        <w:t>职责分工负责</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snapToGrid w:val="0"/>
          <w:color w:val="auto"/>
          <w:spacing w:val="0"/>
          <w:kern w:val="0"/>
          <w:position w:val="0"/>
          <w:sz w:val="32"/>
          <w:szCs w:val="32"/>
          <w:highlight w:val="none"/>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（十七）加强秸秆综合利用和禁烧。</w:t>
      </w:r>
      <w:r>
        <w:rPr>
          <w:rFonts w:hint="eastAsia" w:ascii="仿宋_GB2312" w:eastAsia="仿宋_GB2312" w:cs="仿宋_GB2312"/>
          <w:snapToGrid w:val="0"/>
          <w:color w:val="auto"/>
          <w:spacing w:val="0"/>
          <w:kern w:val="0"/>
          <w:position w:val="0"/>
          <w:sz w:val="32"/>
          <w:szCs w:val="32"/>
          <w:highlight w:val="none"/>
          <w:u w:val="none"/>
          <w:lang w:val="en-US" w:eastAsia="zh-CN" w:bidi="ar-SA"/>
        </w:rPr>
        <w:t>建立完善秸秆收储运体系，提升产业化发展水平。全市秸秆综合利用率稳定在97%以上。</w:t>
      </w:r>
      <w:r>
        <w:rPr>
          <w:rFonts w:hint="eastAsia" w:ascii="仿宋_GB2312" w:eastAsia="仿宋_GB2312" w:cs="仿宋_GB2312"/>
          <w:color w:val="auto"/>
          <w:spacing w:val="0"/>
          <w:position w:val="0"/>
          <w:sz w:val="32"/>
          <w:szCs w:val="32"/>
          <w:highlight w:val="none"/>
          <w:u w:val="none"/>
          <w:lang w:bidi="ar-SA"/>
        </w:rPr>
        <w:t>综合运用卫星遥感、高清视频监控、无人机等手段，提高秸秆焚烧火点监测精准度。完善网格化监管体系，充分发挥基层组织作用，开展秸秆焚烧重点时段专项巡查</w:t>
      </w:r>
      <w:r>
        <w:rPr>
          <w:rFonts w:hint="eastAsia" w:ascii="仿宋_GB2312" w:eastAsia="仿宋_GB2312" w:cs="仿宋_GB2312"/>
          <w:color w:val="auto"/>
          <w:spacing w:val="0"/>
          <w:position w:val="0"/>
          <w:sz w:val="32"/>
          <w:szCs w:val="32"/>
          <w:highlight w:val="none"/>
          <w:u w:val="none"/>
          <w:lang w:eastAsia="zh-CN" w:bidi="ar-SA"/>
        </w:rPr>
        <w:t>，确保火点及时处置到位</w:t>
      </w:r>
      <w:r>
        <w:rPr>
          <w:rFonts w:hint="eastAsia" w:ascii="仿宋_GB2312" w:eastAsia="仿宋_GB2312" w:cs="仿宋_GB2312"/>
          <w:color w:val="auto"/>
          <w:spacing w:val="0"/>
          <w:position w:val="0"/>
          <w:sz w:val="32"/>
          <w:szCs w:val="32"/>
          <w:highlight w:val="none"/>
          <w:u w:val="none"/>
          <w:lang w:bidi="ar-SA"/>
        </w:rPr>
        <w:t>。</w:t>
      </w:r>
      <w:r>
        <w:rPr>
          <w:rFonts w:hint="eastAsia" w:ascii="仿宋_GB2312" w:eastAsia="仿宋_GB2312" w:cs="仿宋_GB2312"/>
          <w:color w:val="auto"/>
          <w:sz w:val="32"/>
          <w:szCs w:val="32"/>
          <w:highlight w:val="none"/>
          <w:u w:val="none"/>
          <w:lang w:eastAsia="zh-CN" w:bidi="ar-SA"/>
        </w:rPr>
        <w:t>开展</w:t>
      </w:r>
      <w:r>
        <w:rPr>
          <w:rFonts w:hint="eastAsia" w:ascii="仿宋_GB2312" w:eastAsia="仿宋_GB2312" w:cs="仿宋_GB2312"/>
          <w:color w:val="auto"/>
          <w:spacing w:val="0"/>
          <w:position w:val="0"/>
          <w:sz w:val="32"/>
          <w:szCs w:val="32"/>
          <w:highlight w:val="none"/>
          <w:u w:val="none"/>
          <w:lang w:eastAsia="zh-CN" w:bidi="ar-SA"/>
        </w:rPr>
        <w:t>城乡垃圾清理和人居环境整治</w:t>
      </w:r>
      <w:r>
        <w:rPr>
          <w:rFonts w:hint="eastAsia" w:ascii="仿宋_GB2312" w:eastAsia="仿宋_GB2312" w:cs="仿宋_GB2312"/>
          <w:snapToGrid/>
          <w:color w:val="auto"/>
          <w:spacing w:val="0"/>
          <w:kern w:val="2"/>
          <w:position w:val="0"/>
          <w:sz w:val="32"/>
          <w:szCs w:val="32"/>
          <w:highlight w:val="none"/>
          <w:u w:val="none"/>
          <w:lang w:val="en-US" w:eastAsia="zh-CN" w:bidi="ar-SA"/>
        </w:rPr>
        <w:t>。</w:t>
      </w:r>
      <w:r>
        <w:rPr>
          <w:rFonts w:hint="eastAsia" w:ascii="仿宋_GB2312" w:eastAsia="仿宋_GB2312" w:cs="仿宋_GB2312"/>
          <w:color w:val="auto"/>
          <w:sz w:val="32"/>
          <w:szCs w:val="32"/>
          <w:highlight w:val="none"/>
          <w:u w:val="none"/>
          <w:lang w:bidi="ar-SA"/>
        </w:rPr>
        <w:t>严禁城市及县城建成区露天烧烤行为。</w:t>
      </w:r>
      <w:r>
        <w:rPr>
          <w:rFonts w:hint="eastAsia" w:ascii="仿宋_GB2312" w:eastAsia="仿宋_GB2312" w:cs="仿宋_GB2312"/>
          <w:color w:val="auto"/>
          <w:sz w:val="32"/>
          <w:szCs w:val="32"/>
          <w:highlight w:val="none"/>
          <w:u w:val="none"/>
          <w:lang w:eastAsia="zh-CN" w:bidi="ar-SA"/>
        </w:rPr>
        <w:t>严格限制烟花爆竹燃放</w:t>
      </w:r>
      <w:r>
        <w:rPr>
          <w:rFonts w:hint="eastAsia" w:ascii="仿宋_GB2312" w:eastAsia="仿宋_GB2312" w:cs="仿宋_GB2312"/>
          <w:color w:val="auto"/>
          <w:sz w:val="32"/>
          <w:szCs w:val="32"/>
          <w:highlight w:val="none"/>
          <w:u w:val="none"/>
          <w:lang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（责任单位：市生态环境局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市农业农村局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市城管执法局、市发改委</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市公安局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黑体" w:eastAsia="黑体" w:cs="黑体"/>
          <w:color w:val="auto"/>
          <w:spacing w:val="0"/>
          <w:position w:val="0"/>
          <w:sz w:val="32"/>
          <w:szCs w:val="32"/>
          <w:highlight w:val="none"/>
          <w:u w:val="none"/>
          <w:lang w:val="en-US" w:eastAsia="zh-CN" w:bidi="ar-SA"/>
        </w:rPr>
      </w:pPr>
      <w:r>
        <w:rPr>
          <w:rFonts w:hint="eastAsia" w:ascii="黑体" w:eastAsia="黑体" w:cs="黑体"/>
          <w:color w:val="auto"/>
          <w:spacing w:val="0"/>
          <w:position w:val="0"/>
          <w:sz w:val="32"/>
          <w:szCs w:val="32"/>
          <w:highlight w:val="none"/>
          <w:u w:val="none"/>
          <w:lang w:val="en-US" w:eastAsia="zh-CN" w:bidi="ar-SA"/>
        </w:rPr>
        <w:t>六、持续强化多污染物减排</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仿宋_GB2312" w:eastAsia="仿宋_GB2312" w:cs="仿宋_GB2312"/>
          <w:color w:val="auto"/>
          <w:spacing w:val="0"/>
          <w:position w:val="0"/>
          <w:sz w:val="32"/>
          <w:szCs w:val="32"/>
          <w:highlight w:val="red"/>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（十八）</w:t>
      </w:r>
      <w:r>
        <w:rPr>
          <w:rFonts w:hint="eastAsia" w:ascii="楷体_GB2312" w:eastAsia="楷体_GB2312" w:cs="楷体_GB2312"/>
          <w:color w:val="auto"/>
          <w:sz w:val="32"/>
          <w:szCs w:val="32"/>
          <w:highlight w:val="none"/>
          <w:u w:val="none"/>
          <w:lang w:val="en-US" w:eastAsia="zh-CN" w:bidi="ar-SA"/>
        </w:rPr>
        <w:t>强化VOCs、恶臭异味治理。</w:t>
      </w:r>
      <w:r>
        <w:rPr>
          <w:rFonts w:hint="eastAsia" w:ascii="仿宋_GB2312" w:eastAsia="仿宋_GB2312" w:cs="仿宋_GB2312"/>
          <w:color w:val="auto"/>
          <w:sz w:val="32"/>
          <w:szCs w:val="32"/>
          <w:highlight w:val="none"/>
          <w:u w:val="none"/>
          <w:lang w:val="en-US" w:eastAsia="zh-CN" w:bidi="ar-SA"/>
        </w:rPr>
        <w:t>大力实施VOCs原辅材料源头替代。严格控制生产和使用高VOCs含量涂料、油墨、胶黏剂、清洗剂等建设项目，提高低（无）VOCs含量产品比重。在生产、销售、进口、使用等环节严格执行VOCs含量限值标准。推广使用低VOCs含量涂料和胶黏剂。鼓励储罐使用低泄漏的呼吸阀、紧急泄压阀，定期开展密封性检测。污水处理场所加大有机废气收集处理力度。加强部门联动，因地制宜解决群众反映集中的油烟及恶臭异味扰民问题。</w:t>
      </w:r>
      <w:r>
        <w:rPr>
          <w:rFonts w:hint="eastAsia" w:ascii="仿宋_GB2312" w:eastAsia="仿宋_GB2312" w:cs="仿宋_GB2312"/>
          <w:color w:val="auto"/>
          <w:spacing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市生态环境局、市市场监管局、市城管执法局等按职责分工负责</w:t>
      </w:r>
      <w:r>
        <w:rPr>
          <w:rFonts w:hint="eastAsia" w:ascii="仿宋_GB2312" w:eastAsia="仿宋_GB2312" w:cs="仿宋_GB2312"/>
          <w:color w:val="auto"/>
          <w:spacing w:val="0"/>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仿宋_GB2312" w:eastAsia="仿宋_GB2312" w:cs="仿宋_GB2312"/>
          <w:color w:val="auto"/>
          <w:spacing w:val="0"/>
          <w:position w:val="0"/>
          <w:sz w:val="32"/>
          <w:szCs w:val="32"/>
          <w:highlight w:val="none"/>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（十九）加快推进重点行业污染深度治理。</w:t>
      </w:r>
      <w:r>
        <w:rPr>
          <w:rFonts w:hint="eastAsia" w:ascii="仿宋_GB2312" w:eastAsia="仿宋_GB2312" w:cs="仿宋_GB2312"/>
          <w:color w:val="auto"/>
          <w:spacing w:val="0"/>
          <w:position w:val="0"/>
          <w:sz w:val="32"/>
          <w:szCs w:val="32"/>
          <w:highlight w:val="none"/>
          <w:u w:val="none"/>
          <w:lang w:val="en-US" w:eastAsia="zh-CN" w:bidi="ar-SA"/>
        </w:rPr>
        <w:t>高质量推进钢铁、水泥等重点行业及燃煤锅炉超低排放改造，开展垃圾发电企业SCR脱硝设施改造，有力有序推进重点行业环保绩效创A，2024年底前完成钢铁行业全面创A，A级企业数量稳定增加，带动全行业绿色发展水平明显提升。加强钢铁行业CO深度治理，积极推广提升治理技术应用，最大程度减少CO排放。（</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市生态环境局、市发改委</w:t>
      </w:r>
      <w:r>
        <w:rPr>
          <w:rFonts w:hint="eastAsia" w:ascii="楷体_GB2312" w:eastAsia="楷体_GB2312" w:cs="楷体_GB2312"/>
          <w:color w:val="auto"/>
          <w:spacing w:val="0"/>
          <w:position w:val="0"/>
          <w:sz w:val="32"/>
          <w:szCs w:val="32"/>
          <w:highlight w:val="none"/>
          <w:u w:val="none"/>
          <w:lang w:val="en-US" w:eastAsia="en-US" w:bidi="ar-SA"/>
        </w:rPr>
        <w:t>、</w:t>
      </w:r>
      <w:r>
        <w:rPr>
          <w:rFonts w:hint="eastAsia" w:ascii="楷体_GB2312" w:eastAsia="楷体_GB2312" w:cs="楷体_GB2312"/>
          <w:color w:val="auto"/>
          <w:spacing w:val="0"/>
          <w:position w:val="0"/>
          <w:sz w:val="32"/>
          <w:szCs w:val="32"/>
          <w:highlight w:val="none"/>
          <w:u w:val="none"/>
          <w:lang w:val="en-US" w:eastAsia="zh-CN" w:bidi="ar-SA"/>
        </w:rPr>
        <w:t>市工信局等按职责分工负责</w:t>
      </w:r>
      <w:r>
        <w:rPr>
          <w:rFonts w:hint="eastAsia" w:ascii="仿宋_GB2312" w:eastAsia="仿宋_GB2312" w:cs="仿宋_GB2312"/>
          <w:color w:val="auto"/>
          <w:spacing w:val="0"/>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仿宋_GB2312" w:eastAsia="仿宋_GB2312" w:cs="仿宋_GB2312"/>
          <w:color w:val="auto"/>
          <w:spacing w:val="0"/>
          <w:position w:val="0"/>
          <w:sz w:val="32"/>
          <w:szCs w:val="32"/>
          <w:highlight w:val="none"/>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（二十）稳步推进大气氨污染防控。</w:t>
      </w:r>
      <w:r>
        <w:rPr>
          <w:rFonts w:hint="eastAsia" w:ascii="仿宋_GB2312" w:eastAsia="仿宋_GB2312" w:cs="仿宋_GB2312"/>
          <w:color w:val="auto"/>
          <w:spacing w:val="0"/>
          <w:position w:val="0"/>
          <w:sz w:val="32"/>
          <w:szCs w:val="32"/>
          <w:highlight w:val="none"/>
          <w:u w:val="none"/>
          <w:lang w:val="en-US" w:eastAsia="zh-CN" w:bidi="ar-SA"/>
        </w:rPr>
        <w:t>推广氮肥机械深施和低蛋白日粮技术。研究畜禽养殖场氨气等臭气治理措施，鼓励生猪、鸡等圈舍封闭管理，支持粪污输送、存储及处理设施封闭，加强废气收集和处理。到2025年，大型规模化畜禽养殖场大气氨排放总量比2020年下降5%。推广氮肥深施技术，倡导使用缓释肥料、稳定性肥料等新产品，推广玉米种肥同播、小麦机械深施、水肥一体化等施肥新方式，降低氮肥氨排放水平。加强氮肥、纯碱等行业大气氨排放治理；强化工业源烟气脱硫脱硝氨逃逸防控。（</w:t>
      </w:r>
      <w:r>
        <w:rPr>
          <w:rFonts w:hint="eastAsia" w:ascii="楷体_GB2312" w:eastAsia="楷体_GB2312" w:cs="楷体_GB2312"/>
          <w:color w:val="auto"/>
          <w:spacing w:val="0"/>
          <w:position w:val="0"/>
          <w:sz w:val="32"/>
          <w:szCs w:val="32"/>
          <w:highlight w:val="none"/>
          <w:u w:val="none"/>
          <w:lang w:val="en-US" w:eastAsia="zh-CN" w:bidi="ar-SA"/>
        </w:rPr>
        <w:t>市生态环境局</w:t>
      </w:r>
      <w:r>
        <w:rPr>
          <w:rFonts w:hint="eastAsia" w:ascii="楷体_GB2312" w:eastAsia="楷体_GB2312" w:cs="楷体_GB2312"/>
          <w:color w:val="auto"/>
          <w:spacing w:val="0"/>
          <w:position w:val="0"/>
          <w:sz w:val="32"/>
          <w:szCs w:val="32"/>
          <w:highlight w:val="none"/>
          <w:u w:val="none"/>
          <w:lang w:val="en-US" w:eastAsia="en-US" w:bidi="ar-SA"/>
        </w:rPr>
        <w:t>、</w:t>
      </w:r>
      <w:r>
        <w:rPr>
          <w:rFonts w:hint="eastAsia" w:ascii="楷体_GB2312" w:eastAsia="楷体_GB2312" w:cs="楷体_GB2312"/>
          <w:color w:val="auto"/>
          <w:spacing w:val="0"/>
          <w:position w:val="0"/>
          <w:sz w:val="32"/>
          <w:szCs w:val="32"/>
          <w:highlight w:val="none"/>
          <w:u w:val="none"/>
          <w:lang w:val="en-US" w:eastAsia="zh-CN" w:bidi="ar-SA"/>
        </w:rPr>
        <w:t>市农业农村局等按职责分工负责</w:t>
      </w:r>
      <w:r>
        <w:rPr>
          <w:rFonts w:hint="eastAsia" w:ascii="仿宋_GB2312" w:eastAsia="仿宋_GB2312" w:cs="仿宋_GB2312"/>
          <w:color w:val="auto"/>
          <w:spacing w:val="0"/>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baseline"/>
        <w:outlineLvl w:val="0"/>
        <w:rPr>
          <w:rFonts w:hint="eastAsia" w:ascii="黑体" w:eastAsia="黑体" w:cs="黑体"/>
          <w:color w:val="auto"/>
          <w:spacing w:val="0"/>
          <w:position w:val="0"/>
          <w:sz w:val="32"/>
          <w:szCs w:val="32"/>
          <w:highlight w:val="none"/>
          <w:u w:val="none"/>
          <w:lang w:val="en-US" w:eastAsia="zh-CN" w:bidi="ar-SA"/>
        </w:rPr>
      </w:pPr>
      <w:r>
        <w:rPr>
          <w:rFonts w:hint="eastAsia" w:ascii="黑体" w:eastAsia="黑体" w:cs="黑体"/>
          <w:color w:val="auto"/>
          <w:spacing w:val="0"/>
          <w:position w:val="0"/>
          <w:sz w:val="32"/>
          <w:szCs w:val="32"/>
          <w:highlight w:val="none"/>
          <w:u w:val="none"/>
          <w:lang w:eastAsia="zh-CN" w:bidi="ar-SA"/>
        </w:rPr>
        <w:t>七、持续</w:t>
      </w:r>
      <w:r>
        <w:rPr>
          <w:rFonts w:hint="eastAsia" w:ascii="黑体" w:eastAsia="黑体" w:cs="黑体"/>
          <w:color w:val="auto"/>
          <w:spacing w:val="0"/>
          <w:position w:val="0"/>
          <w:sz w:val="32"/>
          <w:szCs w:val="32"/>
          <w:highlight w:val="none"/>
          <w:u w:val="none"/>
          <w:lang w:bidi="ar-SA"/>
        </w:rPr>
        <w:t>加强机制建设</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color w:val="auto"/>
          <w:kern w:val="0"/>
          <w:sz w:val="32"/>
          <w:szCs w:val="32"/>
          <w:highlight w:val="none"/>
          <w:u w:val="none"/>
          <w:lang w:val="en-US" w:eastAsia="zh-CN" w:bidi="ar"/>
        </w:rPr>
      </w:pPr>
      <w:r>
        <w:rPr>
          <w:rFonts w:hint="eastAsia" w:ascii="楷体_GB2312" w:eastAsia="楷体_GB2312" w:cs="楷体_GB2312"/>
          <w:color w:val="auto"/>
          <w:spacing w:val="0"/>
          <w:position w:val="0"/>
          <w:sz w:val="32"/>
          <w:szCs w:val="32"/>
          <w:highlight w:val="none"/>
          <w:u w:val="none"/>
          <w:lang w:val="en-US" w:eastAsia="zh-CN" w:bidi="ar-SA"/>
        </w:rPr>
        <w:t>（二十一)实施空气质量达标管理。</w:t>
      </w:r>
      <w:r>
        <w:rPr>
          <w:rFonts w:hint="eastAsia" w:ascii="仿宋_GB2312" w:eastAsia="仿宋_GB2312" w:cs="仿宋_GB2312"/>
          <w:color w:val="auto"/>
          <w:spacing w:val="0"/>
          <w:position w:val="0"/>
          <w:sz w:val="32"/>
          <w:szCs w:val="32"/>
          <w:highlight w:val="none"/>
          <w:u w:val="none"/>
          <w:lang w:val="en-US" w:eastAsia="zh-CN" w:bidi="ar-SA"/>
        </w:rPr>
        <w:t>2020年PM</w:t>
      </w:r>
      <w:r>
        <w:rPr>
          <w:rFonts w:hint="eastAsia" w:ascii="仿宋_GB2312" w:eastAsia="仿宋_GB2312" w:cs="仿宋_GB2312"/>
          <w:color w:val="auto"/>
          <w:spacing w:val="0"/>
          <w:position w:val="0"/>
          <w:sz w:val="32"/>
          <w:szCs w:val="32"/>
          <w:highlight w:val="none"/>
          <w:u w:val="none"/>
          <w:vertAlign w:val="subscript"/>
          <w:lang w:val="en-US" w:eastAsia="zh-CN" w:bidi="ar-SA"/>
        </w:rPr>
        <w:t>2.5</w:t>
      </w:r>
      <w:r>
        <w:rPr>
          <w:rFonts w:hint="eastAsia" w:ascii="仿宋_GB2312" w:eastAsia="仿宋_GB2312" w:cs="仿宋_GB2312"/>
          <w:color w:val="auto"/>
          <w:spacing w:val="0"/>
          <w:position w:val="0"/>
          <w:sz w:val="32"/>
          <w:szCs w:val="32"/>
          <w:highlight w:val="none"/>
          <w:u w:val="none"/>
          <w:lang w:val="en-US" w:eastAsia="zh-CN" w:bidi="ar-SA"/>
        </w:rPr>
        <w:t>浓度低于40微克/立方米的未达标县区“十四五”期间实现稳定达标;其他未达标县区明确“十四五”空气质量改善阶段目标。</w:t>
      </w:r>
      <w:r>
        <w:rPr>
          <w:rFonts w:hint="eastAsia" w:ascii="仿宋_GB2312" w:eastAsia="仿宋_GB2312" w:cs="仿宋_GB2312"/>
          <w:color w:val="auto"/>
          <w:kern w:val="0"/>
          <w:sz w:val="32"/>
          <w:szCs w:val="32"/>
          <w:highlight w:val="none"/>
          <w:u w:val="none"/>
          <w:lang w:val="en-US" w:eastAsia="zh-CN" w:bidi="ar"/>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市生态环境局</w:t>
      </w:r>
      <w:r>
        <w:rPr>
          <w:rFonts w:hint="eastAsia" w:ascii="仿宋_GB2312" w:eastAsia="仿宋_GB2312" w:cs="仿宋_GB2312"/>
          <w:color w:val="auto"/>
          <w:spacing w:val="0"/>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color w:val="auto"/>
          <w:kern w:val="0"/>
          <w:sz w:val="32"/>
          <w:szCs w:val="32"/>
          <w:highlight w:val="none"/>
          <w:u w:val="none"/>
          <w:lang w:val="en-US" w:eastAsia="zh-CN" w:bidi="ar"/>
        </w:rPr>
      </w:pPr>
      <w:r>
        <w:rPr>
          <w:rFonts w:hint="eastAsia" w:ascii="楷体_GB2312" w:eastAsia="楷体_GB2312" w:cs="楷体_GB2312"/>
          <w:color w:val="auto"/>
          <w:spacing w:val="0"/>
          <w:position w:val="0"/>
          <w:sz w:val="32"/>
          <w:szCs w:val="32"/>
          <w:highlight w:val="none"/>
          <w:u w:val="none"/>
          <w:lang w:val="en-US" w:eastAsia="zh-CN" w:bidi="ar-SA"/>
        </w:rPr>
        <w:t>（二十二）优化联防联控机制。</w:t>
      </w:r>
      <w:r>
        <w:rPr>
          <w:rFonts w:hint="default" w:ascii="Times New Roman" w:hAnsi="Times New Roman" w:eastAsia="仿宋_GB2312" w:cs="Times New Roman"/>
          <w:color w:val="auto"/>
          <w:sz w:val="32"/>
          <w:szCs w:val="32"/>
          <w:highlight w:val="none"/>
          <w:u w:val="none"/>
          <w:lang w:val="en-US" w:eastAsia="zh-CN" w:bidi="ar-SA"/>
        </w:rPr>
        <w:t>健全省内跨区域联防联控机制，统一预警启动条件、应急措施、监管执法。</w:t>
      </w:r>
      <w:r>
        <w:rPr>
          <w:rFonts w:hint="eastAsia" w:ascii="仿宋_GB2312" w:eastAsia="仿宋_GB2312" w:cs="仿宋_GB2312"/>
          <w:color w:val="auto"/>
          <w:kern w:val="0"/>
          <w:sz w:val="32"/>
          <w:szCs w:val="32"/>
          <w:u w:val="none"/>
          <w:lang w:val="en-US" w:eastAsia="zh-CN" w:bidi="ar"/>
        </w:rPr>
        <w:t>加强秦唐、秦葫等跨省、市域交界县（市、区）的协同防控，及时与省生态环境厅沟通，适时提请生态环境部启动跨省联防联控。</w:t>
      </w:r>
      <w:r>
        <w:rPr>
          <w:rFonts w:hint="eastAsia" w:ascii="仿宋_GB2312" w:eastAsia="仿宋_GB2312" w:cs="仿宋_GB2312"/>
          <w:color w:val="auto"/>
          <w:kern w:val="0"/>
          <w:sz w:val="32"/>
          <w:szCs w:val="32"/>
          <w:highlight w:val="none"/>
          <w:u w:val="none"/>
          <w:lang w:val="en-US" w:eastAsia="zh-CN" w:bidi="ar"/>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position w:val="0"/>
          <w:sz w:val="32"/>
          <w:szCs w:val="32"/>
          <w:highlight w:val="none"/>
          <w:u w:val="none"/>
          <w:lang w:val="en-US" w:eastAsia="zh-CN" w:bidi="ar-SA"/>
        </w:rPr>
        <w:t>市生态环境局、市气象局等按职责分工负责</w:t>
      </w:r>
      <w:r>
        <w:rPr>
          <w:rFonts w:hint="eastAsia" w:ascii="仿宋_GB2312" w:eastAsia="仿宋_GB2312" w:cs="仿宋_GB2312"/>
          <w:color w:val="auto"/>
          <w:spacing w:val="0"/>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color w:val="auto"/>
          <w:spacing w:val="0"/>
          <w:kern w:val="2"/>
          <w:position w:val="0"/>
          <w:sz w:val="32"/>
          <w:szCs w:val="32"/>
          <w:highlight w:val="none"/>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（二十三）健全重污染天气应对机制。</w:t>
      </w:r>
      <w:r>
        <w:rPr>
          <w:rFonts w:hint="eastAsia" w:ascii="仿宋_GB2312" w:eastAsia="仿宋_GB2312" w:cs="仿宋_GB2312"/>
          <w:color w:val="auto"/>
          <w:sz w:val="32"/>
          <w:szCs w:val="32"/>
          <w:highlight w:val="none"/>
          <w:u w:val="none"/>
          <w:lang w:bidi="ar-SA"/>
        </w:rPr>
        <w:t>建立健全市</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bidi="ar-SA"/>
        </w:rPr>
        <w:t>县</w:t>
      </w:r>
      <w:r>
        <w:rPr>
          <w:rFonts w:hint="eastAsia" w:ascii="仿宋_GB2312" w:eastAsia="仿宋_GB2312" w:cs="仿宋_GB2312"/>
          <w:color w:val="auto"/>
          <w:sz w:val="32"/>
          <w:szCs w:val="32"/>
          <w:highlight w:val="none"/>
          <w:u w:val="none"/>
          <w:lang w:eastAsia="zh-CN" w:bidi="ar-SA"/>
        </w:rPr>
        <w:t>两</w:t>
      </w:r>
      <w:r>
        <w:rPr>
          <w:rFonts w:hint="eastAsia" w:ascii="仿宋_GB2312" w:eastAsia="仿宋_GB2312" w:cs="仿宋_GB2312"/>
          <w:color w:val="auto"/>
          <w:sz w:val="32"/>
          <w:szCs w:val="32"/>
          <w:highlight w:val="none"/>
          <w:u w:val="none"/>
          <w:lang w:bidi="ar-SA"/>
        </w:rPr>
        <w:t>级重污染天气应急预案体系，</w:t>
      </w:r>
      <w:r>
        <w:rPr>
          <w:rFonts w:hint="eastAsia" w:ascii="仿宋_GB2312" w:eastAsia="仿宋_GB2312" w:cs="仿宋_GB2312"/>
          <w:color w:val="auto"/>
          <w:sz w:val="32"/>
          <w:szCs w:val="32"/>
          <w:highlight w:val="none"/>
          <w:u w:val="none"/>
          <w:lang w:eastAsia="zh-CN" w:bidi="ar-SA"/>
        </w:rPr>
        <w:t>完善修订</w:t>
      </w:r>
      <w:r>
        <w:rPr>
          <w:rFonts w:hint="eastAsia" w:ascii="仿宋_GB2312" w:eastAsia="仿宋_GB2312" w:cs="仿宋_GB2312"/>
          <w:bCs/>
          <w:color w:val="auto"/>
          <w:sz w:val="32"/>
          <w:szCs w:val="32"/>
          <w:highlight w:val="none"/>
          <w:u w:val="none"/>
          <w:lang w:bidi="ar-SA"/>
        </w:rPr>
        <w:t>《秦皇岛市重污染天气应急预案》</w:t>
      </w:r>
      <w:r>
        <w:rPr>
          <w:rFonts w:hint="eastAsia" w:ascii="仿宋_GB2312" w:eastAsia="仿宋_GB2312" w:cs="仿宋_GB2312"/>
          <w:bCs/>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val="en-US" w:eastAsia="zh-CN" w:bidi="ar-SA"/>
        </w:rPr>
        <w:t>细化重污染天气“一企一策”应急管控措施清单，</w:t>
      </w:r>
      <w:r>
        <w:rPr>
          <w:rFonts w:hint="eastAsia" w:ascii="仿宋_GB2312" w:eastAsia="仿宋_GB2312" w:cs="仿宋_GB2312"/>
          <w:color w:val="auto"/>
          <w:sz w:val="32"/>
          <w:szCs w:val="32"/>
          <w:highlight w:val="none"/>
          <w:u w:val="none"/>
          <w:lang w:bidi="ar-SA"/>
        </w:rPr>
        <w:t>结合排污许可制度，确保应急减排清单覆盖所有涉气企业。</w:t>
      </w:r>
      <w:r>
        <w:rPr>
          <w:rFonts w:hint="eastAsia" w:ascii="仿宋_GB2312" w:eastAsia="仿宋_GB2312" w:cs="仿宋_GB2312"/>
          <w:color w:val="auto"/>
          <w:sz w:val="32"/>
          <w:szCs w:val="32"/>
          <w:highlight w:val="none"/>
          <w:u w:val="none"/>
          <w:lang w:eastAsia="zh-CN" w:bidi="ar-SA"/>
        </w:rPr>
        <w:t>按照全省联防联控统一部署，</w:t>
      </w:r>
      <w:r>
        <w:rPr>
          <w:rFonts w:hint="eastAsia" w:ascii="仿宋_GB2312" w:eastAsia="仿宋_GB2312" w:cs="仿宋_GB2312"/>
          <w:color w:val="auto"/>
          <w:sz w:val="32"/>
          <w:szCs w:val="32"/>
          <w:highlight w:val="none"/>
          <w:u w:val="none"/>
          <w:lang w:bidi="ar-SA"/>
        </w:rPr>
        <w:t>依法依规同步采取应急响应措施。</w:t>
      </w:r>
      <w:r>
        <w:rPr>
          <w:rFonts w:hint="eastAsia" w:ascii="仿宋_GB2312" w:eastAsia="仿宋_GB2312" w:cs="仿宋_GB2312"/>
          <w:color w:val="auto"/>
          <w:sz w:val="32"/>
          <w:szCs w:val="32"/>
          <w:highlight w:val="none"/>
          <w:u w:val="none"/>
          <w:lang w:val="en-US" w:eastAsia="zh-CN" w:bidi="ar-SA"/>
        </w:rPr>
        <w:t>建立重污染天气期间火电、钢铁、焦化等燃煤企业运行负荷精准调控机制。</w:t>
      </w:r>
      <w:r>
        <w:rPr>
          <w:rFonts w:hint="eastAsia" w:ascii="楷体_GB2312" w:eastAsia="楷体_GB2312" w:cs="楷体_GB2312"/>
          <w:color w:val="auto"/>
          <w:spacing w:val="0"/>
          <w:kern w:val="2"/>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color w:val="auto"/>
          <w:spacing w:val="0"/>
          <w:kern w:val="2"/>
          <w:position w:val="0"/>
          <w:sz w:val="32"/>
          <w:szCs w:val="32"/>
          <w:highlight w:val="none"/>
          <w:u w:val="none"/>
          <w:lang w:val="en-US" w:eastAsia="zh-CN" w:bidi="ar-SA"/>
        </w:rPr>
        <w:t>市生态环境局、市气象局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color w:val="auto"/>
          <w:spacing w:val="0"/>
          <w:kern w:val="2"/>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baseline"/>
        <w:outlineLvl w:val="0"/>
        <w:rPr>
          <w:rFonts w:hint="eastAsia" w:ascii="黑体" w:eastAsia="黑体" w:cs="黑体"/>
          <w:color w:val="auto"/>
          <w:spacing w:val="0"/>
          <w:position w:val="0"/>
          <w:sz w:val="32"/>
          <w:szCs w:val="32"/>
          <w:highlight w:val="none"/>
          <w:u w:val="none"/>
          <w:lang w:eastAsia="zh-CN" w:bidi="ar-SA"/>
        </w:rPr>
      </w:pPr>
      <w:r>
        <w:rPr>
          <w:rFonts w:hint="eastAsia" w:ascii="黑体" w:eastAsia="黑体" w:cs="黑体"/>
          <w:color w:val="auto"/>
          <w:spacing w:val="0"/>
          <w:position w:val="0"/>
          <w:sz w:val="32"/>
          <w:szCs w:val="32"/>
          <w:highlight w:val="none"/>
          <w:u w:val="none"/>
          <w:lang w:eastAsia="zh-CN" w:bidi="ar-SA"/>
        </w:rPr>
        <w:t>八、持续</w:t>
      </w:r>
      <w:r>
        <w:rPr>
          <w:rFonts w:hint="eastAsia" w:ascii="黑体" w:eastAsia="黑体" w:cs="黑体"/>
          <w:color w:val="auto"/>
          <w:spacing w:val="0"/>
          <w:position w:val="0"/>
          <w:sz w:val="32"/>
          <w:szCs w:val="32"/>
          <w:highlight w:val="none"/>
          <w:u w:val="none"/>
          <w:lang w:bidi="ar-SA"/>
        </w:rPr>
        <w:t>加强能力建设</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eastAsia="楷体_GB2312" w:cs="楷体_GB2312"/>
          <w:snapToGrid w:val="0"/>
          <w:color w:val="auto"/>
          <w:spacing w:val="0"/>
          <w:kern w:val="0"/>
          <w:position w:val="0"/>
          <w:sz w:val="32"/>
          <w:szCs w:val="32"/>
          <w:highlight w:val="none"/>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（二十四）提升监测预警能力。</w:t>
      </w:r>
      <w:r>
        <w:rPr>
          <w:rFonts w:hint="default" w:ascii="Times New Roman" w:hAnsi="Times New Roman" w:eastAsia="仿宋_GB2312" w:cs="Times New Roman"/>
          <w:color w:val="auto"/>
          <w:sz w:val="32"/>
          <w:szCs w:val="32"/>
          <w:highlight w:val="none"/>
          <w:u w:val="none"/>
          <w:lang w:val="en-US" w:eastAsia="zh-CN" w:bidi="ar-SA"/>
        </w:rPr>
        <w:t>优化调整空气质量监测站点布局</w:t>
      </w:r>
      <w:r>
        <w:rPr>
          <w:rFonts w:hint="eastAsia" w:ascii="仿宋_GB2312" w:eastAsia="仿宋_GB2312" w:cs="仿宋_GB2312"/>
          <w:color w:val="auto"/>
          <w:kern w:val="2"/>
          <w:sz w:val="32"/>
          <w:szCs w:val="32"/>
          <w:highlight w:val="none"/>
          <w:u w:val="none"/>
          <w:lang w:val="en-US" w:eastAsia="zh-CN" w:bidi="ar-SA"/>
        </w:rPr>
        <w:t>，建立空气质量站点运维管理体系，实施站点运维全参数、全过程监控，严厉打击人为干扰和监测数据弄虚作假。</w:t>
      </w:r>
      <w:r>
        <w:rPr>
          <w:rFonts w:hint="eastAsia" w:ascii="仿宋_GB2312" w:eastAsia="仿宋_GB2312" w:cs="仿宋_GB2312"/>
          <w:color w:val="auto"/>
          <w:spacing w:val="0"/>
          <w:position w:val="0"/>
          <w:sz w:val="32"/>
          <w:szCs w:val="32"/>
          <w:highlight w:val="none"/>
          <w:u w:val="none"/>
          <w:lang w:bidi="ar-SA"/>
        </w:rPr>
        <w:t>加密钢铁、焦化企业CO传输监测，建立监测数据全覆盖、污染传输可视化和污染溯源精准化的监测体系。推动企业安装工况监控、用电</w:t>
      </w:r>
      <w:r>
        <w:rPr>
          <w:rFonts w:hint="eastAsia" w:ascii="仿宋_GB2312" w:eastAsia="仿宋_GB2312" w:cs="仿宋_GB2312"/>
          <w:color w:val="auto"/>
          <w:spacing w:val="0"/>
          <w:position w:val="0"/>
          <w:sz w:val="32"/>
          <w:szCs w:val="32"/>
          <w:highlight w:val="none"/>
          <w:u w:val="none"/>
          <w:lang w:eastAsia="zh-CN" w:bidi="ar-SA"/>
        </w:rPr>
        <w:t>（</w:t>
      </w:r>
      <w:r>
        <w:rPr>
          <w:rFonts w:hint="eastAsia" w:ascii="仿宋_GB2312" w:eastAsia="仿宋_GB2312" w:cs="仿宋_GB2312"/>
          <w:color w:val="auto"/>
          <w:spacing w:val="0"/>
          <w:position w:val="0"/>
          <w:sz w:val="32"/>
          <w:szCs w:val="32"/>
          <w:highlight w:val="none"/>
          <w:u w:val="none"/>
          <w:lang w:bidi="ar-SA"/>
        </w:rPr>
        <w:t>用能)监控、视频监控等，优化升级大气污染综合监管平台。</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snapToGrid w:val="0"/>
          <w:color w:val="auto"/>
          <w:spacing w:val="0"/>
          <w:kern w:val="0"/>
          <w:position w:val="0"/>
          <w:sz w:val="32"/>
          <w:szCs w:val="32"/>
          <w:highlight w:val="none"/>
          <w:u w:val="none"/>
          <w:lang w:val="en-US" w:eastAsia="zh-CN" w:bidi="ar-SA"/>
        </w:rPr>
        <w:t>市生态环境局）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color w:val="auto"/>
          <w:spacing w:val="0"/>
          <w:position w:val="0"/>
          <w:sz w:val="32"/>
          <w:szCs w:val="32"/>
          <w:highlight w:val="none"/>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（二十五）严格大气环境监管执法。</w:t>
      </w:r>
      <w:r>
        <w:rPr>
          <w:rFonts w:hint="eastAsia" w:ascii="仿宋_GB2312" w:eastAsia="仿宋_GB2312" w:cs="仿宋_GB2312"/>
          <w:bCs/>
          <w:color w:val="auto"/>
          <w:sz w:val="32"/>
          <w:szCs w:val="32"/>
          <w:highlight w:val="none"/>
          <w:u w:val="none"/>
          <w:lang w:val="en-US" w:eastAsia="zh-CN" w:bidi="ar-SA"/>
        </w:rPr>
        <w:t>深入推进非现场监管执法，提升各级生态环境部门执法监测能力，重点县区加快配备红外热成像仪、便携式氢火焰离子检测仪、手持式光离子化检测仪等装备。对参与弄虚作假的排污单位和第三方机构、人员依法追究责任，涉嫌犯罪的依法移送司法机关。聚焦空气质量排名落后、不降反升、存在突出问题等重点区域，秸秆垃圾露天焚烧、烟花爆竹禁燃禁放、集中供热改造、扬尘污染排查、散煤复燃管控、简易低效设施改造、在线监测数据弄虚作假打击、农用车进城管理等重点领域，重污染天气预警、重大活动保障等重点时段，进一步加大执法帮扶力度，利用现场监测、专家辅助执法等手段，统筹全市执法力量开展专项执法，进行精准帮扶。巩固“散乱污”企业整治成果，严防异地转移、死灰复燃，实现“散乱污”企业动态“清零”。</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snapToGrid w:val="0"/>
          <w:color w:val="auto"/>
          <w:spacing w:val="0"/>
          <w:kern w:val="0"/>
          <w:position w:val="0"/>
          <w:sz w:val="32"/>
          <w:szCs w:val="32"/>
          <w:highlight w:val="none"/>
          <w:u w:val="none"/>
          <w:lang w:val="en-US" w:eastAsia="zh-CN" w:bidi="ar-SA"/>
        </w:rPr>
        <w:t>市生态环境局、市公安局、市住建局、市城管执法局、市农业农村局、市市场监管局等按职责分工负责）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eastAsia="楷体_GB2312" w:cs="楷体_GB2312"/>
          <w:snapToGrid w:val="0"/>
          <w:color w:val="auto"/>
          <w:spacing w:val="0"/>
          <w:kern w:val="0"/>
          <w:position w:val="0"/>
          <w:sz w:val="32"/>
          <w:szCs w:val="32"/>
          <w:highlight w:val="none"/>
          <w:u w:val="none"/>
          <w:lang w:val="en-US" w:eastAsia="zh-CN" w:bidi="ar-SA"/>
        </w:rPr>
      </w:pPr>
      <w:r>
        <w:rPr>
          <w:rFonts w:hint="eastAsia" w:ascii="楷体_GB2312" w:eastAsia="楷体_GB2312" w:cs="楷体_GB2312"/>
          <w:color w:val="auto"/>
          <w:spacing w:val="0"/>
          <w:position w:val="0"/>
          <w:sz w:val="32"/>
          <w:szCs w:val="32"/>
          <w:highlight w:val="none"/>
          <w:u w:val="none"/>
          <w:lang w:val="en-US" w:eastAsia="zh-CN" w:bidi="ar-SA"/>
        </w:rPr>
        <w:t>（二十六）加强科技支撑。</w:t>
      </w:r>
      <w:r>
        <w:rPr>
          <w:rFonts w:hint="eastAsia" w:ascii="仿宋_GB2312" w:eastAsia="仿宋_GB2312" w:cs="仿宋_GB2312"/>
          <w:color w:val="auto"/>
          <w:spacing w:val="0"/>
          <w:sz w:val="32"/>
          <w:szCs w:val="32"/>
          <w:highlight w:val="none"/>
          <w:u w:val="none"/>
          <w:lang w:eastAsia="zh-CN" w:bidi="ar-SA"/>
        </w:rPr>
        <w:t>鼓励</w:t>
      </w:r>
      <w:r>
        <w:rPr>
          <w:rFonts w:hint="eastAsia" w:ascii="仿宋_GB2312" w:eastAsia="仿宋_GB2312" w:cs="仿宋_GB2312"/>
          <w:color w:val="auto"/>
          <w:spacing w:val="0"/>
          <w:sz w:val="32"/>
          <w:szCs w:val="32"/>
          <w:highlight w:val="none"/>
          <w:u w:val="none"/>
          <w:lang w:bidi="ar-SA"/>
        </w:rPr>
        <w:t>支持</w:t>
      </w:r>
      <w:r>
        <w:rPr>
          <w:rFonts w:hint="eastAsia" w:ascii="仿宋_GB2312" w:eastAsia="仿宋_GB2312" w:cs="仿宋_GB2312"/>
          <w:color w:val="auto"/>
          <w:sz w:val="32"/>
          <w:szCs w:val="32"/>
          <w:highlight w:val="none"/>
          <w:u w:val="none"/>
          <w:lang w:bidi="ar-SA"/>
        </w:rPr>
        <w:t>低浓度、大风量、中小型VOCs排放污染治理技术</w:t>
      </w:r>
      <w:r>
        <w:rPr>
          <w:rFonts w:hint="eastAsia" w:ascii="仿宋_GB2312" w:eastAsia="仿宋_GB2312" w:cs="仿宋_GB2312"/>
          <w:color w:val="auto"/>
          <w:sz w:val="32"/>
          <w:szCs w:val="32"/>
          <w:highlight w:val="none"/>
          <w:u w:val="none"/>
          <w:lang w:eastAsia="zh-CN" w:bidi="ar-SA"/>
        </w:rPr>
        <w:t>研发</w:t>
      </w:r>
      <w:r>
        <w:rPr>
          <w:rFonts w:hint="eastAsia" w:ascii="仿宋_GB2312" w:eastAsia="仿宋_GB2312" w:cs="仿宋_GB2312"/>
          <w:color w:val="auto"/>
          <w:sz w:val="32"/>
          <w:szCs w:val="32"/>
          <w:highlight w:val="none"/>
          <w:u w:val="none"/>
          <w:lang w:bidi="ar-SA"/>
        </w:rPr>
        <w:t>，提升VOCs关键功能性吸附催化材料的效果和稳定性。研究分类型工业炉窑清洁能源替代和末端治理路径，研发多污染物系统治理、低温脱硝、氨逃逸精准调控等技术和装备</w:t>
      </w:r>
      <w:r>
        <w:rPr>
          <w:rFonts w:hint="eastAsia" w:ascii="仿宋_GB2312" w:eastAsia="仿宋_GB2312" w:cs="仿宋_GB2312"/>
          <w:color w:val="auto"/>
          <w:sz w:val="32"/>
          <w:szCs w:val="32"/>
          <w:highlight w:val="none"/>
          <w:u w:val="none"/>
          <w:lang w:eastAsia="zh-CN" w:bidi="ar-SA"/>
        </w:rPr>
        <w:t>，</w:t>
      </w:r>
      <w:r>
        <w:rPr>
          <w:rFonts w:hint="eastAsia" w:ascii="仿宋_GB2312" w:eastAsia="仿宋_GB2312" w:cs="仿宋_GB2312"/>
          <w:color w:val="auto"/>
          <w:sz w:val="32"/>
          <w:szCs w:val="32"/>
          <w:highlight w:val="none"/>
          <w:u w:val="none"/>
          <w:lang w:bidi="ar-SA"/>
        </w:rPr>
        <w:t>建立示范工程，</w:t>
      </w:r>
      <w:r>
        <w:rPr>
          <w:rFonts w:hint="eastAsia" w:ascii="仿宋_GB2312" w:eastAsia="仿宋_GB2312" w:cs="仿宋_GB2312"/>
          <w:color w:val="auto"/>
          <w:sz w:val="32"/>
          <w:szCs w:val="32"/>
          <w:highlight w:val="none"/>
          <w:u w:val="none"/>
          <w:lang w:eastAsia="zh-CN" w:bidi="ar-SA"/>
        </w:rPr>
        <w:t>强化</w:t>
      </w:r>
      <w:r>
        <w:rPr>
          <w:rFonts w:hint="eastAsia" w:ascii="仿宋_GB2312" w:eastAsia="仿宋_GB2312" w:cs="仿宋_GB2312"/>
          <w:color w:val="auto"/>
          <w:sz w:val="32"/>
          <w:szCs w:val="32"/>
          <w:highlight w:val="none"/>
          <w:u w:val="none"/>
          <w:lang w:bidi="ar-SA"/>
        </w:rPr>
        <w:t>推广应用。推进致臭物质识别、恶臭污染评估和溯源技术方法研究。开展沙尘天气过程</w:t>
      </w:r>
      <w:r>
        <w:rPr>
          <w:rFonts w:hint="eastAsia" w:ascii="仿宋_GB2312" w:eastAsia="仿宋_GB2312" w:cs="仿宋_GB2312"/>
          <w:color w:val="auto"/>
          <w:sz w:val="32"/>
          <w:szCs w:val="32"/>
          <w:highlight w:val="none"/>
          <w:u w:val="none"/>
          <w:lang w:eastAsia="zh-CN" w:bidi="ar-SA"/>
        </w:rPr>
        <w:t>监控分析，</w:t>
      </w:r>
      <w:r>
        <w:rPr>
          <w:rFonts w:hint="eastAsia" w:ascii="仿宋_GB2312" w:eastAsia="仿宋_GB2312" w:cs="仿宋_GB2312"/>
          <w:color w:val="auto"/>
          <w:sz w:val="32"/>
          <w:szCs w:val="32"/>
          <w:highlight w:val="none"/>
          <w:u w:val="none"/>
          <w:lang w:bidi="ar-SA"/>
        </w:rPr>
        <w:t>逐年编制排放清单，</w:t>
      </w:r>
      <w:r>
        <w:rPr>
          <w:rFonts w:hint="eastAsia" w:ascii="仿宋_GB2312" w:eastAsia="仿宋_GB2312" w:cs="仿宋_GB2312"/>
          <w:color w:val="auto"/>
          <w:sz w:val="32"/>
          <w:szCs w:val="32"/>
          <w:highlight w:val="none"/>
          <w:u w:val="none"/>
          <w:lang w:eastAsia="zh-CN" w:bidi="ar-SA"/>
        </w:rPr>
        <w:t>到</w:t>
      </w:r>
      <w:r>
        <w:rPr>
          <w:rFonts w:hint="eastAsia" w:ascii="仿宋_GB2312" w:eastAsia="仿宋_GB2312" w:cs="仿宋_GB2312"/>
          <w:color w:val="auto"/>
          <w:sz w:val="32"/>
          <w:szCs w:val="32"/>
          <w:highlight w:val="none"/>
          <w:u w:val="none"/>
          <w:lang w:bidi="ar-SA"/>
        </w:rPr>
        <w:t>2025年</w:t>
      </w:r>
      <w:r>
        <w:rPr>
          <w:rFonts w:hint="eastAsia" w:ascii="仿宋_GB2312" w:eastAsia="仿宋_GB2312" w:cs="仿宋_GB2312"/>
          <w:color w:val="auto"/>
          <w:sz w:val="32"/>
          <w:szCs w:val="32"/>
          <w:highlight w:val="none"/>
          <w:u w:val="none"/>
          <w:lang w:eastAsia="zh-CN" w:bidi="ar-SA"/>
        </w:rPr>
        <w:t>，完成全市</w:t>
      </w:r>
      <w:r>
        <w:rPr>
          <w:rFonts w:hint="eastAsia" w:ascii="仿宋_GB2312" w:eastAsia="仿宋_GB2312" w:cs="仿宋_GB2312"/>
          <w:color w:val="auto"/>
          <w:sz w:val="32"/>
          <w:szCs w:val="32"/>
          <w:highlight w:val="none"/>
          <w:u w:val="none"/>
          <w:lang w:bidi="ar-SA"/>
        </w:rPr>
        <w:t>精细化排放清单编制</w:t>
      </w:r>
      <w:r>
        <w:rPr>
          <w:rFonts w:hint="eastAsia" w:ascii="仿宋_GB2312" w:eastAsia="仿宋_GB2312" w:cs="仿宋_GB2312"/>
          <w:color w:val="auto"/>
          <w:sz w:val="32"/>
          <w:szCs w:val="32"/>
          <w:highlight w:val="none"/>
          <w:u w:val="none"/>
          <w:lang w:eastAsia="zh-CN" w:bidi="ar-SA"/>
        </w:rPr>
        <w:t>，并</w:t>
      </w:r>
      <w:r>
        <w:rPr>
          <w:rFonts w:hint="eastAsia" w:ascii="仿宋_GB2312" w:eastAsia="仿宋_GB2312" w:cs="仿宋_GB2312"/>
          <w:color w:val="auto"/>
          <w:sz w:val="32"/>
          <w:szCs w:val="32"/>
          <w:highlight w:val="none"/>
          <w:u w:val="none"/>
          <w:lang w:bidi="ar-SA"/>
        </w:rPr>
        <w:t>逐年更新。</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snapToGrid w:val="0"/>
          <w:color w:val="auto"/>
          <w:spacing w:val="0"/>
          <w:kern w:val="0"/>
          <w:position w:val="0"/>
          <w:sz w:val="32"/>
          <w:szCs w:val="32"/>
          <w:highlight w:val="none"/>
          <w:u w:val="none"/>
          <w:lang w:val="en-US" w:eastAsia="zh-CN" w:bidi="ar-SA"/>
        </w:rPr>
        <w:t>市生态环境局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市科技局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市发改委、市气象局</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p>
    <w:p>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楷体_GB2312" w:eastAsia="楷体_GB2312" w:cs="楷体_GB2312"/>
          <w:color w:val="auto"/>
          <w:spacing w:val="0"/>
          <w:position w:val="0"/>
          <w:sz w:val="32"/>
          <w:szCs w:val="32"/>
          <w:highlight w:val="none"/>
          <w:u w:val="none"/>
          <w:lang w:eastAsia="zh-CN" w:bidi="ar-SA"/>
        </w:rPr>
      </w:pPr>
      <w:r>
        <w:rPr>
          <w:rFonts w:hint="eastAsia" w:ascii="楷体_GB2312" w:eastAsia="楷体_GB2312" w:cs="楷体_GB2312"/>
          <w:color w:val="auto"/>
          <w:spacing w:val="0"/>
          <w:kern w:val="2"/>
          <w:position w:val="0"/>
          <w:sz w:val="32"/>
          <w:szCs w:val="32"/>
          <w:highlight w:val="none"/>
          <w:u w:val="none"/>
          <w:lang w:val="en-US" w:eastAsia="zh-CN" w:bidi="ar-SA"/>
        </w:rPr>
        <w:t>（二十七）完善支持政策。</w:t>
      </w:r>
      <w:r>
        <w:rPr>
          <w:rFonts w:hint="eastAsia" w:ascii="仿宋_GB2312" w:eastAsia="仿宋_GB2312" w:cs="仿宋_GB2312"/>
          <w:color w:val="auto"/>
          <w:spacing w:val="0"/>
          <w:position w:val="0"/>
          <w:sz w:val="32"/>
          <w:szCs w:val="32"/>
          <w:highlight w:val="none"/>
          <w:u w:val="none"/>
          <w:lang w:val="en-US" w:eastAsia="en-US" w:bidi="ar-SA"/>
        </w:rPr>
        <w:t>积</w:t>
      </w:r>
      <w:r>
        <w:rPr>
          <w:rFonts w:hint="eastAsia" w:ascii="仿宋_GB2312" w:eastAsia="仿宋_GB2312" w:cs="仿宋_GB2312"/>
          <w:color w:val="auto"/>
          <w:spacing w:val="0"/>
          <w:position w:val="0"/>
          <w:sz w:val="32"/>
          <w:szCs w:val="32"/>
          <w:highlight w:val="none"/>
          <w:u w:val="none"/>
          <w:lang w:bidi="ar-SA"/>
        </w:rPr>
        <w:t>极争取中央大气污染防治资金支持。</w:t>
      </w:r>
      <w:r>
        <w:rPr>
          <w:rFonts w:hint="eastAsia" w:ascii="仿宋_GB2312" w:eastAsia="仿宋_GB2312" w:cs="仿宋_GB2312"/>
          <w:color w:val="auto"/>
          <w:sz w:val="32"/>
          <w:szCs w:val="32"/>
          <w:highlight w:val="none"/>
          <w:u w:val="none"/>
          <w:lang w:eastAsia="zh-CN" w:bidi="ar-SA"/>
        </w:rPr>
        <w:t>鼓励银行业金融机构积极拓展绿色金融业务，不断加强对高质量发展和绿色低碳发展的金融支持</w:t>
      </w:r>
      <w:r>
        <w:rPr>
          <w:rFonts w:hint="eastAsia" w:ascii="仿宋_GB2312" w:eastAsia="仿宋_GB2312" w:cs="仿宋_GB2312"/>
          <w:color w:val="auto"/>
          <w:sz w:val="32"/>
          <w:szCs w:val="32"/>
          <w:highlight w:val="none"/>
          <w:u w:val="none"/>
          <w:lang w:bidi="ar-SA"/>
        </w:rPr>
        <w:t>。</w:t>
      </w:r>
      <w:r>
        <w:rPr>
          <w:rFonts w:hint="eastAsia" w:ascii="仿宋_GB2312" w:eastAsia="仿宋_GB2312" w:cs="仿宋_GB2312"/>
          <w:color w:val="auto"/>
          <w:spacing w:val="0"/>
          <w:position w:val="0"/>
          <w:sz w:val="32"/>
          <w:szCs w:val="32"/>
          <w:highlight w:val="none"/>
          <w:u w:val="none"/>
          <w:lang w:bidi="ar-SA"/>
        </w:rPr>
        <w:t>2025年底前，对实行两部制电价的港口岸电运营商用电，免收需量（容量）电费。</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r>
        <w:rPr>
          <w:rFonts w:hint="eastAsia" w:ascii="楷体_GB2312" w:eastAsia="楷体_GB2312" w:cs="楷体_GB2312"/>
          <w:color w:val="auto"/>
          <w:spacing w:val="0"/>
          <w:position w:val="0"/>
          <w:sz w:val="32"/>
          <w:szCs w:val="32"/>
          <w:highlight w:val="none"/>
          <w:u w:val="none"/>
          <w:lang w:eastAsia="zh-CN" w:bidi="ar-SA"/>
        </w:rPr>
        <w:t>责任单位：</w:t>
      </w:r>
      <w:r>
        <w:rPr>
          <w:rFonts w:hint="eastAsia" w:ascii="楷体_GB2312" w:eastAsia="楷体_GB2312" w:cs="楷体_GB2312"/>
          <w:snapToGrid w:val="0"/>
          <w:color w:val="auto"/>
          <w:spacing w:val="0"/>
          <w:kern w:val="0"/>
          <w:position w:val="0"/>
          <w:sz w:val="32"/>
          <w:szCs w:val="32"/>
          <w:highlight w:val="none"/>
          <w:u w:val="none"/>
          <w:lang w:val="en-US" w:eastAsia="zh-CN" w:bidi="ar-SA"/>
        </w:rPr>
        <w:t>市发改委、市财政局</w:t>
      </w:r>
      <w:r>
        <w:rPr>
          <w:rFonts w:hint="eastAsia" w:ascii="楷体_GB2312" w:eastAsia="楷体_GB2312" w:cs="楷体_GB2312"/>
          <w:snapToGrid w:val="0"/>
          <w:color w:val="auto"/>
          <w:spacing w:val="0"/>
          <w:kern w:val="0"/>
          <w:position w:val="0"/>
          <w:sz w:val="32"/>
          <w:szCs w:val="32"/>
          <w:highlight w:val="none"/>
          <w:u w:val="none"/>
          <w:lang w:val="en-US" w:eastAsia="en-US" w:bidi="ar-SA"/>
        </w:rPr>
        <w:t>、</w:t>
      </w:r>
      <w:r>
        <w:rPr>
          <w:rFonts w:hint="eastAsia" w:ascii="楷体_GB2312" w:eastAsia="楷体_GB2312" w:cs="楷体_GB2312"/>
          <w:snapToGrid w:val="0"/>
          <w:color w:val="auto"/>
          <w:spacing w:val="0"/>
          <w:kern w:val="0"/>
          <w:position w:val="0"/>
          <w:sz w:val="32"/>
          <w:szCs w:val="32"/>
          <w:highlight w:val="none"/>
          <w:u w:val="none"/>
          <w:lang w:val="en-US" w:eastAsia="zh-CN" w:bidi="ar-SA"/>
        </w:rPr>
        <w:t>市生态环境局、市海洋渔业局、秦皇岛银监局、秦皇岛供电公司</w:t>
      </w:r>
      <w:r>
        <w:rPr>
          <w:rFonts w:hint="eastAsia" w:ascii="楷体_GB2312" w:eastAsia="楷体_GB2312" w:cs="楷体_GB2312"/>
          <w:color w:val="auto"/>
          <w:spacing w:val="0"/>
          <w:position w:val="0"/>
          <w:sz w:val="32"/>
          <w:szCs w:val="32"/>
          <w:highlight w:val="none"/>
          <w:u w:val="none"/>
          <w:lang w:val="en-US" w:eastAsia="zh-CN" w:bidi="ar-SA"/>
        </w:rPr>
        <w:t>等按职责分工负责</w:t>
      </w:r>
      <w:r>
        <w:rPr>
          <w:rFonts w:hint="eastAsia" w:ascii="楷体_GB2312" w:eastAsia="楷体_GB2312" w:cs="楷体_GB2312"/>
          <w:snapToGrid w:val="0"/>
          <w:color w:val="auto"/>
          <w:spacing w:val="0"/>
          <w:kern w:val="0"/>
          <w:position w:val="0"/>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baseline"/>
        <w:outlineLvl w:val="0"/>
        <w:rPr>
          <w:rFonts w:hint="eastAsia" w:ascii="黑体" w:eastAsia="黑体" w:cs="黑体"/>
          <w:color w:val="auto"/>
          <w:spacing w:val="0"/>
          <w:position w:val="0"/>
          <w:sz w:val="32"/>
          <w:szCs w:val="32"/>
          <w:highlight w:val="none"/>
          <w:u w:val="none"/>
          <w:lang w:eastAsia="zh-CN" w:bidi="ar-SA"/>
        </w:rPr>
      </w:pPr>
      <w:r>
        <w:rPr>
          <w:rFonts w:hint="eastAsia" w:ascii="黑体" w:eastAsia="黑体" w:cs="黑体"/>
          <w:color w:val="auto"/>
          <w:spacing w:val="0"/>
          <w:position w:val="0"/>
          <w:sz w:val="32"/>
          <w:szCs w:val="32"/>
          <w:highlight w:val="none"/>
          <w:u w:val="none"/>
          <w:lang w:eastAsia="zh-CN" w:bidi="ar-SA"/>
        </w:rPr>
        <w:t>九、保障措施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baseline"/>
        <w:outlineLvl w:val="0"/>
        <w:rPr>
          <w:rFonts w:hint="default" w:ascii="Times New Roman" w:hAnsi="Times New Roman" w:eastAsia="仿宋_GB2312" w:cs="Times New Roman"/>
          <w:color w:val="auto"/>
          <w:sz w:val="32"/>
          <w:szCs w:val="32"/>
          <w:highlight w:val="none"/>
          <w:u w:val="none"/>
          <w:lang w:val="en-US" w:eastAsia="zh-CN" w:bidi="ar-SA"/>
        </w:rPr>
      </w:pPr>
      <w:r>
        <w:rPr>
          <w:rFonts w:hint="default" w:ascii="Times New Roman" w:hAnsi="Times New Roman" w:eastAsia="仿宋_GB2312" w:cs="Times New Roman"/>
          <w:color w:val="auto"/>
          <w:sz w:val="32"/>
          <w:szCs w:val="32"/>
          <w:highlight w:val="none"/>
          <w:u w:val="none"/>
          <w:lang w:val="en-US" w:eastAsia="zh-CN" w:bidi="ar-SA"/>
        </w:rPr>
        <w:t>坚持党对大气污染防治工作的全面领导，各</w:t>
      </w:r>
      <w:r>
        <w:rPr>
          <w:rFonts w:hint="eastAsia" w:ascii="Times New Roman" w:hAnsi="Times New Roman" w:eastAsia="仿宋_GB2312" w:cs="Times New Roman"/>
          <w:color w:val="auto"/>
          <w:sz w:val="32"/>
          <w:szCs w:val="32"/>
          <w:highlight w:val="none"/>
          <w:u w:val="none"/>
          <w:lang w:val="en-US" w:eastAsia="zh-CN" w:bidi="ar-SA"/>
        </w:rPr>
        <w:t>县区</w:t>
      </w:r>
      <w:r>
        <w:rPr>
          <w:rFonts w:hint="default" w:ascii="Times New Roman" w:hAnsi="Times New Roman" w:eastAsia="仿宋_GB2312" w:cs="Times New Roman"/>
          <w:color w:val="auto"/>
          <w:sz w:val="32"/>
          <w:szCs w:val="32"/>
          <w:highlight w:val="none"/>
          <w:u w:val="none"/>
          <w:lang w:val="en-US" w:eastAsia="zh-CN" w:bidi="ar-SA"/>
        </w:rPr>
        <w:t>政府对本行政区域空气质量负总责。</w:t>
      </w:r>
      <w:r>
        <w:rPr>
          <w:rFonts w:hint="eastAsia" w:ascii="Times New Roman" w:hAnsi="Times New Roman" w:eastAsia="仿宋_GB2312" w:cs="Times New Roman"/>
          <w:color w:val="auto"/>
          <w:sz w:val="32"/>
          <w:szCs w:val="32"/>
          <w:highlight w:val="none"/>
          <w:u w:val="none"/>
          <w:lang w:val="en-US" w:eastAsia="zh-CN" w:bidi="ar-SA"/>
        </w:rPr>
        <w:t>严格落实</w:t>
      </w:r>
      <w:r>
        <w:rPr>
          <w:rFonts w:hint="default" w:ascii="Times New Roman" w:hAnsi="Times New Roman" w:eastAsia="仿宋_GB2312" w:cs="Times New Roman"/>
          <w:color w:val="auto"/>
          <w:sz w:val="32"/>
          <w:szCs w:val="32"/>
          <w:highlight w:val="none"/>
          <w:u w:val="none"/>
          <w:lang w:val="en-US" w:eastAsia="zh-CN" w:bidi="ar-SA"/>
        </w:rPr>
        <w:t>空气质量</w:t>
      </w:r>
      <w:r>
        <w:rPr>
          <w:rFonts w:hint="eastAsia" w:ascii="Times New Roman" w:hAnsi="Times New Roman" w:eastAsia="仿宋_GB2312" w:cs="Times New Roman"/>
          <w:color w:val="auto"/>
          <w:sz w:val="32"/>
          <w:szCs w:val="32"/>
          <w:highlight w:val="none"/>
          <w:u w:val="none"/>
          <w:lang w:val="en-US" w:eastAsia="zh-CN" w:bidi="ar-SA"/>
        </w:rPr>
        <w:t>“</w:t>
      </w:r>
      <w:r>
        <w:rPr>
          <w:rFonts w:hint="default" w:ascii="Times New Roman" w:hAnsi="Times New Roman" w:eastAsia="仿宋_GB2312" w:cs="Times New Roman"/>
          <w:color w:val="auto"/>
          <w:sz w:val="32"/>
          <w:szCs w:val="32"/>
          <w:highlight w:val="none"/>
          <w:u w:val="none"/>
          <w:lang w:val="en-US" w:eastAsia="zh-CN" w:bidi="ar-SA"/>
        </w:rPr>
        <w:t>防火墙</w:t>
      </w:r>
      <w:r>
        <w:rPr>
          <w:rFonts w:hint="eastAsia" w:ascii="Times New Roman" w:hAnsi="Times New Roman" w:eastAsia="仿宋_GB2312" w:cs="Times New Roman"/>
          <w:color w:val="auto"/>
          <w:sz w:val="32"/>
          <w:szCs w:val="32"/>
          <w:highlight w:val="none"/>
          <w:u w:val="none"/>
          <w:lang w:val="en-US" w:eastAsia="zh-CN" w:bidi="ar-SA"/>
        </w:rPr>
        <w:t>”</w:t>
      </w:r>
      <w:r>
        <w:rPr>
          <w:rFonts w:hint="default" w:ascii="Times New Roman" w:hAnsi="Times New Roman" w:eastAsia="仿宋_GB2312" w:cs="Times New Roman"/>
          <w:color w:val="auto"/>
          <w:sz w:val="32"/>
          <w:szCs w:val="32"/>
          <w:highlight w:val="none"/>
          <w:u w:val="none"/>
          <w:lang w:val="en-US" w:eastAsia="zh-CN" w:bidi="ar-SA"/>
        </w:rPr>
        <w:t>机制</w:t>
      </w:r>
      <w:r>
        <w:rPr>
          <w:rFonts w:hint="eastAsia" w:ascii="Times New Roman" w:hAnsi="Times New Roman" w:eastAsia="仿宋_GB2312" w:cs="Times New Roman"/>
          <w:color w:val="auto"/>
          <w:sz w:val="32"/>
          <w:szCs w:val="32"/>
          <w:highlight w:val="none"/>
          <w:u w:val="none"/>
          <w:lang w:val="en-US" w:eastAsia="zh-CN" w:bidi="ar-SA"/>
        </w:rPr>
        <w:t>，</w:t>
      </w:r>
      <w:r>
        <w:rPr>
          <w:rFonts w:hint="default" w:ascii="Times New Roman" w:hAnsi="Times New Roman" w:eastAsia="仿宋_GB2312" w:cs="Times New Roman"/>
          <w:color w:val="auto"/>
          <w:sz w:val="32"/>
          <w:szCs w:val="32"/>
          <w:highlight w:val="none"/>
          <w:u w:val="none"/>
          <w:lang w:val="en-US" w:eastAsia="zh-CN" w:bidi="ar-SA"/>
        </w:rPr>
        <w:t>对国控点6因子排名进入全省76</w:t>
      </w:r>
      <w:r>
        <w:rPr>
          <w:rFonts w:hint="eastAsia" w:ascii="Times New Roman" w:hAnsi="Times New Roman" w:eastAsia="仿宋_GB2312" w:cs="Times New Roman"/>
          <w:color w:val="auto"/>
          <w:sz w:val="32"/>
          <w:szCs w:val="32"/>
          <w:highlight w:val="none"/>
          <w:u w:val="none"/>
          <w:lang w:val="en-US" w:eastAsia="zh-CN" w:bidi="ar-SA"/>
        </w:rPr>
        <w:t>个</w:t>
      </w:r>
      <w:r>
        <w:rPr>
          <w:rFonts w:hint="default" w:ascii="Times New Roman" w:hAnsi="Times New Roman" w:eastAsia="仿宋_GB2312" w:cs="Times New Roman"/>
          <w:color w:val="auto"/>
          <w:sz w:val="32"/>
          <w:szCs w:val="32"/>
          <w:highlight w:val="none"/>
          <w:u w:val="none"/>
          <w:lang w:val="en-US" w:eastAsia="zh-CN" w:bidi="ar-SA"/>
        </w:rPr>
        <w:t>国控点排名后15</w:t>
      </w:r>
      <w:r>
        <w:rPr>
          <w:rFonts w:hint="eastAsia" w:ascii="Times New Roman" w:hAnsi="Times New Roman" w:eastAsia="仿宋_GB2312" w:cs="Times New Roman"/>
          <w:color w:val="auto"/>
          <w:sz w:val="32"/>
          <w:szCs w:val="32"/>
          <w:highlight w:val="none"/>
          <w:u w:val="none"/>
          <w:lang w:val="en-US" w:eastAsia="zh-CN" w:bidi="ar-SA"/>
        </w:rPr>
        <w:t>的</w:t>
      </w:r>
      <w:r>
        <w:rPr>
          <w:rFonts w:hint="default" w:ascii="Times New Roman" w:hAnsi="Times New Roman" w:eastAsia="仿宋_GB2312" w:cs="Times New Roman"/>
          <w:color w:val="auto"/>
          <w:sz w:val="32"/>
          <w:szCs w:val="32"/>
          <w:highlight w:val="none"/>
          <w:u w:val="none"/>
          <w:lang w:val="en-US" w:eastAsia="zh-CN" w:bidi="ar-SA"/>
        </w:rPr>
        <w:t>或年度综合指数在全省167</w:t>
      </w:r>
      <w:r>
        <w:rPr>
          <w:rFonts w:hint="eastAsia" w:ascii="Times New Roman" w:hAnsi="Times New Roman" w:eastAsia="仿宋_GB2312" w:cs="Times New Roman"/>
          <w:color w:val="auto"/>
          <w:sz w:val="32"/>
          <w:szCs w:val="32"/>
          <w:highlight w:val="none"/>
          <w:u w:val="none"/>
          <w:lang w:val="en-US" w:eastAsia="zh-CN" w:bidi="ar-SA"/>
        </w:rPr>
        <w:t>个</w:t>
      </w:r>
      <w:r>
        <w:rPr>
          <w:rFonts w:hint="default" w:ascii="Times New Roman" w:hAnsi="Times New Roman" w:eastAsia="仿宋_GB2312" w:cs="Times New Roman"/>
          <w:color w:val="auto"/>
          <w:sz w:val="32"/>
          <w:szCs w:val="32"/>
          <w:highlight w:val="none"/>
          <w:u w:val="none"/>
          <w:lang w:val="en-US" w:eastAsia="zh-CN" w:bidi="ar-SA"/>
        </w:rPr>
        <w:t>县区排名较去年同期下滑的县区，每天向</w:t>
      </w:r>
      <w:r>
        <w:rPr>
          <w:rFonts w:hint="eastAsia" w:ascii="Times New Roman" w:hAnsi="Times New Roman" w:eastAsia="仿宋_GB2312" w:cs="Times New Roman"/>
          <w:color w:val="auto"/>
          <w:sz w:val="32"/>
          <w:szCs w:val="32"/>
          <w:highlight w:val="none"/>
          <w:u w:val="none"/>
          <w:lang w:val="en-US" w:eastAsia="zh-CN" w:bidi="ar-SA"/>
        </w:rPr>
        <w:t>党委、政府</w:t>
      </w:r>
      <w:r>
        <w:rPr>
          <w:rFonts w:hint="default" w:ascii="Times New Roman" w:hAnsi="Times New Roman" w:eastAsia="仿宋_GB2312" w:cs="Times New Roman"/>
          <w:color w:val="auto"/>
          <w:sz w:val="32"/>
          <w:szCs w:val="32"/>
          <w:highlight w:val="none"/>
          <w:u w:val="none"/>
          <w:lang w:val="en-US" w:eastAsia="zh-CN" w:bidi="ar-SA"/>
        </w:rPr>
        <w:t>主要</w:t>
      </w:r>
      <w:r>
        <w:rPr>
          <w:rFonts w:hint="eastAsia" w:ascii="Times New Roman" w:hAnsi="Times New Roman" w:eastAsia="仿宋_GB2312" w:cs="Times New Roman"/>
          <w:color w:val="auto"/>
          <w:sz w:val="32"/>
          <w:szCs w:val="32"/>
          <w:highlight w:val="none"/>
          <w:u w:val="none"/>
          <w:lang w:val="en-US" w:eastAsia="zh-CN" w:bidi="ar-SA"/>
        </w:rPr>
        <w:t>负责同志</w:t>
      </w:r>
      <w:r>
        <w:rPr>
          <w:rFonts w:hint="default" w:ascii="Times New Roman" w:hAnsi="Times New Roman" w:eastAsia="仿宋_GB2312" w:cs="Times New Roman"/>
          <w:color w:val="auto"/>
          <w:sz w:val="32"/>
          <w:szCs w:val="32"/>
          <w:highlight w:val="none"/>
          <w:u w:val="none"/>
          <w:lang w:val="en-US" w:eastAsia="zh-CN" w:bidi="ar-SA"/>
        </w:rPr>
        <w:t>发</w:t>
      </w:r>
      <w:r>
        <w:rPr>
          <w:rFonts w:hint="eastAsia" w:ascii="Times New Roman" w:hAnsi="Times New Roman" w:eastAsia="仿宋_GB2312" w:cs="Times New Roman"/>
          <w:color w:val="auto"/>
          <w:sz w:val="32"/>
          <w:szCs w:val="32"/>
          <w:highlight w:val="none"/>
          <w:u w:val="none"/>
          <w:lang w:val="en-US" w:eastAsia="zh-CN" w:bidi="ar-SA"/>
        </w:rPr>
        <w:t>预警、</w:t>
      </w:r>
      <w:r>
        <w:rPr>
          <w:rFonts w:hint="default" w:ascii="Times New Roman" w:hAnsi="Times New Roman" w:eastAsia="仿宋_GB2312" w:cs="Times New Roman"/>
          <w:color w:val="auto"/>
          <w:sz w:val="32"/>
          <w:szCs w:val="32"/>
          <w:highlight w:val="none"/>
          <w:u w:val="none"/>
          <w:lang w:val="en-US" w:eastAsia="zh-CN" w:bidi="ar-SA"/>
        </w:rPr>
        <w:t>提示函。</w:t>
      </w:r>
      <w:r>
        <w:rPr>
          <w:rFonts w:hint="eastAsia" w:ascii="Times New Roman" w:hAnsi="Times New Roman" w:eastAsia="仿宋_GB2312" w:cs="Times New Roman"/>
          <w:color w:val="auto"/>
          <w:sz w:val="32"/>
          <w:szCs w:val="32"/>
          <w:highlight w:val="none"/>
          <w:u w:val="none"/>
          <w:lang w:val="en-US" w:eastAsia="zh-CN" w:bidi="ar-SA"/>
        </w:rPr>
        <w:t>市直</w:t>
      </w:r>
      <w:r>
        <w:rPr>
          <w:rFonts w:hint="default" w:ascii="Times New Roman" w:hAnsi="Times New Roman" w:eastAsia="仿宋_GB2312" w:cs="Times New Roman"/>
          <w:color w:val="auto"/>
          <w:sz w:val="32"/>
          <w:szCs w:val="32"/>
          <w:highlight w:val="none"/>
          <w:u w:val="none"/>
          <w:lang w:val="en-US" w:eastAsia="zh-CN" w:bidi="ar-SA"/>
        </w:rPr>
        <w:t>有关部门要强化对深入打好蓝天保卫战重大工程的政策、价格、金融、市场等支持。</w:t>
      </w:r>
      <w:r>
        <w:rPr>
          <w:rFonts w:hint="eastAsia" w:ascii="Times New Roman" w:hAnsi="Times New Roman" w:eastAsia="仿宋_GB2312" w:cs="Times New Roman"/>
          <w:color w:val="auto"/>
          <w:sz w:val="32"/>
          <w:szCs w:val="32"/>
          <w:highlight w:val="none"/>
          <w:u w:val="none"/>
          <w:lang w:val="en-US" w:eastAsia="zh-CN" w:bidi="ar-SA"/>
        </w:rPr>
        <w:t>各县区</w:t>
      </w:r>
      <w:r>
        <w:rPr>
          <w:rFonts w:hint="default" w:ascii="Times New Roman" w:hAnsi="Times New Roman" w:eastAsia="仿宋_GB2312" w:cs="Times New Roman"/>
          <w:color w:val="auto"/>
          <w:sz w:val="32"/>
          <w:szCs w:val="32"/>
          <w:highlight w:val="none"/>
          <w:u w:val="none"/>
          <w:lang w:val="en-US" w:eastAsia="zh-CN" w:bidi="ar-SA"/>
        </w:rPr>
        <w:t>要结合实际细化工作举措，强化公众参与，</w:t>
      </w:r>
      <w:r>
        <w:rPr>
          <w:rFonts w:hint="eastAsia" w:ascii="Times New Roman" w:hAnsi="Times New Roman" w:eastAsia="仿宋_GB2312" w:cs="Times New Roman"/>
          <w:color w:val="auto"/>
          <w:sz w:val="32"/>
          <w:szCs w:val="32"/>
          <w:highlight w:val="none"/>
          <w:u w:val="none"/>
          <w:lang w:val="en-US" w:eastAsia="zh-CN" w:bidi="ar-SA"/>
        </w:rPr>
        <w:t>推进全市空气质量持续改善</w:t>
      </w:r>
      <w:r>
        <w:rPr>
          <w:rFonts w:hint="default" w:ascii="Times New Roman" w:hAnsi="Times New Roman" w:eastAsia="仿宋_GB2312" w:cs="Times New Roman"/>
          <w:color w:val="auto"/>
          <w:sz w:val="32"/>
          <w:szCs w:val="32"/>
          <w:highlight w:val="none"/>
          <w:u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textAlignment w:val="baseline"/>
        <w:outlineLvl w:val="0"/>
        <w:rPr>
          <w:rFonts w:hint="eastAsia" w:ascii="楷体_GB2312" w:eastAsia="楷体_GB2312" w:cs="楷体_GB2312"/>
          <w:color w:val="auto"/>
          <w:spacing w:val="0"/>
          <w:position w:val="0"/>
          <w:sz w:val="32"/>
          <w:szCs w:val="32"/>
          <w:highlight w:val="none"/>
          <w:u w:val="none"/>
          <w:lang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楷体_GB2312" w:eastAsia="楷体_GB2312" w:cs="楷体_GB2312"/>
          <w:snapToGrid w:val="0"/>
          <w:color w:val="auto"/>
          <w:spacing w:val="0"/>
          <w:kern w:val="0"/>
          <w:position w:val="0"/>
          <w:sz w:val="32"/>
          <w:szCs w:val="32"/>
          <w:highlight w:val="none"/>
          <w:u w:val="none"/>
          <w:lang w:val="en-US" w:eastAsia="zh-CN" w:bidi="ar-SA"/>
        </w:rPr>
      </w:pPr>
    </w:p>
    <w:p>
      <w:pPr>
        <w:pageBreakBefore w:val="0"/>
        <w:kinsoku/>
        <w:wordWrap/>
        <w:overflowPunct/>
        <w:topLinePunct w:val="0"/>
        <w:autoSpaceDE/>
        <w:autoSpaceDN/>
        <w:bidi w:val="0"/>
        <w:spacing w:line="560" w:lineRule="exact"/>
        <w:textAlignment w:val="auto"/>
        <w:rPr>
          <w:rFonts w:hint="eastAsia" w:ascii="仿宋_GB2312" w:hAnsi="宋体" w:eastAsia="仿宋_GB2312"/>
          <w:sz w:val="32"/>
          <w:szCs w:val="32"/>
        </w:rPr>
      </w:pPr>
    </w:p>
    <w:p>
      <w:pPr>
        <w:pageBreakBefore w:val="0"/>
        <w:kinsoku/>
        <w:wordWrap/>
        <w:overflowPunct/>
        <w:topLinePunct w:val="0"/>
        <w:autoSpaceDE/>
        <w:autoSpaceDN/>
        <w:bidi w:val="0"/>
        <w:spacing w:line="560" w:lineRule="exact"/>
        <w:textAlignment w:val="auto"/>
        <w:rPr>
          <w:b/>
          <w:bCs/>
        </w:rPr>
      </w:pPr>
    </w:p>
    <w:sectPr>
      <w:headerReference r:id="rId3" w:type="default"/>
      <w:footerReference r:id="rId4" w:type="default"/>
      <w:footerReference r:id="rId5" w:type="even"/>
      <w:pgSz w:w="11906" w:h="16838"/>
      <w:pgMar w:top="2098" w:right="1474" w:bottom="1985"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EB7E8A-A70A-472B-896C-33D4D94362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EB3884C-0C75-4F1A-98B4-CB752E49B9BD}"/>
  </w:font>
  <w:font w:name="PMingLiU">
    <w:altName w:val="PMingLiU-ExtB"/>
    <w:panose1 w:val="02020500000000000000"/>
    <w:charset w:val="88"/>
    <w:family w:val="auto"/>
    <w:pitch w:val="default"/>
    <w:sig w:usb0="A00002FF" w:usb1="28CFFCFA"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3" w:fontKey="{5AF82EE0-2804-425E-A458-0D2F754D7C1B}"/>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2BA3BAB4-9CB3-463A-91D8-FA3CED37792C}"/>
  </w:font>
  <w:font w:name="楷体">
    <w:panose1 w:val="02010609060101010101"/>
    <w:charset w:val="86"/>
    <w:family w:val="auto"/>
    <w:pitch w:val="default"/>
    <w:sig w:usb0="800002BF" w:usb1="38CF7CFA" w:usb2="00000016" w:usb3="00000000" w:csb0="00040001" w:csb1="00000000"/>
    <w:embedRegular r:id="rId5" w:fontKey="{B1483358-F714-4E50-AFAB-492F1B8EDE16}"/>
  </w:font>
  <w:font w:name="楷体_GB2312">
    <w:panose1 w:val="02010609030101010101"/>
    <w:charset w:val="86"/>
    <w:family w:val="auto"/>
    <w:pitch w:val="default"/>
    <w:sig w:usb0="00000001" w:usb1="080E0000" w:usb2="00000000" w:usb3="00000000" w:csb0="00040000" w:csb1="00000000"/>
    <w:embedRegular r:id="rId6" w:fontKey="{048D12DC-88DF-4B0F-943D-353487BD7B5B}"/>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rFonts w:hint="eastAsia"/>
        <w:sz w:val="28"/>
      </w:rPr>
      <w:t>—</w:t>
    </w:r>
    <w:r>
      <w:rPr>
        <w:sz w:val="28"/>
      </w:rPr>
      <w:fldChar w:fldCharType="begin"/>
    </w:r>
    <w:r>
      <w:rPr>
        <w:sz w:val="28"/>
      </w:rPr>
      <w:instrText xml:space="preserve"> PAGE   \* MERGEFORMAT </w:instrText>
    </w:r>
    <w:r>
      <w:rPr>
        <w:sz w:val="28"/>
      </w:rPr>
      <w:fldChar w:fldCharType="separate"/>
    </w:r>
    <w:r>
      <w:rPr>
        <w:sz w:val="28"/>
        <w:lang w:val="zh-CN"/>
      </w:rPr>
      <w:t>1</w:t>
    </w:r>
    <w:r>
      <w:rPr>
        <w:sz w:val="28"/>
      </w:rPr>
      <w:fldChar w:fldCharType="end"/>
    </w:r>
    <w:r>
      <w:rPr>
        <w:rFonts w:hint="eastAsia"/>
        <w:sz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sz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rPr>
      <w:t>—</w:t>
    </w:r>
  </w:p>
  <w:p>
    <w:pPr>
      <w:pStyle w:val="2"/>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Y0MzU1ZjIyNGZmN2MzMDgyZmNkMjBkNDVhZTRlYmIifQ=="/>
  </w:docVars>
  <w:rsids>
    <w:rsidRoot w:val="00000000"/>
    <w:rsid w:val="0B1F7084"/>
    <w:rsid w:val="131A5EC2"/>
    <w:rsid w:val="14C4760E"/>
    <w:rsid w:val="153F00B4"/>
    <w:rsid w:val="1E9A7DCC"/>
    <w:rsid w:val="211D59BC"/>
    <w:rsid w:val="335342D8"/>
    <w:rsid w:val="369C6124"/>
    <w:rsid w:val="3B1D1386"/>
    <w:rsid w:val="499C1165"/>
    <w:rsid w:val="57E04523"/>
    <w:rsid w:val="755737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4">
    <w:name w:val="Body Text"/>
    <w:basedOn w:val="1"/>
    <w:next w:val="5"/>
    <w:qFormat/>
    <w:uiPriority w:val="0"/>
    <w:rPr>
      <w:rFonts w:ascii="PMingLiU" w:eastAsia="PMingLiU" w:cs="PMingLiU"/>
      <w:sz w:val="38"/>
      <w:szCs w:val="38"/>
      <w:lang w:val="zh-CN" w:eastAsia="zh-CN" w:bidi="zh-CN"/>
    </w:rPr>
  </w:style>
  <w:style w:type="paragraph" w:customStyle="1" w:styleId="5">
    <w:name w:val="正文部分 Char Char Char"/>
    <w:basedOn w:val="4"/>
    <w:next w:val="6"/>
    <w:qFormat/>
    <w:uiPriority w:val="0"/>
    <w:pPr>
      <w:spacing w:line="460" w:lineRule="exact"/>
      <w:textAlignment w:val="baseline"/>
    </w:pPr>
    <w:rPr>
      <w:rFonts w:eastAsia="Times New Roman"/>
      <w:sz w:val="24"/>
      <w:szCs w:val="24"/>
    </w:rPr>
  </w:style>
  <w:style w:type="paragraph" w:customStyle="1" w:styleId="6">
    <w:name w:val="章标题"/>
    <w:basedOn w:val="7"/>
    <w:uiPriority w:val="0"/>
    <w:pPr>
      <w:spacing w:line="360" w:lineRule="auto"/>
    </w:pPr>
  </w:style>
  <w:style w:type="paragraph" w:styleId="7">
    <w:name w:val="Title"/>
    <w:basedOn w:val="1"/>
    <w:next w:val="1"/>
    <w:uiPriority w:val="0"/>
    <w:pPr>
      <w:spacing w:before="120" w:after="120"/>
      <w:jc w:val="center"/>
      <w:outlineLvl w:val="0"/>
    </w:pPr>
    <w:rPr>
      <w:rFonts w:ascii="宋体" w:cs="宋体"/>
      <w:b/>
      <w:bCs/>
      <w:sz w:val="32"/>
      <w:szCs w:val="32"/>
      <w:lang w:bidi="ar-SA"/>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Normal (Web)"/>
    <w:basedOn w:val="1"/>
    <w:qFormat/>
    <w:uiPriority w:val="0"/>
    <w:pPr>
      <w:keepNext w:val="0"/>
      <w:keepLines w:val="0"/>
      <w:widowControl/>
      <w:shd w:val="clear" w:color="auto" w:fill="auto"/>
      <w:bidi w:val="0"/>
      <w:spacing w:before="100" w:beforeAutospacing="1" w:after="100" w:afterAutospacing="1" w:line="240" w:lineRule="auto"/>
      <w:ind w:left="0" w:right="0" w:firstLine="0"/>
      <w:jc w:val="left"/>
    </w:pPr>
    <w:rPr>
      <w:rFonts w:ascii="宋体" w:hAnsi="Times New Roman" w:eastAsia="宋体" w:cs="Times New Roman"/>
      <w:color w:val="000000"/>
      <w:spacing w:val="0"/>
      <w:w w:val="100"/>
      <w:kern w:val="0"/>
      <w:position w:val="0"/>
      <w:sz w:val="24"/>
      <w:szCs w:val="24"/>
      <w:shd w:val="clear" w:color="auto" w:fill="auto"/>
      <w:lang w:eastAsia="en-US" w:bidi="en-US"/>
    </w:rPr>
  </w:style>
  <w:style w:type="paragraph" w:styleId="11">
    <w:name w:val="Body Text First Indent"/>
    <w:basedOn w:val="4"/>
    <w:qFormat/>
    <w:uiPriority w:val="0"/>
    <w:pPr>
      <w:adjustRightInd w:val="0"/>
      <w:ind w:firstLine="100" w:firstLineChars="100"/>
      <w:jc w:val="left"/>
      <w:textAlignment w:val="baseline"/>
    </w:pPr>
  </w:style>
  <w:style w:type="character" w:styleId="14">
    <w:name w:val="Strong"/>
    <w:qFormat/>
    <w:uiPriority w:val="0"/>
    <w:rPr>
      <w:b/>
    </w:rPr>
  </w:style>
  <w:style w:type="character" w:styleId="15">
    <w:name w:val="page number"/>
    <w:basedOn w:val="13"/>
    <w:unhideWhenUsed/>
    <w:qFormat/>
    <w:uiPriority w:val="99"/>
  </w:style>
  <w:style w:type="paragraph" w:customStyle="1" w:styleId="16">
    <w:name w:val="Heading #2|1"/>
    <w:basedOn w:val="1"/>
    <w:qFormat/>
    <w:uiPriority w:val="0"/>
    <w:pPr>
      <w:keepNext w:val="0"/>
      <w:keepLines w:val="0"/>
      <w:widowControl w:val="0"/>
      <w:shd w:val="clear" w:color="auto" w:fill="auto"/>
      <w:bidi w:val="0"/>
      <w:spacing w:before="0" w:after="480" w:line="590" w:lineRule="exact"/>
      <w:ind w:left="0" w:right="0" w:firstLine="0"/>
      <w:jc w:val="center"/>
      <w:outlineLvl w:val="1"/>
    </w:pPr>
    <w:rPr>
      <w:rFonts w:ascii="宋体" w:hAnsi="宋体" w:eastAsia="宋体" w:cs="宋体"/>
      <w:color w:val="000000"/>
      <w:spacing w:val="0"/>
      <w:w w:val="100"/>
      <w:kern w:val="0"/>
      <w:position w:val="0"/>
      <w:sz w:val="38"/>
      <w:szCs w:val="38"/>
      <w:u w:val="none"/>
      <w:shd w:val="clear" w:color="auto" w:fill="auto"/>
      <w:lang w:val="zh-TW" w:eastAsia="zh-TW" w:bidi="zh-TW"/>
    </w:rPr>
  </w:style>
  <w:style w:type="paragraph" w:customStyle="1" w:styleId="17">
    <w:name w:val="Body text|1"/>
    <w:basedOn w:val="1"/>
    <w:qFormat/>
    <w:uiPriority w:val="0"/>
    <w:pPr>
      <w:keepNext w:val="0"/>
      <w:keepLines w:val="0"/>
      <w:widowControl w:val="0"/>
      <w:shd w:val="clear" w:color="auto" w:fill="auto"/>
      <w:bidi w:val="0"/>
      <w:spacing w:before="0" w:after="0" w:line="413" w:lineRule="auto"/>
      <w:ind w:left="0" w:right="0" w:firstLine="400"/>
      <w:jc w:val="left"/>
    </w:pPr>
    <w:rPr>
      <w:rFonts w:ascii="宋体" w:hAnsi="宋体" w:eastAsia="宋体" w:cs="宋体"/>
      <w:color w:val="000000"/>
      <w:spacing w:val="0"/>
      <w:w w:val="100"/>
      <w:kern w:val="0"/>
      <w:position w:val="0"/>
      <w:sz w:val="26"/>
      <w:szCs w:val="26"/>
      <w:u w:val="none"/>
      <w:shd w:val="clear" w:color="auto" w:fill="auto"/>
      <w:lang w:val="zh-TW" w:eastAsia="zh-TW" w:bidi="zh-TW"/>
    </w:rPr>
  </w:style>
  <w:style w:type="paragraph" w:customStyle="1" w:styleId="18">
    <w:name w:val="cjk"/>
    <w:basedOn w:val="1"/>
    <w:qFormat/>
    <w:uiPriority w:val="0"/>
    <w:pPr>
      <w:keepNext w:val="0"/>
      <w:keepLines w:val="0"/>
      <w:widowControl/>
      <w:shd w:val="clear" w:color="auto" w:fill="auto"/>
      <w:bidi w:val="0"/>
      <w:spacing w:before="100" w:beforeAutospacing="1" w:after="142" w:line="240" w:lineRule="auto"/>
      <w:ind w:left="0" w:right="0" w:firstLine="0"/>
      <w:jc w:val="left"/>
    </w:pPr>
    <w:rPr>
      <w:rFonts w:ascii="等线" w:hAnsi="等线" w:eastAsia="等线" w:cs="宋体"/>
      <w:color w:val="000000"/>
      <w:spacing w:val="0"/>
      <w:w w:val="100"/>
      <w:kern w:val="0"/>
      <w:position w:val="0"/>
      <w:sz w:val="20"/>
      <w:szCs w:val="20"/>
      <w:shd w:val="clear" w:color="auto" w:fill="auto"/>
      <w:lang w:eastAsia="en-US" w:bidi="en-US"/>
    </w:rPr>
  </w:style>
  <w:style w:type="character" w:customStyle="1" w:styleId="19">
    <w:name w:val="bjh-p"/>
    <w:qFormat/>
    <w:uiPriority w:val="0"/>
    <w:rPr>
      <w:rFonts w:ascii="Calibri" w:hAnsi="Calibri" w:eastAsia="宋体" w:cs="Arial"/>
    </w:rPr>
  </w:style>
  <w:style w:type="paragraph" w:styleId="20">
    <w:name w:val="List Paragraph"/>
    <w:basedOn w:val="1"/>
    <w:qFormat/>
    <w:uiPriority w:val="34"/>
    <w:pPr>
      <w:keepNext w:val="0"/>
      <w:keepLines w:val="0"/>
      <w:shd w:val="clear" w:color="auto" w:fill="auto"/>
      <w:bidi w:val="0"/>
      <w:spacing w:before="0" w:after="0" w:line="240" w:lineRule="auto"/>
      <w:ind w:left="0" w:right="0" w:firstLine="420" w:firstLineChars="200"/>
      <w:jc w:val="left"/>
    </w:pPr>
    <w:rPr>
      <w:rFonts w:ascii="Calibri" w:hAnsi="Calibri" w:eastAsia="宋体" w:cs="Arial"/>
      <w:color w:val="000000"/>
      <w:spacing w:val="0"/>
      <w:w w:val="100"/>
      <w:kern w:val="0"/>
      <w:position w:val="0"/>
      <w:sz w:val="24"/>
      <w:szCs w:val="22"/>
      <w:shd w:val="clear" w:color="auto" w:fill="auto"/>
      <w:lang w:eastAsia="en-US" w:bidi="en-US"/>
    </w:rPr>
  </w:style>
  <w:style w:type="paragraph" w:customStyle="1" w:styleId="21">
    <w:name w:val="列出段落1"/>
    <w:basedOn w:val="1"/>
    <w:qFormat/>
    <w:uiPriority w:val="34"/>
    <w:pPr>
      <w:keepNext w:val="0"/>
      <w:keepLines w:val="0"/>
      <w:shd w:val="clear" w:color="auto" w:fill="auto"/>
      <w:bidi w:val="0"/>
      <w:spacing w:before="0" w:after="0" w:line="240" w:lineRule="auto"/>
      <w:ind w:left="0" w:right="0" w:firstLine="420" w:firstLineChars="200"/>
      <w:jc w:val="left"/>
    </w:pPr>
    <w:rPr>
      <w:rFonts w:ascii="Calibri" w:hAnsi="Calibri" w:eastAsia="宋体" w:cs="Arial"/>
      <w:color w:val="000000"/>
      <w:spacing w:val="0"/>
      <w:w w:val="100"/>
      <w:kern w:val="0"/>
      <w:position w:val="0"/>
      <w:sz w:val="24"/>
      <w:szCs w:val="22"/>
      <w:shd w:val="clear" w:color="auto" w:fill="auto"/>
      <w:lang w:eastAsia="en-US" w:bidi="en-US"/>
    </w:rPr>
  </w:style>
  <w:style w:type="paragraph" w:customStyle="1" w:styleId="22">
    <w:name w:val="正文文本 21"/>
    <w:basedOn w:val="1"/>
    <w:uiPriority w:val="0"/>
    <w:pPr>
      <w:widowControl/>
      <w:tabs>
        <w:tab w:val="left" w:pos="1440"/>
      </w:tabs>
      <w:spacing w:before="50" w:line="336" w:lineRule="auto"/>
      <w:ind w:left="0" w:firstLine="0"/>
    </w:pPr>
    <w:rPr>
      <w:rFonts w:ascii="Times New Roman" w:hAnsi="Times New Roman" w:eastAsia="黑体" w:cs="Times New Roman"/>
      <w:szCs w:val="20"/>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6159</Words>
  <Characters>6340</Characters>
  <Lines>0</Lines>
  <Paragraphs>0</Paragraphs>
  <TotalTime>3</TotalTime>
  <ScaleCrop>false</ScaleCrop>
  <LinksUpToDate>false</LinksUpToDate>
  <CharactersWithSpaces>6424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charon.</cp:lastModifiedBy>
  <dcterms:modified xsi:type="dcterms:W3CDTF">2024-07-30T08:47:30Z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2A61EF0E422442D1938161476876B454_13</vt:lpwstr>
  </property>
</Properties>
</file>