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b/>
          <w:color w:val="000000"/>
          <w:sz w:val="24"/>
        </w:rPr>
      </w:pPr>
      <w:r>
        <w:rPr>
          <w:rFonts w:ascii="宋体" w:hAnsi="宋体"/>
          <w:b/>
          <w:color w:val="000000"/>
          <w:sz w:val="24"/>
        </w:rPr>
        <w:t>表一</w:t>
      </w:r>
    </w:p>
    <w:tbl>
      <w:tblPr>
        <w:tblStyle w:val="12"/>
        <w:tblW w:w="97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1716"/>
        <w:gridCol w:w="2180"/>
        <w:gridCol w:w="1068"/>
        <w:gridCol w:w="780"/>
        <w:gridCol w:w="15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建设项目名称</w:t>
            </w:r>
          </w:p>
        </w:tc>
        <w:tc>
          <w:tcPr>
            <w:tcW w:w="7254" w:type="dxa"/>
            <w:gridSpan w:val="5"/>
            <w:vAlign w:val="center"/>
          </w:tcPr>
          <w:p>
            <w:pPr>
              <w:jc w:val="center"/>
              <w:rPr>
                <w:rFonts w:ascii="宋体" w:hAnsi="宋体"/>
                <w:color w:val="000000"/>
                <w:sz w:val="24"/>
              </w:rPr>
            </w:pPr>
            <w:bookmarkStart w:id="0" w:name="_Hlk501355419"/>
            <w:r>
              <w:rPr>
                <w:rFonts w:hint="eastAsia"/>
                <w:color w:val="000000"/>
                <w:sz w:val="24"/>
              </w:rPr>
              <w:t>卢龙县铧宠铸造有限公司技术改造项目</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建设单位名称</w:t>
            </w:r>
          </w:p>
        </w:tc>
        <w:tc>
          <w:tcPr>
            <w:tcW w:w="7254" w:type="dxa"/>
            <w:gridSpan w:val="5"/>
            <w:vAlign w:val="center"/>
          </w:tcPr>
          <w:p>
            <w:pPr>
              <w:jc w:val="center"/>
              <w:rPr>
                <w:rFonts w:ascii="宋体" w:hAnsi="宋体"/>
                <w:color w:val="000000"/>
                <w:sz w:val="24"/>
              </w:rPr>
            </w:pPr>
            <w:r>
              <w:rPr>
                <w:rFonts w:hint="eastAsia"/>
                <w:color w:val="000000"/>
                <w:sz w:val="24"/>
              </w:rPr>
              <w:t>卢龙县铧宠铸造有限公司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建设项目性质</w:t>
            </w:r>
          </w:p>
        </w:tc>
        <w:tc>
          <w:tcPr>
            <w:tcW w:w="7254" w:type="dxa"/>
            <w:gridSpan w:val="5"/>
            <w:vAlign w:val="center"/>
          </w:tcPr>
          <w:p>
            <w:pPr>
              <w:jc w:val="center"/>
              <w:rPr>
                <w:rFonts w:ascii="宋体" w:hAnsi="宋体"/>
                <w:color w:val="000000"/>
                <w:sz w:val="24"/>
              </w:rPr>
            </w:pPr>
            <w:r>
              <w:rPr>
                <w:rFonts w:ascii="宋体" w:hAnsi="宋体"/>
                <w:sz w:val="24"/>
              </w:rPr>
              <w:t>新建</w:t>
            </w:r>
            <w:r>
              <w:rPr>
                <w:rFonts w:ascii="宋体" w:hAnsi="宋体"/>
                <w:sz w:val="24"/>
              </w:rPr>
              <w:sym w:font="Wingdings" w:char="F06F"/>
            </w:r>
            <w:r>
              <w:rPr>
                <w:rFonts w:ascii="宋体" w:hAnsi="宋体"/>
                <w:sz w:val="24"/>
              </w:rPr>
              <w:t>改扩建</w:t>
            </w:r>
            <w:r>
              <w:rPr>
                <w:rFonts w:ascii="宋体" w:hAnsi="宋体"/>
                <w:sz w:val="24"/>
              </w:rPr>
              <w:sym w:font="Wingdings" w:char="F06F"/>
            </w:r>
            <w:r>
              <w:rPr>
                <w:rFonts w:ascii="宋体" w:hAnsi="宋体"/>
                <w:sz w:val="24"/>
              </w:rPr>
              <w:t xml:space="preserve"> 技改</w:t>
            </w:r>
            <w:r>
              <w:rPr>
                <w:rFonts w:hint="eastAsia" w:ascii="宋体" w:hAnsi="宋体"/>
                <w:sz w:val="24"/>
              </w:rPr>
              <w:sym w:font="Wingdings" w:char="F0FE"/>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建设地点</w:t>
            </w:r>
          </w:p>
        </w:tc>
        <w:tc>
          <w:tcPr>
            <w:tcW w:w="7254" w:type="dxa"/>
            <w:gridSpan w:val="5"/>
            <w:vAlign w:val="center"/>
          </w:tcPr>
          <w:p>
            <w:pPr>
              <w:jc w:val="center"/>
              <w:rPr>
                <w:rFonts w:ascii="宋体" w:hAnsi="宋体"/>
                <w:color w:val="000000"/>
                <w:sz w:val="24"/>
              </w:rPr>
            </w:pPr>
            <w:r>
              <w:rPr>
                <w:rFonts w:hint="eastAsia" w:hAnsi="宋体"/>
                <w:color w:val="000000"/>
                <w:sz w:val="24"/>
              </w:rPr>
              <w:t>卢龙县双望镇三分村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主要产品名称</w:t>
            </w:r>
          </w:p>
        </w:tc>
        <w:tc>
          <w:tcPr>
            <w:tcW w:w="7254" w:type="dxa"/>
            <w:gridSpan w:val="5"/>
            <w:vAlign w:val="center"/>
          </w:tcPr>
          <w:p>
            <w:pPr>
              <w:jc w:val="center"/>
              <w:rPr>
                <w:rFonts w:ascii="宋体" w:hAnsi="宋体"/>
                <w:color w:val="000000"/>
                <w:sz w:val="24"/>
              </w:rPr>
            </w:pPr>
            <w:r>
              <w:rPr>
                <w:rFonts w:hint="eastAsia" w:ascii="宋体" w:hAnsi="宋体"/>
                <w:sz w:val="24"/>
              </w:rPr>
              <w:t>黑色金属铸件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设计生产能力</w:t>
            </w:r>
          </w:p>
        </w:tc>
        <w:tc>
          <w:tcPr>
            <w:tcW w:w="7254" w:type="dxa"/>
            <w:gridSpan w:val="5"/>
            <w:vAlign w:val="center"/>
          </w:tcPr>
          <w:p>
            <w:pPr>
              <w:jc w:val="center"/>
              <w:rPr>
                <w:rFonts w:ascii="宋体" w:hAnsi="宋体"/>
                <w:color w:val="000000"/>
                <w:sz w:val="24"/>
              </w:rPr>
            </w:pPr>
            <w:r>
              <w:rPr>
                <w:rFonts w:hint="eastAsia" w:ascii="宋体" w:hAnsi="宋体"/>
                <w:sz w:val="24"/>
              </w:rPr>
              <w:t>精密铸件5400t/a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实际生产能力</w:t>
            </w:r>
          </w:p>
        </w:tc>
        <w:tc>
          <w:tcPr>
            <w:tcW w:w="7254" w:type="dxa"/>
            <w:gridSpan w:val="5"/>
            <w:vAlign w:val="center"/>
          </w:tcPr>
          <w:p>
            <w:pPr>
              <w:jc w:val="center"/>
              <w:rPr>
                <w:rFonts w:ascii="宋体" w:hAnsi="宋体"/>
                <w:color w:val="000000"/>
                <w:sz w:val="24"/>
              </w:rPr>
            </w:pPr>
            <w:r>
              <w:rPr>
                <w:rFonts w:ascii="宋体" w:hAnsi="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建设项目环评时间</w:t>
            </w:r>
          </w:p>
        </w:tc>
        <w:tc>
          <w:tcPr>
            <w:tcW w:w="1716" w:type="dxa"/>
            <w:vAlign w:val="center"/>
          </w:tcPr>
          <w:p>
            <w:pPr>
              <w:jc w:val="center"/>
              <w:rPr>
                <w:rFonts w:ascii="宋体" w:hAnsi="宋体"/>
                <w:color w:val="000000"/>
                <w:sz w:val="24"/>
              </w:rPr>
            </w:pPr>
            <w:r>
              <w:rPr>
                <w:rFonts w:hint="eastAsia" w:ascii="宋体" w:hAnsi="宋体"/>
                <w:color w:val="000000"/>
                <w:sz w:val="24"/>
              </w:rPr>
              <w:t>2019年1月</w:t>
            </w:r>
          </w:p>
        </w:tc>
        <w:tc>
          <w:tcPr>
            <w:tcW w:w="2180" w:type="dxa"/>
            <w:vAlign w:val="center"/>
          </w:tcPr>
          <w:p>
            <w:pPr>
              <w:jc w:val="center"/>
              <w:rPr>
                <w:rFonts w:ascii="宋体" w:hAnsi="宋体"/>
                <w:color w:val="000000"/>
                <w:sz w:val="24"/>
              </w:rPr>
            </w:pPr>
            <w:r>
              <w:rPr>
                <w:rFonts w:ascii="宋体" w:hAnsi="宋体"/>
                <w:color w:val="000000"/>
                <w:sz w:val="24"/>
              </w:rPr>
              <w:t>开工建设时间</w:t>
            </w:r>
          </w:p>
        </w:tc>
        <w:tc>
          <w:tcPr>
            <w:tcW w:w="3358" w:type="dxa"/>
            <w:gridSpan w:val="3"/>
            <w:vAlign w:val="center"/>
          </w:tcPr>
          <w:p>
            <w:pPr>
              <w:jc w:val="center"/>
              <w:rPr>
                <w:rFonts w:ascii="宋体" w:hAnsi="宋体"/>
                <w:color w:val="000000"/>
                <w:sz w:val="24"/>
              </w:rPr>
            </w:pPr>
            <w:r>
              <w:rPr>
                <w:rFonts w:hint="eastAsia" w:ascii="宋体" w:hAnsi="宋体"/>
                <w:color w:val="000000"/>
                <w:sz w:val="24"/>
              </w:rPr>
              <w:t>2019年3月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调试时间</w:t>
            </w:r>
          </w:p>
        </w:tc>
        <w:tc>
          <w:tcPr>
            <w:tcW w:w="1716" w:type="dxa"/>
            <w:vAlign w:val="center"/>
          </w:tcPr>
          <w:p>
            <w:pPr>
              <w:jc w:val="center"/>
              <w:rPr>
                <w:rFonts w:ascii="宋体" w:hAnsi="宋体"/>
                <w:color w:val="000000"/>
                <w:sz w:val="24"/>
              </w:rPr>
            </w:pPr>
            <w:r>
              <w:rPr>
                <w:rFonts w:ascii="宋体" w:hAnsi="宋体"/>
                <w:color w:val="000000"/>
                <w:sz w:val="24"/>
              </w:rPr>
              <w:t>/</w:t>
            </w:r>
          </w:p>
        </w:tc>
        <w:tc>
          <w:tcPr>
            <w:tcW w:w="2180" w:type="dxa"/>
            <w:vAlign w:val="center"/>
          </w:tcPr>
          <w:p>
            <w:pPr>
              <w:jc w:val="center"/>
              <w:rPr>
                <w:rFonts w:ascii="宋体" w:hAnsi="宋体"/>
                <w:color w:val="000000"/>
                <w:sz w:val="24"/>
              </w:rPr>
            </w:pPr>
            <w:r>
              <w:rPr>
                <w:rFonts w:ascii="宋体" w:hAnsi="宋体"/>
                <w:color w:val="000000"/>
                <w:sz w:val="24"/>
              </w:rPr>
              <w:t>验收现场监测时间</w:t>
            </w:r>
          </w:p>
        </w:tc>
        <w:tc>
          <w:tcPr>
            <w:tcW w:w="3358" w:type="dxa"/>
            <w:gridSpan w:val="3"/>
            <w:vAlign w:val="center"/>
          </w:tcPr>
          <w:p>
            <w:pPr>
              <w:jc w:val="center"/>
              <w:rPr>
                <w:rFonts w:ascii="宋体" w:hAnsi="宋体"/>
                <w:color w:val="000000"/>
                <w:sz w:val="24"/>
              </w:rPr>
            </w:pPr>
            <w:r>
              <w:rPr>
                <w:rFonts w:hint="eastAsia" w:ascii="宋体" w:hAnsi="宋体"/>
                <w:color w:val="000000"/>
                <w:sz w:val="24"/>
              </w:rPr>
              <w:t>2019年5月21日～24日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环评报告表</w:t>
            </w:r>
          </w:p>
          <w:p>
            <w:pPr>
              <w:jc w:val="center"/>
              <w:rPr>
                <w:rFonts w:ascii="宋体" w:hAnsi="宋体"/>
                <w:color w:val="000000"/>
                <w:sz w:val="24"/>
              </w:rPr>
            </w:pPr>
            <w:r>
              <w:rPr>
                <w:rFonts w:ascii="宋体" w:hAnsi="宋体"/>
                <w:color w:val="000000"/>
                <w:sz w:val="24"/>
              </w:rPr>
              <w:t>审批部门</w:t>
            </w:r>
          </w:p>
        </w:tc>
        <w:tc>
          <w:tcPr>
            <w:tcW w:w="1716" w:type="dxa"/>
            <w:vAlign w:val="center"/>
          </w:tcPr>
          <w:p>
            <w:pPr>
              <w:jc w:val="center"/>
              <w:rPr>
                <w:rFonts w:ascii="宋体" w:hAnsi="宋体"/>
                <w:color w:val="000000"/>
                <w:sz w:val="24"/>
              </w:rPr>
            </w:pPr>
            <w:r>
              <w:rPr>
                <w:rFonts w:hint="eastAsia" w:ascii="宋体" w:hAnsi="宋体"/>
                <w:color w:val="000000"/>
                <w:sz w:val="24"/>
              </w:rPr>
              <w:t>秦皇岛市环境保护局卢龙分局</w:t>
            </w:r>
          </w:p>
        </w:tc>
        <w:tc>
          <w:tcPr>
            <w:tcW w:w="2180" w:type="dxa"/>
            <w:vAlign w:val="center"/>
          </w:tcPr>
          <w:p>
            <w:pPr>
              <w:jc w:val="center"/>
              <w:rPr>
                <w:rFonts w:ascii="宋体" w:hAnsi="宋体"/>
                <w:color w:val="000000"/>
                <w:sz w:val="24"/>
              </w:rPr>
            </w:pPr>
            <w:r>
              <w:rPr>
                <w:rFonts w:ascii="宋体" w:hAnsi="宋体"/>
                <w:color w:val="000000"/>
                <w:sz w:val="24"/>
              </w:rPr>
              <w:t>环评报告表</w:t>
            </w:r>
          </w:p>
          <w:p>
            <w:pPr>
              <w:jc w:val="center"/>
              <w:rPr>
                <w:rFonts w:ascii="宋体" w:hAnsi="宋体"/>
                <w:color w:val="000000"/>
                <w:sz w:val="24"/>
              </w:rPr>
            </w:pPr>
            <w:r>
              <w:rPr>
                <w:rFonts w:ascii="宋体" w:hAnsi="宋体"/>
                <w:color w:val="000000"/>
                <w:sz w:val="24"/>
              </w:rPr>
              <w:t>编制单位</w:t>
            </w:r>
          </w:p>
        </w:tc>
        <w:tc>
          <w:tcPr>
            <w:tcW w:w="3358" w:type="dxa"/>
            <w:gridSpan w:val="3"/>
            <w:vAlign w:val="center"/>
          </w:tcPr>
          <w:p>
            <w:pPr>
              <w:rPr>
                <w:rFonts w:ascii="宋体" w:hAnsi="宋体"/>
                <w:color w:val="000000"/>
                <w:sz w:val="24"/>
              </w:rPr>
            </w:pPr>
            <w:r>
              <w:rPr>
                <w:rFonts w:hint="eastAsia" w:ascii="宋体" w:hAnsi="宋体"/>
                <w:color w:val="000000"/>
                <w:sz w:val="24"/>
              </w:rPr>
              <w:t>河北博鳌项目管理有限公司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环保设施设计单位</w:t>
            </w:r>
          </w:p>
        </w:tc>
        <w:tc>
          <w:tcPr>
            <w:tcW w:w="1716" w:type="dxa"/>
            <w:vAlign w:val="center"/>
          </w:tcPr>
          <w:p>
            <w:pPr>
              <w:jc w:val="center"/>
              <w:rPr>
                <w:rFonts w:ascii="宋体" w:hAnsi="宋体"/>
                <w:color w:val="000000"/>
                <w:sz w:val="24"/>
              </w:rPr>
            </w:pPr>
            <w:r>
              <w:rPr>
                <w:rFonts w:hint="eastAsia" w:hAnsi="宋体"/>
                <w:color w:val="000000"/>
                <w:sz w:val="24"/>
              </w:rPr>
              <w:t>卢龙县铧宠铸造有限公司</w:t>
            </w:r>
          </w:p>
        </w:tc>
        <w:tc>
          <w:tcPr>
            <w:tcW w:w="2180" w:type="dxa"/>
            <w:vAlign w:val="center"/>
          </w:tcPr>
          <w:p>
            <w:pPr>
              <w:jc w:val="center"/>
              <w:rPr>
                <w:rFonts w:ascii="宋体" w:hAnsi="宋体"/>
                <w:color w:val="000000"/>
                <w:sz w:val="24"/>
              </w:rPr>
            </w:pPr>
            <w:r>
              <w:rPr>
                <w:rFonts w:ascii="宋体" w:hAnsi="宋体"/>
                <w:color w:val="000000"/>
                <w:sz w:val="24"/>
              </w:rPr>
              <w:t>环保设施施工单位</w:t>
            </w:r>
          </w:p>
        </w:tc>
        <w:tc>
          <w:tcPr>
            <w:tcW w:w="3358" w:type="dxa"/>
            <w:gridSpan w:val="3"/>
            <w:vAlign w:val="center"/>
          </w:tcPr>
          <w:p>
            <w:pPr>
              <w:jc w:val="center"/>
              <w:rPr>
                <w:rFonts w:ascii="宋体" w:hAnsi="宋体"/>
                <w:color w:val="000000"/>
                <w:sz w:val="24"/>
              </w:rPr>
            </w:pPr>
            <w:r>
              <w:rPr>
                <w:rFonts w:hint="eastAsia" w:hAnsi="宋体"/>
                <w:color w:val="000000"/>
                <w:sz w:val="24"/>
              </w:rPr>
              <w:t>卢龙县铧宠铸造有限公司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投资总概算</w:t>
            </w:r>
          </w:p>
        </w:tc>
        <w:tc>
          <w:tcPr>
            <w:tcW w:w="1716" w:type="dxa"/>
            <w:vAlign w:val="center"/>
          </w:tcPr>
          <w:p>
            <w:pPr>
              <w:jc w:val="center"/>
              <w:rPr>
                <w:rFonts w:ascii="宋体" w:hAnsi="宋体"/>
                <w:color w:val="000000"/>
                <w:sz w:val="24"/>
              </w:rPr>
            </w:pPr>
            <w:r>
              <w:rPr>
                <w:rFonts w:hint="eastAsia" w:ascii="宋体" w:hAnsi="宋体"/>
                <w:color w:val="000000"/>
                <w:sz w:val="24"/>
              </w:rPr>
              <w:t>660</w:t>
            </w:r>
            <w:r>
              <w:rPr>
                <w:rFonts w:ascii="宋体" w:hAnsi="宋体"/>
                <w:color w:val="000000"/>
                <w:sz w:val="24"/>
              </w:rPr>
              <w:t>万元</w:t>
            </w:r>
          </w:p>
        </w:tc>
        <w:tc>
          <w:tcPr>
            <w:tcW w:w="2180" w:type="dxa"/>
            <w:vAlign w:val="center"/>
          </w:tcPr>
          <w:p>
            <w:pPr>
              <w:jc w:val="center"/>
              <w:rPr>
                <w:rFonts w:ascii="宋体" w:hAnsi="宋体"/>
                <w:color w:val="000000"/>
                <w:sz w:val="24"/>
              </w:rPr>
            </w:pPr>
            <w:r>
              <w:rPr>
                <w:rFonts w:ascii="宋体" w:hAnsi="宋体"/>
                <w:color w:val="000000"/>
                <w:sz w:val="24"/>
              </w:rPr>
              <w:t>环保投资总概算</w:t>
            </w:r>
          </w:p>
        </w:tc>
        <w:tc>
          <w:tcPr>
            <w:tcW w:w="1068" w:type="dxa"/>
            <w:vAlign w:val="center"/>
          </w:tcPr>
          <w:p>
            <w:pPr>
              <w:jc w:val="center"/>
              <w:rPr>
                <w:rFonts w:ascii="宋体" w:hAnsi="宋体"/>
                <w:color w:val="000000"/>
                <w:sz w:val="24"/>
              </w:rPr>
            </w:pPr>
            <w:r>
              <w:rPr>
                <w:rFonts w:hint="eastAsia" w:ascii="宋体" w:hAnsi="宋体"/>
                <w:color w:val="000000"/>
                <w:sz w:val="24"/>
              </w:rPr>
              <w:t>57</w:t>
            </w:r>
          </w:p>
          <w:p>
            <w:pPr>
              <w:jc w:val="center"/>
              <w:rPr>
                <w:rFonts w:ascii="宋体" w:hAnsi="宋体"/>
                <w:color w:val="000000"/>
                <w:sz w:val="24"/>
              </w:rPr>
            </w:pPr>
            <w:r>
              <w:rPr>
                <w:rFonts w:ascii="宋体" w:hAnsi="宋体"/>
                <w:color w:val="000000"/>
                <w:sz w:val="24"/>
              </w:rPr>
              <w:t>万元</w:t>
            </w:r>
          </w:p>
        </w:tc>
        <w:tc>
          <w:tcPr>
            <w:tcW w:w="780" w:type="dxa"/>
            <w:vAlign w:val="center"/>
          </w:tcPr>
          <w:p>
            <w:pPr>
              <w:jc w:val="center"/>
              <w:rPr>
                <w:rFonts w:ascii="宋体" w:hAnsi="宋体"/>
                <w:color w:val="000000"/>
                <w:sz w:val="24"/>
              </w:rPr>
            </w:pPr>
            <w:r>
              <w:rPr>
                <w:rFonts w:ascii="宋体" w:hAnsi="宋体"/>
                <w:color w:val="000000"/>
                <w:sz w:val="24"/>
              </w:rPr>
              <w:t>比例</w:t>
            </w:r>
          </w:p>
        </w:tc>
        <w:tc>
          <w:tcPr>
            <w:tcW w:w="1510" w:type="dxa"/>
            <w:vAlign w:val="center"/>
          </w:tcPr>
          <w:p>
            <w:pPr>
              <w:jc w:val="center"/>
              <w:rPr>
                <w:rFonts w:ascii="宋体" w:hAnsi="宋体"/>
                <w:color w:val="000000"/>
                <w:sz w:val="24"/>
              </w:rPr>
            </w:pPr>
            <w:r>
              <w:rPr>
                <w:rFonts w:hint="eastAsia" w:ascii="宋体" w:hAnsi="宋体"/>
                <w:color w:val="000000"/>
                <w:sz w:val="24"/>
              </w:rPr>
              <w:t>8.64</w:t>
            </w:r>
            <w:r>
              <w:rPr>
                <w:rFonts w:ascii="宋体" w:hAnsi="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ascii="宋体" w:hAnsi="宋体"/>
                <w:color w:val="000000"/>
                <w:sz w:val="24"/>
              </w:rPr>
            </w:pPr>
            <w:r>
              <w:rPr>
                <w:rFonts w:ascii="宋体" w:hAnsi="宋体"/>
                <w:color w:val="000000"/>
                <w:sz w:val="24"/>
              </w:rPr>
              <w:t>实际总概算</w:t>
            </w:r>
          </w:p>
        </w:tc>
        <w:tc>
          <w:tcPr>
            <w:tcW w:w="1716" w:type="dxa"/>
            <w:vAlign w:val="center"/>
          </w:tcPr>
          <w:p>
            <w:pPr>
              <w:jc w:val="center"/>
              <w:rPr>
                <w:rFonts w:ascii="宋体" w:hAnsi="宋体"/>
                <w:color w:val="000000"/>
                <w:sz w:val="24"/>
              </w:rPr>
            </w:pPr>
            <w:r>
              <w:rPr>
                <w:rFonts w:hint="eastAsia" w:ascii="宋体" w:hAnsi="宋体"/>
                <w:color w:val="000000"/>
                <w:sz w:val="24"/>
              </w:rPr>
              <w:t>660</w:t>
            </w:r>
            <w:r>
              <w:rPr>
                <w:rFonts w:ascii="宋体" w:hAnsi="宋体"/>
                <w:color w:val="000000"/>
                <w:sz w:val="24"/>
              </w:rPr>
              <w:t>万元</w:t>
            </w:r>
          </w:p>
        </w:tc>
        <w:tc>
          <w:tcPr>
            <w:tcW w:w="2180" w:type="dxa"/>
            <w:vAlign w:val="center"/>
          </w:tcPr>
          <w:p>
            <w:pPr>
              <w:jc w:val="center"/>
              <w:rPr>
                <w:rFonts w:ascii="宋体" w:hAnsi="宋体"/>
                <w:color w:val="000000"/>
                <w:sz w:val="24"/>
              </w:rPr>
            </w:pPr>
            <w:r>
              <w:rPr>
                <w:rFonts w:ascii="宋体" w:hAnsi="宋体"/>
                <w:color w:val="000000"/>
                <w:sz w:val="24"/>
              </w:rPr>
              <w:t>环保投资</w:t>
            </w:r>
          </w:p>
        </w:tc>
        <w:tc>
          <w:tcPr>
            <w:tcW w:w="1068" w:type="dxa"/>
            <w:vAlign w:val="center"/>
          </w:tcPr>
          <w:p>
            <w:pPr>
              <w:jc w:val="center"/>
              <w:rPr>
                <w:rFonts w:ascii="宋体" w:hAnsi="宋体"/>
                <w:color w:val="000000"/>
                <w:sz w:val="24"/>
              </w:rPr>
            </w:pPr>
            <w:r>
              <w:rPr>
                <w:rFonts w:hint="eastAsia" w:ascii="宋体" w:hAnsi="宋体"/>
                <w:color w:val="000000"/>
                <w:sz w:val="24"/>
              </w:rPr>
              <w:t>57</w:t>
            </w:r>
          </w:p>
          <w:p>
            <w:pPr>
              <w:jc w:val="center"/>
              <w:rPr>
                <w:rFonts w:ascii="宋体" w:hAnsi="宋体"/>
                <w:color w:val="000000"/>
                <w:sz w:val="24"/>
              </w:rPr>
            </w:pPr>
            <w:r>
              <w:rPr>
                <w:rFonts w:ascii="宋体" w:hAnsi="宋体"/>
                <w:color w:val="000000"/>
                <w:sz w:val="24"/>
              </w:rPr>
              <w:t>万元</w:t>
            </w:r>
          </w:p>
        </w:tc>
        <w:tc>
          <w:tcPr>
            <w:tcW w:w="780" w:type="dxa"/>
            <w:vAlign w:val="center"/>
          </w:tcPr>
          <w:p>
            <w:pPr>
              <w:jc w:val="center"/>
              <w:rPr>
                <w:rFonts w:ascii="宋体" w:hAnsi="宋体"/>
                <w:color w:val="000000"/>
                <w:sz w:val="24"/>
              </w:rPr>
            </w:pPr>
            <w:r>
              <w:rPr>
                <w:rFonts w:ascii="宋体" w:hAnsi="宋体"/>
                <w:color w:val="000000"/>
                <w:sz w:val="24"/>
              </w:rPr>
              <w:t>比例</w:t>
            </w:r>
          </w:p>
        </w:tc>
        <w:tc>
          <w:tcPr>
            <w:tcW w:w="1510" w:type="dxa"/>
            <w:vAlign w:val="center"/>
          </w:tcPr>
          <w:p>
            <w:pPr>
              <w:jc w:val="center"/>
              <w:rPr>
                <w:rFonts w:ascii="宋体" w:hAnsi="宋体"/>
                <w:color w:val="000000"/>
                <w:sz w:val="24"/>
              </w:rPr>
            </w:pPr>
            <w:r>
              <w:rPr>
                <w:rFonts w:hint="eastAsia" w:ascii="宋体" w:hAnsi="宋体"/>
                <w:color w:val="000000"/>
                <w:sz w:val="24"/>
              </w:rPr>
              <w:t>8.64</w:t>
            </w:r>
            <w:r>
              <w:rPr>
                <w:rFonts w:ascii="宋体" w:hAnsi="宋体"/>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spacing w:line="276" w:lineRule="auto"/>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验收监测依据</w:t>
            </w:r>
          </w:p>
        </w:tc>
        <w:tc>
          <w:tcPr>
            <w:tcW w:w="7254" w:type="dxa"/>
            <w:gridSpan w:val="5"/>
            <w:vAlign w:val="center"/>
          </w:tcPr>
          <w:p>
            <w:pP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1、国务院令第 </w:t>
            </w:r>
            <w:r>
              <w:rPr>
                <w:rFonts w:hint="eastAsia" w:asciiTheme="minorEastAsia" w:hAnsiTheme="minorEastAsia" w:eastAsiaTheme="minorEastAsia"/>
                <w:color w:val="000000"/>
                <w:szCs w:val="21"/>
              </w:rPr>
              <w:t>682</w:t>
            </w:r>
            <w:r>
              <w:rPr>
                <w:rFonts w:asciiTheme="minorEastAsia" w:hAnsiTheme="minorEastAsia" w:eastAsiaTheme="minorEastAsia"/>
                <w:color w:val="000000"/>
                <w:szCs w:val="21"/>
              </w:rPr>
              <w:t xml:space="preserve"> 号《建设项目环境保护管理条例》；</w:t>
            </w:r>
          </w:p>
          <w:p>
            <w:pPr>
              <w:rPr>
                <w:rFonts w:asciiTheme="minorEastAsia" w:hAnsiTheme="minorEastAsia" w:eastAsiaTheme="minorEastAsia"/>
                <w:color w:val="000000"/>
                <w:szCs w:val="21"/>
              </w:rPr>
            </w:pPr>
            <w:r>
              <w:rPr>
                <w:rFonts w:asciiTheme="minorEastAsia" w:hAnsiTheme="minorEastAsia" w:eastAsiaTheme="minorEastAsia"/>
                <w:color w:val="000000"/>
                <w:szCs w:val="21"/>
              </w:rPr>
              <w:t>2、《建设项目竣工环境保护验收技术指南-污染影响类》</w:t>
            </w:r>
            <w:r>
              <w:rPr>
                <w:rFonts w:hint="eastAsia" w:asciiTheme="minorEastAsia" w:hAnsiTheme="minorEastAsia" w:eastAsiaTheme="minorEastAsia"/>
                <w:color w:val="000000"/>
                <w:szCs w:val="21"/>
              </w:rPr>
              <w:t>（生态环境部公告第9号）</w:t>
            </w:r>
            <w:r>
              <w:rPr>
                <w:rFonts w:asciiTheme="minorEastAsia" w:hAnsiTheme="minorEastAsia" w:eastAsiaTheme="minorEastAsia"/>
                <w:color w:val="000000"/>
                <w:szCs w:val="21"/>
              </w:rPr>
              <w:t>2018年4月；</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3、《卢龙县铧宠铸造有限公司技术改造项目环境影响报告表》2019年1月。</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4、《卢龙县铧宠铸造有限公司技术改造项目环境影响报告表》的批复（秦环审表【2019】3号）2019年2月21日。</w:t>
            </w:r>
          </w:p>
          <w:p>
            <w:pPr>
              <w:rPr>
                <w:rFonts w:asciiTheme="minorEastAsia" w:hAnsiTheme="minorEastAsia" w:eastAsiaTheme="minorEastAsia"/>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spacing w:line="276" w:lineRule="auto"/>
              <w:rPr>
                <w:rFonts w:ascii="宋体" w:hAnsi="宋体"/>
                <w:color w:val="000000"/>
                <w:szCs w:val="21"/>
              </w:rPr>
            </w:pPr>
            <w:r>
              <w:rPr>
                <w:rFonts w:ascii="宋体" w:hAnsi="宋体"/>
                <w:color w:val="000000"/>
                <w:szCs w:val="21"/>
              </w:rPr>
              <w:t>验收监测评价标准、标号、级别、限值</w:t>
            </w:r>
          </w:p>
        </w:tc>
        <w:tc>
          <w:tcPr>
            <w:tcW w:w="7254" w:type="dxa"/>
            <w:gridSpan w:val="5"/>
            <w:vAlign w:val="center"/>
          </w:tcPr>
          <w:p>
            <w:pPr>
              <w:rPr>
                <w:rFonts w:ascii="宋体" w:hAnsi="宋体"/>
                <w:color w:val="000000"/>
                <w:szCs w:val="21"/>
              </w:rPr>
            </w:pPr>
            <w:r>
              <w:rPr>
                <w:rFonts w:hint="eastAsia" w:ascii="宋体" w:hAnsi="宋体"/>
                <w:color w:val="000000"/>
                <w:szCs w:val="21"/>
              </w:rPr>
              <w:t>1、无组织排放颗粒物执行《工业炉窑大气污染物排放标准》（D</w:t>
            </w:r>
            <w:r>
              <w:rPr>
                <w:rFonts w:ascii="宋体" w:hAnsi="宋体"/>
                <w:color w:val="000000"/>
                <w:szCs w:val="21"/>
              </w:rPr>
              <w:t>B13/1640-2012</w:t>
            </w:r>
            <w:r>
              <w:rPr>
                <w:rFonts w:hint="eastAsia" w:ascii="宋体" w:hAnsi="宋体"/>
                <w:color w:val="000000"/>
                <w:szCs w:val="21"/>
              </w:rPr>
              <w:t>）表3工业炉窑无组织排放颗粒物排放限值；无组织排放有机废气非甲烷总烃执行《工业企业挥发性有机物排放控制标准》（DB13/2322- 2016）表2企业边界大气污染物浓度限制中其他企业限值要求；</w:t>
            </w:r>
          </w:p>
          <w:p>
            <w:pPr>
              <w:rPr>
                <w:rFonts w:ascii="宋体" w:hAnsi="宋体"/>
                <w:color w:val="000000"/>
                <w:szCs w:val="21"/>
              </w:rPr>
            </w:pPr>
            <w:r>
              <w:rPr>
                <w:rFonts w:ascii="宋体" w:hAnsi="宋体"/>
                <w:color w:val="000000"/>
                <w:szCs w:val="21"/>
              </w:rPr>
              <w:t>2、</w:t>
            </w:r>
            <w:r>
              <w:rPr>
                <w:rFonts w:hint="eastAsia" w:ascii="宋体" w:hAnsi="宋体"/>
                <w:color w:val="000000"/>
                <w:szCs w:val="21"/>
              </w:rPr>
              <w:t>中频电炉产生的有组织排放颗粒物执行《京津冀及周边2</w:t>
            </w:r>
            <w:r>
              <w:rPr>
                <w:rFonts w:ascii="宋体" w:hAnsi="宋体"/>
                <w:color w:val="000000"/>
                <w:szCs w:val="21"/>
              </w:rPr>
              <w:t>018-2019</w:t>
            </w:r>
            <w:r>
              <w:rPr>
                <w:rFonts w:hint="eastAsia" w:ascii="宋体" w:hAnsi="宋体"/>
                <w:color w:val="000000"/>
                <w:szCs w:val="21"/>
              </w:rPr>
              <w:t>年秋冬季大气污染综合治理攻坚行动方案》中第1</w:t>
            </w:r>
            <w:r>
              <w:rPr>
                <w:rFonts w:ascii="宋体" w:hAnsi="宋体"/>
                <w:color w:val="000000"/>
                <w:szCs w:val="21"/>
              </w:rPr>
              <w:t>8</w:t>
            </w:r>
            <w:r>
              <w:rPr>
                <w:rFonts w:hint="eastAsia" w:ascii="宋体" w:hAnsi="宋体"/>
                <w:color w:val="000000"/>
                <w:szCs w:val="21"/>
              </w:rPr>
              <w:t>条“实施工业炉窑深度治理”限值要求，即颗粒物排放限值≤3</w:t>
            </w:r>
            <w:r>
              <w:rPr>
                <w:rFonts w:ascii="宋体" w:hAnsi="宋体"/>
                <w:color w:val="000000"/>
                <w:szCs w:val="21"/>
              </w:rPr>
              <w:t>0</w:t>
            </w:r>
            <w:r>
              <w:rPr>
                <w:rFonts w:hint="eastAsia" w:ascii="宋体" w:hAnsi="宋体"/>
                <w:color w:val="000000"/>
                <w:szCs w:val="21"/>
              </w:rPr>
              <w:t>mg</w:t>
            </w:r>
            <w:r>
              <w:rPr>
                <w:rFonts w:ascii="宋体" w:hAnsi="宋体"/>
                <w:color w:val="000000"/>
                <w:szCs w:val="21"/>
              </w:rPr>
              <w:t>/m3</w:t>
            </w:r>
            <w:r>
              <w:rPr>
                <w:rFonts w:hint="eastAsia" w:ascii="宋体" w:hAnsi="宋体"/>
                <w:color w:val="000000"/>
                <w:szCs w:val="21"/>
              </w:rPr>
              <w:t>；</w:t>
            </w:r>
          </w:p>
          <w:p>
            <w:pPr>
              <w:rPr>
                <w:rFonts w:ascii="宋体" w:hAnsi="宋体"/>
                <w:color w:val="000000"/>
                <w:szCs w:val="21"/>
              </w:rPr>
            </w:pPr>
            <w:r>
              <w:rPr>
                <w:rFonts w:hint="eastAsia" w:ascii="宋体" w:hAnsi="宋体"/>
                <w:color w:val="000000"/>
                <w:szCs w:val="21"/>
              </w:rPr>
              <w:t>3、有组织排放颗粒物执行《大气污染物综合排放标准》（GB16297-1996）表2中二级标准；有机废气执行《工业企业挥发性有机物排放控制标准》（DB13/2322- 2016）表1其他行业排放标准限值；</w:t>
            </w:r>
          </w:p>
          <w:p>
            <w:pPr>
              <w:rPr>
                <w:rFonts w:ascii="宋体" w:hAnsi="宋体"/>
                <w:color w:val="000000"/>
                <w:szCs w:val="21"/>
              </w:rPr>
            </w:pPr>
            <w:r>
              <w:rPr>
                <w:rFonts w:hint="eastAsia" w:ascii="宋体" w:hAnsi="宋体"/>
                <w:color w:val="000000"/>
                <w:szCs w:val="21"/>
              </w:rPr>
              <w:t>3、东、西、北厂界噪声执行《工业企业厂界环境噪声排放标准》（GB12348-2008）中</w:t>
            </w:r>
            <w:r>
              <w:rPr>
                <w:rFonts w:ascii="宋体" w:hAnsi="宋体"/>
                <w:color w:val="000000"/>
                <w:szCs w:val="21"/>
              </w:rPr>
              <w:t>2</w:t>
            </w:r>
            <w:r>
              <w:rPr>
                <w:rFonts w:hint="eastAsia" w:ascii="宋体" w:hAnsi="宋体"/>
                <w:color w:val="000000"/>
                <w:szCs w:val="21"/>
              </w:rPr>
              <w:t>类标准值，南厂界</w:t>
            </w:r>
            <w:r>
              <w:rPr>
                <w:rFonts w:ascii="宋体" w:hAnsi="宋体"/>
                <w:color w:val="000000"/>
                <w:szCs w:val="21"/>
              </w:rPr>
              <w:t>噪声执行《工业企业厂界环境噪声排放标准》（GB12348-2008）中</w:t>
            </w:r>
            <w:r>
              <w:rPr>
                <w:rFonts w:hint="eastAsia" w:ascii="宋体" w:hAnsi="宋体"/>
                <w:color w:val="000000"/>
                <w:szCs w:val="21"/>
              </w:rPr>
              <w:t>4</w:t>
            </w:r>
            <w:r>
              <w:rPr>
                <w:rFonts w:ascii="宋体" w:hAnsi="宋体"/>
                <w:color w:val="000000"/>
                <w:szCs w:val="21"/>
              </w:rPr>
              <w:t>类标准；</w:t>
            </w:r>
          </w:p>
          <w:p>
            <w:pPr>
              <w:rPr>
                <w:rFonts w:ascii="宋体" w:hAnsi="宋体"/>
                <w:color w:val="000000"/>
                <w:szCs w:val="21"/>
              </w:rPr>
            </w:pPr>
            <w:r>
              <w:rPr>
                <w:rFonts w:hint="eastAsia" w:ascii="宋体" w:hAnsi="宋体"/>
                <w:color w:val="000000"/>
                <w:szCs w:val="21"/>
              </w:rPr>
              <w:t>4、一般</w:t>
            </w:r>
            <w:r>
              <w:rPr>
                <w:rFonts w:ascii="宋体" w:hAnsi="宋体"/>
                <w:color w:val="000000"/>
                <w:szCs w:val="21"/>
              </w:rPr>
              <w:t>固体废物执行《一般工业固体废物贮存、处置场污染控制标准》（GB18599-2001）及修改单的要求。</w:t>
            </w:r>
          </w:p>
          <w:p>
            <w:pPr>
              <w:rPr>
                <w:rFonts w:ascii="宋体" w:hAnsi="宋体"/>
                <w:color w:val="000000"/>
                <w:szCs w:val="21"/>
              </w:rPr>
            </w:pPr>
            <w:r>
              <w:rPr>
                <w:rFonts w:hint="eastAsia" w:ascii="宋体" w:hAnsi="宋体"/>
                <w:color w:val="000000"/>
                <w:szCs w:val="21"/>
              </w:rPr>
              <w:t>危险废物执行《危险废物贮存污染控制标准》（GB18597-2001）及其2013年修改单要求</w:t>
            </w:r>
            <w:r>
              <w:rPr>
                <w:rFonts w:ascii="宋体" w:hAnsi="宋体"/>
                <w:color w:val="000000"/>
                <w:szCs w:val="21"/>
              </w:rPr>
              <w:t>。</w:t>
            </w:r>
          </w:p>
          <w:p>
            <w:pPr>
              <w:rPr>
                <w:rFonts w:ascii="宋体" w:hAnsi="宋体"/>
                <w:szCs w:val="21"/>
              </w:rPr>
            </w:pPr>
          </w:p>
        </w:tc>
      </w:tr>
    </w:tbl>
    <w:p>
      <w:pPr>
        <w:rPr>
          <w:rFonts w:ascii="宋体" w:hAnsi="宋体"/>
          <w:color w:val="000000"/>
          <w:sz w:val="24"/>
        </w:rPr>
        <w:sectPr>
          <w:footerReference r:id="rId3" w:type="default"/>
          <w:pgSz w:w="11906" w:h="16838"/>
          <w:pgMar w:top="1440" w:right="1080" w:bottom="1440" w:left="1080" w:header="851" w:footer="992" w:gutter="0"/>
          <w:pgNumType w:start="1"/>
          <w:cols w:space="425" w:num="1"/>
          <w:docGrid w:type="lines" w:linePitch="312" w:charSpace="0"/>
        </w:sectPr>
      </w:pPr>
    </w:p>
    <w:p>
      <w:pPr>
        <w:rPr>
          <w:rFonts w:ascii="宋体" w:hAnsi="宋体"/>
          <w:b/>
          <w:color w:val="000000"/>
          <w:sz w:val="24"/>
        </w:rPr>
      </w:pPr>
      <w:r>
        <w:rPr>
          <w:rFonts w:ascii="宋体" w:hAnsi="宋体"/>
          <w:b/>
          <w:color w:val="000000"/>
          <w:sz w:val="24"/>
        </w:rPr>
        <w:t>表二</w:t>
      </w:r>
    </w:p>
    <w:tbl>
      <w:tblPr>
        <w:tblStyle w:val="12"/>
        <w:tblW w:w="99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vAlign w:val="center"/>
          </w:tcPr>
          <w:p>
            <w:pPr>
              <w:spacing w:line="360" w:lineRule="auto"/>
              <w:rPr>
                <w:rFonts w:ascii="宋体" w:hAnsi="宋体"/>
                <w:b/>
                <w:sz w:val="24"/>
              </w:rPr>
            </w:pPr>
            <w:r>
              <w:rPr>
                <w:rFonts w:hint="eastAsia" w:ascii="宋体" w:hAnsi="宋体"/>
                <w:b/>
                <w:sz w:val="24"/>
              </w:rPr>
              <w:t>项目建设情况：</w:t>
            </w:r>
          </w:p>
          <w:p>
            <w:pPr>
              <w:widowControl/>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bookmarkStart w:id="8" w:name="_GoBack"/>
            <w:bookmarkEnd w:id="8"/>
            <w:r>
              <w:rPr>
                <w:rFonts w:hint="eastAsia" w:asciiTheme="minorEastAsia" w:hAnsiTheme="minorEastAsia" w:eastAsiaTheme="minorEastAsia"/>
                <w:color w:val="000000"/>
                <w:sz w:val="24"/>
              </w:rPr>
              <w:t>项目</w:t>
            </w:r>
            <w:r>
              <w:rPr>
                <w:rFonts w:hint="eastAsia" w:asciiTheme="minorEastAsia" w:hAnsiTheme="minorEastAsia" w:eastAsiaTheme="minorEastAsia"/>
                <w:sz w:val="24"/>
              </w:rPr>
              <w:t>由来</w:t>
            </w:r>
          </w:p>
          <w:p>
            <w:pPr>
              <w:widowControl/>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卢龙县铧宠铸造有限公司原为卢龙县恒星铸造有限公司，成立于2</w:t>
            </w:r>
            <w:r>
              <w:rPr>
                <w:rFonts w:asciiTheme="minorEastAsia" w:hAnsiTheme="minorEastAsia" w:eastAsiaTheme="minorEastAsia"/>
                <w:color w:val="000000"/>
                <w:sz w:val="24"/>
              </w:rPr>
              <w:t>007</w:t>
            </w:r>
            <w:r>
              <w:rPr>
                <w:rFonts w:hint="eastAsia" w:asciiTheme="minorEastAsia" w:hAnsiTheme="minorEastAsia" w:eastAsiaTheme="minorEastAsia"/>
                <w:color w:val="000000"/>
                <w:sz w:val="24"/>
              </w:rPr>
              <w:t>年，2</w:t>
            </w:r>
            <w:r>
              <w:rPr>
                <w:rFonts w:asciiTheme="minorEastAsia" w:hAnsiTheme="minorEastAsia" w:eastAsiaTheme="minorEastAsia"/>
                <w:color w:val="000000"/>
                <w:sz w:val="24"/>
              </w:rPr>
              <w:t>011</w:t>
            </w:r>
            <w:r>
              <w:rPr>
                <w:rFonts w:hint="eastAsia" w:asciiTheme="minorEastAsia" w:hAnsiTheme="minorEastAsia" w:eastAsiaTheme="minorEastAsia"/>
                <w:color w:val="000000"/>
                <w:sz w:val="24"/>
              </w:rPr>
              <w:t>年得到卢龙县工商行政管理局核准，企业更名为“卢龙县铧宠铸造有限公司”。卢龙县铧宠铸造有限公司是以生产精密铸造件为主的私营企业，公司</w:t>
            </w:r>
            <w:r>
              <w:rPr>
                <w:rFonts w:asciiTheme="minorEastAsia" w:hAnsiTheme="minorEastAsia" w:eastAsiaTheme="minorEastAsia"/>
                <w:color w:val="000000"/>
                <w:sz w:val="24"/>
              </w:rPr>
              <w:t>位于</w:t>
            </w:r>
            <w:r>
              <w:rPr>
                <w:rFonts w:hint="eastAsia" w:asciiTheme="minorEastAsia" w:hAnsiTheme="minorEastAsia" w:eastAsiaTheme="minorEastAsia"/>
                <w:color w:val="000000"/>
                <w:sz w:val="24"/>
              </w:rPr>
              <w:t>卢龙县双望镇三分村</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厂区</w:t>
            </w:r>
            <w:r>
              <w:rPr>
                <w:rFonts w:asciiTheme="minorEastAsia" w:hAnsiTheme="minorEastAsia" w:eastAsiaTheme="minorEastAsia"/>
                <w:color w:val="000000"/>
                <w:sz w:val="24"/>
              </w:rPr>
              <w:t>中心地理坐标为东经119°2′24.80″，北纬39°54′15.47″</w:t>
            </w:r>
            <w:r>
              <w:rPr>
                <w:rFonts w:hint="eastAsia" w:asciiTheme="minorEastAsia" w:hAnsiTheme="minorEastAsia" w:eastAsiaTheme="minorEastAsia"/>
                <w:color w:val="000000"/>
                <w:sz w:val="24"/>
              </w:rPr>
              <w:t>。2</w:t>
            </w:r>
            <w:r>
              <w:rPr>
                <w:rFonts w:asciiTheme="minorEastAsia" w:hAnsiTheme="minorEastAsia" w:eastAsiaTheme="minorEastAsia"/>
                <w:color w:val="000000"/>
                <w:sz w:val="24"/>
              </w:rPr>
              <w:t>007</w:t>
            </w:r>
            <w:r>
              <w:rPr>
                <w:rFonts w:hint="eastAsia" w:asciiTheme="minorEastAsia" w:hAnsiTheme="minorEastAsia" w:eastAsiaTheme="minorEastAsia"/>
                <w:color w:val="000000"/>
                <w:sz w:val="24"/>
              </w:rPr>
              <w:t>年7月1</w:t>
            </w:r>
            <w:r>
              <w:rPr>
                <w:rFonts w:asciiTheme="minorEastAsia" w:hAnsiTheme="minorEastAsia" w:eastAsiaTheme="minorEastAsia"/>
                <w:color w:val="000000"/>
                <w:sz w:val="24"/>
              </w:rPr>
              <w:t>8</w:t>
            </w:r>
            <w:r>
              <w:rPr>
                <w:rFonts w:hint="eastAsia" w:asciiTheme="minorEastAsia" w:hAnsiTheme="minorEastAsia" w:eastAsiaTheme="minorEastAsia"/>
                <w:color w:val="000000"/>
                <w:sz w:val="24"/>
              </w:rPr>
              <w:t>日原卢龙县环境保护局以卢环表批字【2007】第20号文对《卢龙县恒星铸造有限公司项目环境影响报告表》予以批复。2</w:t>
            </w:r>
            <w:r>
              <w:rPr>
                <w:rFonts w:asciiTheme="minorEastAsia" w:hAnsiTheme="minorEastAsia" w:eastAsiaTheme="minorEastAsia"/>
                <w:color w:val="000000"/>
                <w:sz w:val="24"/>
              </w:rPr>
              <w:t>017</w:t>
            </w:r>
            <w:r>
              <w:rPr>
                <w:rFonts w:hint="eastAsia" w:asciiTheme="minorEastAsia" w:hAnsiTheme="minorEastAsia" w:eastAsiaTheme="minorEastAsia"/>
                <w:color w:val="000000"/>
                <w:sz w:val="24"/>
              </w:rPr>
              <w:t>年编制完成《卢龙县铧宠铸造有限公司变更说明》，2</w:t>
            </w:r>
            <w:r>
              <w:rPr>
                <w:rFonts w:asciiTheme="minorEastAsia" w:hAnsiTheme="minorEastAsia" w:eastAsiaTheme="minorEastAsia"/>
                <w:color w:val="000000"/>
                <w:sz w:val="24"/>
              </w:rPr>
              <w:t>017</w:t>
            </w:r>
            <w:r>
              <w:rPr>
                <w:rFonts w:hint="eastAsia" w:asciiTheme="minorEastAsia" w:hAnsiTheme="minorEastAsia" w:eastAsiaTheme="minorEastAsia"/>
                <w:color w:val="000000"/>
                <w:sz w:val="24"/>
              </w:rPr>
              <w:t>年</w:t>
            </w:r>
            <w:r>
              <w:rPr>
                <w:rFonts w:asciiTheme="minorEastAsia" w:hAnsiTheme="minorEastAsia" w:eastAsiaTheme="minorEastAsia"/>
                <w:color w:val="000000"/>
                <w:sz w:val="24"/>
              </w:rPr>
              <w:t>8</w:t>
            </w:r>
            <w:r>
              <w:rPr>
                <w:rFonts w:hint="eastAsia" w:asciiTheme="minorEastAsia" w:hAnsiTheme="minorEastAsia" w:eastAsiaTheme="minorEastAsia"/>
                <w:color w:val="000000"/>
                <w:sz w:val="24"/>
              </w:rPr>
              <w:t>月企业对该项目进行了环保设施竣工验收，2</w:t>
            </w:r>
            <w:r>
              <w:rPr>
                <w:rFonts w:asciiTheme="minorEastAsia" w:hAnsiTheme="minorEastAsia" w:eastAsiaTheme="minorEastAsia"/>
                <w:color w:val="000000"/>
                <w:sz w:val="24"/>
              </w:rPr>
              <w:t>017</w:t>
            </w:r>
            <w:r>
              <w:rPr>
                <w:rFonts w:hint="eastAsia" w:asciiTheme="minorEastAsia" w:hAnsiTheme="minorEastAsia" w:eastAsiaTheme="minorEastAsia"/>
                <w:color w:val="000000"/>
                <w:sz w:val="24"/>
              </w:rPr>
              <w:t>年9月1</w:t>
            </w: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日秦皇岛市环境保护局卢龙县分局以卢环验【2017】第40号文对该项目验收予以批复。企业持有2</w:t>
            </w:r>
            <w:r>
              <w:rPr>
                <w:rFonts w:asciiTheme="minorEastAsia" w:hAnsiTheme="minorEastAsia" w:eastAsiaTheme="minorEastAsia"/>
                <w:color w:val="000000"/>
                <w:sz w:val="24"/>
              </w:rPr>
              <w:t>017</w:t>
            </w:r>
            <w:r>
              <w:rPr>
                <w:rFonts w:hint="eastAsia" w:asciiTheme="minorEastAsia" w:hAnsiTheme="minorEastAsia" w:eastAsiaTheme="minorEastAsia"/>
                <w:color w:val="000000"/>
                <w:sz w:val="24"/>
              </w:rPr>
              <w:t>年9月2日秦皇岛市环境保护局卢龙县分局颁发的排污许可证（证书编号：P</w:t>
            </w:r>
            <w:r>
              <w:rPr>
                <w:rFonts w:asciiTheme="minorEastAsia" w:hAnsiTheme="minorEastAsia" w:eastAsiaTheme="minorEastAsia"/>
                <w:color w:val="000000"/>
                <w:sz w:val="24"/>
              </w:rPr>
              <w:t>WX-130324-0116-17</w:t>
            </w:r>
            <w:r>
              <w:rPr>
                <w:rFonts w:hint="eastAsia" w:asciiTheme="minorEastAsia" w:hAnsiTheme="minorEastAsia" w:eastAsiaTheme="minorEastAsia"/>
                <w:color w:val="000000"/>
                <w:sz w:val="24"/>
              </w:rPr>
              <w:t>）。</w:t>
            </w:r>
          </w:p>
          <w:p>
            <w:pPr>
              <w:widowControl/>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2019年初，企业为提升产品质量、改善环境质量，提高企业经济和社会效益，在企业现有工程不变的基础上，拟投资6</w:t>
            </w:r>
            <w:r>
              <w:rPr>
                <w:rFonts w:asciiTheme="minorEastAsia" w:hAnsiTheme="minorEastAsia" w:eastAsiaTheme="minorEastAsia"/>
                <w:color w:val="000000"/>
                <w:sz w:val="24"/>
              </w:rPr>
              <w:t>60</w:t>
            </w:r>
            <w:r>
              <w:rPr>
                <w:rFonts w:hint="eastAsia" w:asciiTheme="minorEastAsia" w:hAnsiTheme="minorEastAsia" w:eastAsiaTheme="minorEastAsia"/>
                <w:color w:val="000000"/>
                <w:sz w:val="24"/>
              </w:rPr>
              <w:t>万元进行技术改造，增加加热炉等生产设备和有机废气处理装置，技改完成后，企业产能及产品种类等不发生变化。2019年1月，企业委托河北博鳌项目管理有限公司编制《卢龙县铧宠铸造有限公司技术改造项目环境影响报告表》，切于2019年2月21日得到环境主管部门的批复（秦环审表【2019】3号）。</w:t>
            </w:r>
          </w:p>
          <w:p>
            <w:pPr>
              <w:widowControl/>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2、地理位置</w:t>
            </w:r>
          </w:p>
          <w:p>
            <w:pPr>
              <w:widowControl/>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本项目位于卢龙县双望镇三分村卢龙县铧宠铸造有限公司厂区内，厂区中心地理坐标为</w:t>
            </w:r>
            <w:r>
              <w:rPr>
                <w:rFonts w:asciiTheme="minorEastAsia" w:hAnsiTheme="minorEastAsia" w:eastAsiaTheme="minorEastAsia"/>
                <w:color w:val="000000"/>
                <w:sz w:val="24"/>
              </w:rPr>
              <w:t>东经119°2′24.80″，北纬39°54′15.47″。</w:t>
            </w:r>
            <w:r>
              <w:rPr>
                <w:rFonts w:hint="eastAsia" w:asciiTheme="minorEastAsia" w:hAnsiTheme="minorEastAsia" w:eastAsiaTheme="minorEastAsia"/>
                <w:color w:val="000000"/>
                <w:sz w:val="24"/>
              </w:rPr>
              <w:t>厂区以北是空地；以南是102国道，国道以南是空地；厂区以西是空地，空地以西是闲置的罐头厂；厂区以东是空地。最近的敏感目标为厂区南侧2</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0m范家庄村。项目地理位置图见附图1。项目周边关系见附图2。</w:t>
            </w:r>
          </w:p>
          <w:p>
            <w:pPr>
              <w:pStyle w:val="3"/>
              <w:tabs>
                <w:tab w:val="left" w:pos="3465"/>
              </w:tabs>
              <w:snapToGrid w:val="0"/>
              <w:spacing w:line="360" w:lineRule="auto"/>
              <w:ind w:firstLine="480" w:firstLineChars="200"/>
              <w:jc w:val="both"/>
              <w:rPr>
                <w:rFonts w:asciiTheme="minorEastAsia" w:hAnsiTheme="minorEastAsia" w:eastAsiaTheme="minorEastAsia"/>
                <w:kern w:val="2"/>
                <w:szCs w:val="24"/>
              </w:rPr>
            </w:pPr>
            <w:r>
              <w:rPr>
                <w:rFonts w:hint="eastAsia" w:asciiTheme="minorEastAsia" w:hAnsiTheme="minorEastAsia" w:eastAsiaTheme="minorEastAsia"/>
                <w:kern w:val="2"/>
                <w:szCs w:val="24"/>
              </w:rPr>
              <w:t>3、建设内容及生产规模</w:t>
            </w:r>
          </w:p>
          <w:p>
            <w:pPr>
              <w:pStyle w:val="3"/>
              <w:tabs>
                <w:tab w:val="left" w:pos="3465"/>
              </w:tabs>
              <w:snapToGrid w:val="0"/>
              <w:spacing w:line="360" w:lineRule="auto"/>
              <w:ind w:firstLine="480" w:firstLineChars="200"/>
              <w:jc w:val="both"/>
              <w:rPr>
                <w:rFonts w:asciiTheme="minorEastAsia" w:hAnsiTheme="minorEastAsia" w:eastAsiaTheme="minorEastAsia"/>
                <w:color w:val="000000"/>
                <w:szCs w:val="24"/>
              </w:rPr>
            </w:pPr>
            <w:r>
              <w:rPr>
                <w:rFonts w:hint="eastAsia" w:asciiTheme="minorEastAsia" w:hAnsiTheme="minorEastAsia" w:eastAsiaTheme="minorEastAsia"/>
                <w:szCs w:val="24"/>
              </w:rPr>
              <w:t>技改后，</w:t>
            </w:r>
            <w:r>
              <w:rPr>
                <w:rFonts w:hint="eastAsia" w:asciiTheme="minorEastAsia" w:hAnsiTheme="minorEastAsia" w:eastAsiaTheme="minorEastAsia"/>
                <w:color w:val="000000"/>
                <w:szCs w:val="24"/>
              </w:rPr>
              <w:t>废旧钢铁经中频电炉熔化、浇铸、冷却、抛丸等工序，形成成品。对原生产线进行改造，使铸件更加精密，增加电加热炉3台、撞箱2台及除尘设备2套、有机废气治理设备1套、变压器1台，年产精密铸件5</w:t>
            </w:r>
            <w:r>
              <w:rPr>
                <w:rFonts w:asciiTheme="minorEastAsia" w:hAnsiTheme="minorEastAsia" w:eastAsiaTheme="minorEastAsia"/>
                <w:color w:val="000000"/>
                <w:szCs w:val="24"/>
              </w:rPr>
              <w:t>400</w:t>
            </w:r>
            <w:r>
              <w:rPr>
                <w:rFonts w:hint="eastAsia" w:asciiTheme="minorEastAsia" w:hAnsiTheme="minorEastAsia" w:eastAsiaTheme="minorEastAsia"/>
                <w:color w:val="000000"/>
                <w:szCs w:val="24"/>
              </w:rPr>
              <w:t>吨。全厂劳动定员</w:t>
            </w:r>
            <w:r>
              <w:rPr>
                <w:rFonts w:asciiTheme="minorEastAsia" w:hAnsiTheme="minorEastAsia" w:eastAsiaTheme="minorEastAsia"/>
                <w:color w:val="000000"/>
                <w:szCs w:val="24"/>
              </w:rPr>
              <w:t>20</w:t>
            </w:r>
            <w:r>
              <w:rPr>
                <w:rFonts w:hint="eastAsia" w:asciiTheme="minorEastAsia" w:hAnsiTheme="minorEastAsia" w:eastAsiaTheme="minorEastAsia"/>
                <w:color w:val="000000"/>
                <w:szCs w:val="24"/>
              </w:rPr>
              <w:t>人，工作制度为</w:t>
            </w:r>
            <w:r>
              <w:rPr>
                <w:rFonts w:asciiTheme="minorEastAsia" w:hAnsiTheme="minorEastAsia" w:eastAsiaTheme="minorEastAsia"/>
                <w:color w:val="000000"/>
                <w:szCs w:val="24"/>
              </w:rPr>
              <w:t>2</w:t>
            </w:r>
            <w:r>
              <w:rPr>
                <w:rFonts w:hint="eastAsia" w:asciiTheme="minorEastAsia" w:hAnsiTheme="minorEastAsia" w:eastAsiaTheme="minorEastAsia"/>
                <w:color w:val="000000"/>
                <w:szCs w:val="24"/>
              </w:rPr>
              <w:t>班制，每班8小时，年工作3</w:t>
            </w:r>
            <w:r>
              <w:rPr>
                <w:rFonts w:asciiTheme="minorEastAsia" w:hAnsiTheme="minorEastAsia" w:eastAsiaTheme="minorEastAsia"/>
                <w:color w:val="000000"/>
                <w:szCs w:val="24"/>
              </w:rPr>
              <w:t>00</w:t>
            </w:r>
            <w:r>
              <w:rPr>
                <w:rFonts w:hint="eastAsia" w:asciiTheme="minorEastAsia" w:hAnsiTheme="minorEastAsia" w:eastAsiaTheme="minorEastAsia"/>
                <w:color w:val="000000"/>
                <w:szCs w:val="24"/>
              </w:rPr>
              <w:t>天。技改前后劳动定员及工作制度不发生变化。</w:t>
            </w:r>
          </w:p>
          <w:p>
            <w:pPr>
              <w:widowControl/>
              <w:spacing w:line="360" w:lineRule="auto"/>
              <w:ind w:firstLine="422" w:firstLineChars="200"/>
              <w:jc w:val="center"/>
              <w:rPr>
                <w:rFonts w:hAnsi="宋体"/>
                <w:b/>
                <w:color w:val="000000"/>
                <w:sz w:val="24"/>
              </w:rPr>
            </w:pPr>
            <w:r>
              <w:rPr>
                <w:rFonts w:hint="eastAsia" w:asciiTheme="minorEastAsia" w:hAnsiTheme="minorEastAsia" w:eastAsiaTheme="minorEastAsia"/>
                <w:b/>
                <w:color w:val="000000"/>
              </w:rPr>
              <w:t xml:space="preserve">表1 </w:t>
            </w:r>
            <w:r>
              <w:rPr>
                <w:rFonts w:hint="eastAsia" w:hAnsi="宋体"/>
                <w:b/>
                <w:color w:val="000000"/>
                <w:sz w:val="24"/>
              </w:rPr>
              <w:t>本次技改工程建设内容与现有工程的衔接关系</w:t>
            </w:r>
          </w:p>
          <w:tbl>
            <w:tblPr>
              <w:tblStyle w:val="12"/>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335"/>
              <w:gridCol w:w="1275"/>
              <w:gridCol w:w="55"/>
              <w:gridCol w:w="1174"/>
              <w:gridCol w:w="20"/>
              <w:gridCol w:w="583"/>
              <w:gridCol w:w="613"/>
              <w:gridCol w:w="870"/>
              <w:gridCol w:w="301"/>
              <w:gridCol w:w="1344"/>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gridSpan w:val="2"/>
                  <w:shd w:val="clear" w:color="auto" w:fill="auto"/>
                  <w:vAlign w:val="center"/>
                </w:tcPr>
                <w:p>
                  <w:pPr>
                    <w:widowControl/>
                    <w:jc w:val="center"/>
                    <w:rPr>
                      <w:rFonts w:hAnsi="宋体"/>
                      <w:b/>
                      <w:color w:val="000000"/>
                      <w:szCs w:val="21"/>
                    </w:rPr>
                  </w:pPr>
                  <w:r>
                    <w:rPr>
                      <w:rFonts w:hint="eastAsia" w:hAnsi="宋体"/>
                      <w:b/>
                      <w:color w:val="000000"/>
                      <w:szCs w:val="21"/>
                    </w:rPr>
                    <w:t>工程类别</w:t>
                  </w:r>
                </w:p>
              </w:tc>
              <w:tc>
                <w:tcPr>
                  <w:tcW w:w="1335" w:type="dxa"/>
                  <w:shd w:val="clear" w:color="auto" w:fill="auto"/>
                  <w:vAlign w:val="center"/>
                </w:tcPr>
                <w:p>
                  <w:pPr>
                    <w:widowControl/>
                    <w:jc w:val="center"/>
                    <w:rPr>
                      <w:rFonts w:hAnsi="宋体"/>
                      <w:b/>
                      <w:color w:val="000000"/>
                      <w:szCs w:val="21"/>
                    </w:rPr>
                  </w:pPr>
                  <w:r>
                    <w:rPr>
                      <w:rFonts w:hint="eastAsia" w:hAnsi="宋体"/>
                      <w:b/>
                      <w:color w:val="000000"/>
                      <w:szCs w:val="21"/>
                    </w:rPr>
                    <w:t>现有工程</w:t>
                  </w:r>
                </w:p>
              </w:tc>
              <w:tc>
                <w:tcPr>
                  <w:tcW w:w="2504" w:type="dxa"/>
                  <w:gridSpan w:val="3"/>
                  <w:shd w:val="clear" w:color="auto" w:fill="auto"/>
                  <w:vAlign w:val="center"/>
                </w:tcPr>
                <w:p>
                  <w:pPr>
                    <w:widowControl/>
                    <w:jc w:val="center"/>
                    <w:rPr>
                      <w:rFonts w:hAnsi="宋体"/>
                      <w:b/>
                      <w:color w:val="000000"/>
                      <w:szCs w:val="21"/>
                    </w:rPr>
                  </w:pPr>
                  <w:r>
                    <w:rPr>
                      <w:rFonts w:hint="eastAsia" w:hAnsi="宋体"/>
                      <w:b/>
                      <w:color w:val="000000"/>
                      <w:szCs w:val="21"/>
                    </w:rPr>
                    <w:t>技改工程</w:t>
                  </w:r>
                </w:p>
              </w:tc>
              <w:tc>
                <w:tcPr>
                  <w:tcW w:w="2086" w:type="dxa"/>
                  <w:gridSpan w:val="4"/>
                  <w:shd w:val="clear" w:color="auto" w:fill="auto"/>
                  <w:vAlign w:val="center"/>
                </w:tcPr>
                <w:p>
                  <w:pPr>
                    <w:widowControl/>
                    <w:jc w:val="center"/>
                    <w:rPr>
                      <w:rFonts w:hAnsi="宋体"/>
                      <w:b/>
                      <w:color w:val="000000"/>
                      <w:szCs w:val="21"/>
                    </w:rPr>
                  </w:pPr>
                  <w:r>
                    <w:rPr>
                      <w:rFonts w:hint="eastAsia" w:hAnsi="宋体"/>
                      <w:b/>
                      <w:color w:val="000000"/>
                      <w:szCs w:val="21"/>
                    </w:rPr>
                    <w:t>与现有衔接关系</w:t>
                  </w:r>
                </w:p>
              </w:tc>
              <w:tc>
                <w:tcPr>
                  <w:tcW w:w="1645" w:type="dxa"/>
                  <w:gridSpan w:val="2"/>
                  <w:shd w:val="clear" w:color="auto" w:fill="auto"/>
                  <w:vAlign w:val="center"/>
                </w:tcPr>
                <w:p>
                  <w:pPr>
                    <w:widowControl/>
                    <w:jc w:val="center"/>
                    <w:rPr>
                      <w:rFonts w:hAnsi="宋体"/>
                      <w:b/>
                      <w:color w:val="000000"/>
                      <w:szCs w:val="21"/>
                    </w:rPr>
                  </w:pPr>
                  <w:r>
                    <w:rPr>
                      <w:rFonts w:hint="eastAsia" w:hAnsi="宋体"/>
                      <w:b/>
                      <w:color w:val="000000"/>
                      <w:szCs w:val="21"/>
                    </w:rPr>
                    <w:t>最终全厂情况</w:t>
                  </w:r>
                </w:p>
              </w:tc>
              <w:tc>
                <w:tcPr>
                  <w:tcW w:w="1314" w:type="dxa"/>
                  <w:vAlign w:val="center"/>
                </w:tcPr>
                <w:p>
                  <w:pPr>
                    <w:widowControl/>
                    <w:jc w:val="center"/>
                    <w:rPr>
                      <w:rFonts w:hAnsi="宋体"/>
                      <w:b/>
                      <w:color w:val="000000"/>
                      <w:szCs w:val="21"/>
                    </w:rPr>
                  </w:pPr>
                  <w:r>
                    <w:rPr>
                      <w:rFonts w:hint="eastAsia" w:hAnsi="宋体"/>
                      <w:b/>
                      <w:color w:val="00000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主体</w:t>
                  </w:r>
                </w:p>
                <w:p>
                  <w:pPr>
                    <w:widowControl/>
                    <w:jc w:val="center"/>
                    <w:rPr>
                      <w:rFonts w:hAnsi="宋体"/>
                      <w:color w:val="000000"/>
                      <w:szCs w:val="21"/>
                    </w:rPr>
                  </w:pPr>
                  <w:r>
                    <w:rPr>
                      <w:rFonts w:hint="eastAsia" w:hAnsi="宋体"/>
                      <w:color w:val="000000"/>
                      <w:szCs w:val="21"/>
                    </w:rPr>
                    <w:t>工程</w:t>
                  </w:r>
                </w:p>
              </w:tc>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生产区</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钢结构（全封闭），建筑面积约2</w:t>
                  </w:r>
                  <w:r>
                    <w:rPr>
                      <w:rFonts w:hAnsi="宋体"/>
                      <w:color w:val="000000"/>
                      <w:szCs w:val="21"/>
                    </w:rPr>
                    <w:t>052m</w:t>
                  </w:r>
                  <w:r>
                    <w:rPr>
                      <w:rFonts w:hAnsi="宋体"/>
                      <w:color w:val="000000"/>
                      <w:szCs w:val="21"/>
                      <w:vertAlign w:val="superscript"/>
                    </w:rPr>
                    <w:t>2</w:t>
                  </w:r>
                  <w:r>
                    <w:rPr>
                      <w:rFonts w:hint="eastAsia" w:hAnsi="宋体"/>
                      <w:color w:val="000000"/>
                      <w:szCs w:val="21"/>
                    </w:rPr>
                    <w:t>。主要设有中频炉2台（一备一用），造型工部设置造型机6台，浇铸区一处，抛丸工部设置抛丸机2台（1备1用）。</w:t>
                  </w:r>
                </w:p>
              </w:tc>
              <w:tc>
                <w:tcPr>
                  <w:tcW w:w="2504" w:type="dxa"/>
                  <w:gridSpan w:val="3"/>
                  <w:shd w:val="clear" w:color="auto" w:fill="auto"/>
                  <w:vAlign w:val="center"/>
                </w:tcPr>
                <w:p>
                  <w:pPr>
                    <w:widowControl/>
                    <w:jc w:val="center"/>
                    <w:rPr>
                      <w:rFonts w:hAnsi="宋体"/>
                      <w:color w:val="000000"/>
                      <w:szCs w:val="21"/>
                    </w:rPr>
                  </w:pPr>
                  <w:r>
                    <w:rPr>
                      <w:rFonts w:hint="eastAsia" w:hAnsi="宋体"/>
                      <w:color w:val="000000"/>
                      <w:szCs w:val="21"/>
                    </w:rPr>
                    <w:t>增加1台抛丸机，抛丸机变为</w:t>
                  </w:r>
                  <w:r>
                    <w:rPr>
                      <w:rFonts w:hAnsi="宋体"/>
                      <w:color w:val="000000"/>
                      <w:szCs w:val="21"/>
                    </w:rPr>
                    <w:t>3</w:t>
                  </w:r>
                  <w:r>
                    <w:rPr>
                      <w:rFonts w:hint="eastAsia" w:hAnsi="宋体"/>
                      <w:color w:val="000000"/>
                      <w:szCs w:val="21"/>
                    </w:rPr>
                    <w:t>台（2备1用）</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依托现有设施设备</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钢结构（全封闭），建筑面积约2</w:t>
                  </w:r>
                  <w:r>
                    <w:rPr>
                      <w:rFonts w:hAnsi="宋体"/>
                      <w:color w:val="000000"/>
                      <w:szCs w:val="21"/>
                    </w:rPr>
                    <w:t>052m</w:t>
                  </w:r>
                  <w:r>
                    <w:rPr>
                      <w:rFonts w:hAnsi="宋体"/>
                      <w:color w:val="000000"/>
                      <w:szCs w:val="21"/>
                      <w:vertAlign w:val="superscript"/>
                    </w:rPr>
                    <w:t>2</w:t>
                  </w:r>
                  <w:r>
                    <w:rPr>
                      <w:rFonts w:hint="eastAsia" w:hAnsi="宋体"/>
                      <w:color w:val="000000"/>
                      <w:szCs w:val="21"/>
                    </w:rPr>
                    <w:t>。主要设有中频炉2台（1备1用），造型工部设置造型机6台，浇铸区一处，抛丸工部设置抛丸机</w:t>
                  </w:r>
                  <w:r>
                    <w:rPr>
                      <w:rFonts w:hAnsi="宋体"/>
                      <w:color w:val="000000"/>
                      <w:szCs w:val="21"/>
                    </w:rPr>
                    <w:t>3</w:t>
                  </w:r>
                  <w:r>
                    <w:rPr>
                      <w:rFonts w:hint="eastAsia" w:hAnsi="宋体"/>
                      <w:color w:val="000000"/>
                      <w:szCs w:val="21"/>
                    </w:rPr>
                    <w:t>台（两备一用）。</w:t>
                  </w:r>
                </w:p>
              </w:tc>
              <w:tc>
                <w:tcPr>
                  <w:tcW w:w="1314" w:type="dxa"/>
                  <w:vAlign w:val="center"/>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2504" w:type="dxa"/>
                  <w:gridSpan w:val="3"/>
                  <w:shd w:val="clear" w:color="auto" w:fill="auto"/>
                  <w:vAlign w:val="center"/>
                </w:tcPr>
                <w:p>
                  <w:pPr>
                    <w:widowControl/>
                    <w:jc w:val="center"/>
                    <w:rPr>
                      <w:rFonts w:hAnsi="宋体"/>
                      <w:color w:val="000000"/>
                      <w:szCs w:val="21"/>
                    </w:rPr>
                  </w:pPr>
                  <w:r>
                    <w:rPr>
                      <w:rFonts w:hint="eastAsia" w:hAnsi="宋体"/>
                      <w:color w:val="000000"/>
                      <w:szCs w:val="21"/>
                    </w:rPr>
                    <w:t>增加3台加热炉</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新增</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设有3台加热炉</w:t>
                  </w:r>
                </w:p>
              </w:tc>
              <w:tc>
                <w:tcPr>
                  <w:tcW w:w="1314" w:type="dxa"/>
                </w:tcPr>
                <w:p>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jc w:val="center"/>
                    <w:rPr>
                      <w:rFonts w:hAnsi="宋体"/>
                      <w:color w:val="000000"/>
                      <w:szCs w:val="21"/>
                    </w:rPr>
                  </w:pPr>
                  <w:r>
                    <w:rPr>
                      <w:rFonts w:hint="eastAsia" w:hAnsi="宋体"/>
                      <w:color w:val="000000"/>
                      <w:szCs w:val="21"/>
                    </w:rPr>
                    <w:t>辅助工程</w:t>
                  </w:r>
                </w:p>
              </w:tc>
              <w:tc>
                <w:tcPr>
                  <w:tcW w:w="426" w:type="dxa"/>
                  <w:shd w:val="clear" w:color="auto" w:fill="auto"/>
                  <w:vAlign w:val="center"/>
                </w:tcPr>
                <w:p>
                  <w:pPr>
                    <w:widowControl/>
                    <w:jc w:val="center"/>
                    <w:rPr>
                      <w:rFonts w:hAnsi="宋体"/>
                      <w:color w:val="000000"/>
                      <w:szCs w:val="21"/>
                    </w:rPr>
                  </w:pPr>
                  <w:r>
                    <w:rPr>
                      <w:rFonts w:hint="eastAsia" w:hAnsi="宋体"/>
                      <w:color w:val="000000"/>
                      <w:szCs w:val="21"/>
                    </w:rPr>
                    <w:t>办公室</w:t>
                  </w:r>
                </w:p>
              </w:tc>
              <w:tc>
                <w:tcPr>
                  <w:tcW w:w="1335" w:type="dxa"/>
                  <w:shd w:val="clear" w:color="auto" w:fill="auto"/>
                  <w:vAlign w:val="center"/>
                </w:tcPr>
                <w:p>
                  <w:pPr>
                    <w:widowControl/>
                    <w:jc w:val="center"/>
                    <w:rPr>
                      <w:rFonts w:hAnsi="宋体"/>
                      <w:color w:val="000000"/>
                      <w:szCs w:val="21"/>
                    </w:rPr>
                  </w:pPr>
                  <w:r>
                    <w:rPr>
                      <w:rFonts w:hAnsi="宋体"/>
                      <w:color w:val="000000"/>
                      <w:szCs w:val="21"/>
                    </w:rPr>
                    <w:t>1F</w:t>
                  </w:r>
                  <w:r>
                    <w:rPr>
                      <w:rFonts w:hint="eastAsia" w:hAnsi="宋体"/>
                      <w:color w:val="000000"/>
                      <w:szCs w:val="21"/>
                    </w:rPr>
                    <w:t>，砖瓦结构，2座，每座建筑面积2</w:t>
                  </w:r>
                  <w:r>
                    <w:rPr>
                      <w:rFonts w:hAnsi="宋体"/>
                      <w:color w:val="000000"/>
                      <w:szCs w:val="21"/>
                    </w:rPr>
                    <w:t>2m</w:t>
                  </w:r>
                  <w:r>
                    <w:rPr>
                      <w:rFonts w:hAnsi="宋体"/>
                      <w:color w:val="000000"/>
                      <w:szCs w:val="21"/>
                      <w:vertAlign w:val="superscript"/>
                    </w:rPr>
                    <w:t>2</w:t>
                  </w:r>
                </w:p>
              </w:tc>
              <w:tc>
                <w:tcPr>
                  <w:tcW w:w="2504" w:type="dxa"/>
                  <w:gridSpan w:val="3"/>
                  <w:vMerge w:val="restart"/>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2086" w:type="dxa"/>
                  <w:gridSpan w:val="4"/>
                  <w:vMerge w:val="restart"/>
                  <w:shd w:val="clear" w:color="auto" w:fill="auto"/>
                  <w:vAlign w:val="center"/>
                </w:tcPr>
                <w:p>
                  <w:pPr>
                    <w:widowControl/>
                    <w:jc w:val="center"/>
                    <w:rPr>
                      <w:rFonts w:hAnsi="宋体"/>
                      <w:color w:val="000000"/>
                      <w:szCs w:val="21"/>
                    </w:rPr>
                  </w:pPr>
                  <w:r>
                    <w:rPr>
                      <w:rFonts w:hint="eastAsia" w:hAnsi="宋体"/>
                      <w:color w:val="000000"/>
                      <w:szCs w:val="21"/>
                    </w:rPr>
                    <w:t>依托现有设施</w:t>
                  </w:r>
                </w:p>
              </w:tc>
              <w:tc>
                <w:tcPr>
                  <w:tcW w:w="1645" w:type="dxa"/>
                  <w:gridSpan w:val="2"/>
                  <w:shd w:val="clear" w:color="auto" w:fill="auto"/>
                  <w:vAlign w:val="center"/>
                </w:tcPr>
                <w:p>
                  <w:pPr>
                    <w:widowControl/>
                    <w:jc w:val="center"/>
                    <w:rPr>
                      <w:rFonts w:hAnsi="宋体"/>
                      <w:color w:val="000000"/>
                      <w:szCs w:val="21"/>
                    </w:rPr>
                  </w:pPr>
                  <w:r>
                    <w:rPr>
                      <w:rFonts w:hAnsi="宋体"/>
                      <w:color w:val="000000"/>
                      <w:szCs w:val="21"/>
                    </w:rPr>
                    <w:t>1F</w:t>
                  </w:r>
                  <w:r>
                    <w:rPr>
                      <w:rFonts w:hint="eastAsia" w:hAnsi="宋体"/>
                      <w:color w:val="000000"/>
                      <w:szCs w:val="21"/>
                    </w:rPr>
                    <w:t>，砖瓦结构，2座，每座建筑面积2</w:t>
                  </w:r>
                  <w:r>
                    <w:rPr>
                      <w:rFonts w:hAnsi="宋体"/>
                      <w:color w:val="000000"/>
                      <w:szCs w:val="21"/>
                    </w:rPr>
                    <w:t>2m</w:t>
                  </w:r>
                  <w:r>
                    <w:rPr>
                      <w:rFonts w:hAnsi="宋体"/>
                      <w:color w:val="000000"/>
                      <w:szCs w:val="21"/>
                      <w:vertAlign w:val="superscript"/>
                    </w:rPr>
                    <w:t>2</w:t>
                  </w:r>
                </w:p>
              </w:tc>
              <w:tc>
                <w:tcPr>
                  <w:tcW w:w="1314" w:type="dxa"/>
                </w:tcPr>
                <w:p>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shd w:val="clear" w:color="auto" w:fill="auto"/>
                  <w:vAlign w:val="center"/>
                </w:tcPr>
                <w:p>
                  <w:pPr>
                    <w:widowControl/>
                    <w:jc w:val="center"/>
                    <w:rPr>
                      <w:rFonts w:hAnsi="宋体"/>
                      <w:color w:val="000000"/>
                      <w:szCs w:val="21"/>
                    </w:rPr>
                  </w:pPr>
                  <w:r>
                    <w:rPr>
                      <w:rFonts w:hint="eastAsia" w:hAnsi="宋体"/>
                      <w:color w:val="000000"/>
                      <w:szCs w:val="21"/>
                    </w:rPr>
                    <w:t>员工休息室</w:t>
                  </w:r>
                </w:p>
              </w:tc>
              <w:tc>
                <w:tcPr>
                  <w:tcW w:w="1335" w:type="dxa"/>
                  <w:shd w:val="clear" w:color="auto" w:fill="auto"/>
                  <w:vAlign w:val="center"/>
                </w:tcPr>
                <w:p>
                  <w:pPr>
                    <w:widowControl/>
                    <w:jc w:val="center"/>
                    <w:rPr>
                      <w:rFonts w:hAnsi="宋体"/>
                      <w:color w:val="000000"/>
                      <w:szCs w:val="21"/>
                    </w:rPr>
                  </w:pPr>
                  <w:r>
                    <w:rPr>
                      <w:rFonts w:hAnsi="宋体"/>
                      <w:color w:val="000000"/>
                      <w:szCs w:val="21"/>
                    </w:rPr>
                    <w:t>1F</w:t>
                  </w:r>
                  <w:r>
                    <w:rPr>
                      <w:rFonts w:hint="eastAsia" w:hAnsi="宋体"/>
                      <w:color w:val="000000"/>
                      <w:szCs w:val="21"/>
                    </w:rPr>
                    <w:t>，砖瓦结构，2座，每座建筑面积</w:t>
                  </w:r>
                  <w:r>
                    <w:rPr>
                      <w:rFonts w:hAnsi="宋体"/>
                      <w:color w:val="000000"/>
                      <w:szCs w:val="21"/>
                    </w:rPr>
                    <w:t>170m</w:t>
                  </w:r>
                  <w:r>
                    <w:rPr>
                      <w:rFonts w:hAnsi="宋体"/>
                      <w:color w:val="000000"/>
                      <w:szCs w:val="21"/>
                      <w:vertAlign w:val="superscript"/>
                    </w:rPr>
                    <w:t>2</w:t>
                  </w:r>
                </w:p>
              </w:tc>
              <w:tc>
                <w:tcPr>
                  <w:tcW w:w="2504" w:type="dxa"/>
                  <w:gridSpan w:val="3"/>
                  <w:vMerge w:val="continue"/>
                  <w:shd w:val="clear" w:color="auto" w:fill="auto"/>
                  <w:vAlign w:val="center"/>
                </w:tcPr>
                <w:p>
                  <w:pPr>
                    <w:widowControl/>
                    <w:jc w:val="center"/>
                    <w:rPr>
                      <w:rFonts w:hAnsi="宋体"/>
                      <w:color w:val="000000"/>
                      <w:szCs w:val="21"/>
                    </w:rPr>
                  </w:pPr>
                </w:p>
              </w:tc>
              <w:tc>
                <w:tcPr>
                  <w:tcW w:w="2086" w:type="dxa"/>
                  <w:gridSpan w:val="4"/>
                  <w:vMerge w:val="continue"/>
                  <w:shd w:val="clear" w:color="auto" w:fill="auto"/>
                  <w:vAlign w:val="center"/>
                </w:tcPr>
                <w:p>
                  <w:pPr>
                    <w:widowControl/>
                    <w:jc w:val="center"/>
                    <w:rPr>
                      <w:rFonts w:hAnsi="宋体"/>
                      <w:color w:val="000000"/>
                      <w:szCs w:val="21"/>
                    </w:rPr>
                  </w:pPr>
                </w:p>
              </w:tc>
              <w:tc>
                <w:tcPr>
                  <w:tcW w:w="1645" w:type="dxa"/>
                  <w:gridSpan w:val="2"/>
                  <w:shd w:val="clear" w:color="auto" w:fill="auto"/>
                  <w:vAlign w:val="center"/>
                </w:tcPr>
                <w:p>
                  <w:pPr>
                    <w:widowControl/>
                    <w:jc w:val="center"/>
                    <w:rPr>
                      <w:rFonts w:hAnsi="宋体"/>
                      <w:color w:val="000000"/>
                      <w:szCs w:val="21"/>
                    </w:rPr>
                  </w:pPr>
                  <w:r>
                    <w:rPr>
                      <w:rFonts w:hAnsi="宋体"/>
                      <w:color w:val="000000"/>
                      <w:szCs w:val="21"/>
                    </w:rPr>
                    <w:t>1F</w:t>
                  </w:r>
                  <w:r>
                    <w:rPr>
                      <w:rFonts w:hint="eastAsia" w:hAnsi="宋体"/>
                      <w:color w:val="000000"/>
                      <w:szCs w:val="21"/>
                    </w:rPr>
                    <w:t>，砖瓦结构，2座，每座建筑面积</w:t>
                  </w:r>
                  <w:r>
                    <w:rPr>
                      <w:rFonts w:hAnsi="宋体"/>
                      <w:color w:val="000000"/>
                      <w:szCs w:val="21"/>
                    </w:rPr>
                    <w:t>170m</w:t>
                  </w:r>
                  <w:r>
                    <w:rPr>
                      <w:rFonts w:hAnsi="宋体"/>
                      <w:color w:val="000000"/>
                      <w:szCs w:val="21"/>
                      <w:vertAlign w:val="superscript"/>
                    </w:rPr>
                    <w:t>2</w:t>
                  </w:r>
                </w:p>
              </w:tc>
              <w:tc>
                <w:tcPr>
                  <w:tcW w:w="1314" w:type="dxa"/>
                </w:tcPr>
                <w:p>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jc w:val="center"/>
                    <w:rPr>
                      <w:rFonts w:hAnsi="宋体"/>
                      <w:color w:val="000000"/>
                      <w:szCs w:val="21"/>
                    </w:rPr>
                  </w:pPr>
                  <w:r>
                    <w:rPr>
                      <w:rFonts w:hint="eastAsia" w:hAnsi="宋体"/>
                      <w:color w:val="000000"/>
                      <w:szCs w:val="21"/>
                    </w:rPr>
                    <w:t>储运</w:t>
                  </w:r>
                </w:p>
                <w:p>
                  <w:pPr>
                    <w:jc w:val="center"/>
                    <w:rPr>
                      <w:rFonts w:hAnsi="宋体"/>
                      <w:color w:val="000000"/>
                      <w:szCs w:val="21"/>
                    </w:rPr>
                  </w:pPr>
                  <w:r>
                    <w:rPr>
                      <w:rFonts w:hint="eastAsia" w:hAnsi="宋体"/>
                      <w:color w:val="000000"/>
                      <w:szCs w:val="21"/>
                    </w:rPr>
                    <w:t>工程</w:t>
                  </w:r>
                </w:p>
              </w:tc>
              <w:tc>
                <w:tcPr>
                  <w:tcW w:w="426" w:type="dxa"/>
                  <w:shd w:val="clear" w:color="auto" w:fill="auto"/>
                  <w:vAlign w:val="center"/>
                </w:tcPr>
                <w:p>
                  <w:pPr>
                    <w:widowControl/>
                    <w:jc w:val="center"/>
                    <w:rPr>
                      <w:rFonts w:hAnsi="宋体"/>
                      <w:color w:val="000000"/>
                      <w:szCs w:val="21"/>
                    </w:rPr>
                  </w:pPr>
                  <w:r>
                    <w:rPr>
                      <w:rFonts w:hAnsi="宋体"/>
                      <w:color w:val="000000"/>
                      <w:szCs w:val="21"/>
                    </w:rPr>
                    <w:t>1</w:t>
                  </w:r>
                  <w:r>
                    <w:rPr>
                      <w:rFonts w:hint="eastAsia" w:hAnsi="宋体"/>
                      <w:color w:val="000000"/>
                      <w:szCs w:val="21"/>
                    </w:rPr>
                    <w:t>#仓库</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，钢结构，建筑面积约</w:t>
                  </w:r>
                  <w:r>
                    <w:rPr>
                      <w:rFonts w:hAnsi="宋体"/>
                      <w:color w:val="000000"/>
                      <w:szCs w:val="21"/>
                    </w:rPr>
                    <w:t>180m</w:t>
                  </w:r>
                  <w:r>
                    <w:rPr>
                      <w:rFonts w:hAnsi="宋体"/>
                      <w:color w:val="000000"/>
                      <w:szCs w:val="21"/>
                      <w:vertAlign w:val="superscript"/>
                    </w:rPr>
                    <w:t>2</w:t>
                  </w:r>
                  <w:r>
                    <w:rPr>
                      <w:rFonts w:hint="eastAsia" w:hAnsi="宋体"/>
                      <w:color w:val="000000"/>
                      <w:szCs w:val="21"/>
                    </w:rPr>
                    <w:t>，用于暂存成品及其他物品</w:t>
                  </w:r>
                </w:p>
              </w:tc>
              <w:tc>
                <w:tcPr>
                  <w:tcW w:w="2504" w:type="dxa"/>
                  <w:gridSpan w:val="3"/>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依托现有设施</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，钢结构，建筑面积约</w:t>
                  </w:r>
                  <w:r>
                    <w:rPr>
                      <w:rFonts w:hAnsi="宋体"/>
                      <w:color w:val="000000"/>
                      <w:szCs w:val="21"/>
                    </w:rPr>
                    <w:t>180m</w:t>
                  </w:r>
                  <w:r>
                    <w:rPr>
                      <w:rFonts w:hAnsi="宋体"/>
                      <w:color w:val="000000"/>
                      <w:szCs w:val="21"/>
                      <w:vertAlign w:val="superscript"/>
                    </w:rPr>
                    <w:t>2</w:t>
                  </w:r>
                  <w:r>
                    <w:rPr>
                      <w:rFonts w:hint="eastAsia" w:hAnsi="宋体"/>
                      <w:color w:val="000000"/>
                      <w:szCs w:val="21"/>
                    </w:rPr>
                    <w:t>，用于暂存成品及其他物品</w:t>
                  </w:r>
                </w:p>
              </w:tc>
              <w:tc>
                <w:tcPr>
                  <w:tcW w:w="1314" w:type="dxa"/>
                </w:tcPr>
                <w:p>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426" w:type="dxa"/>
                  <w:shd w:val="clear" w:color="auto" w:fill="auto"/>
                  <w:vAlign w:val="center"/>
                </w:tcPr>
                <w:p>
                  <w:pPr>
                    <w:widowControl/>
                    <w:jc w:val="center"/>
                    <w:rPr>
                      <w:rFonts w:hAnsi="宋体"/>
                      <w:color w:val="000000"/>
                      <w:szCs w:val="21"/>
                    </w:rPr>
                  </w:pPr>
                  <w:r>
                    <w:rPr>
                      <w:rFonts w:hAnsi="宋体"/>
                      <w:color w:val="000000"/>
                      <w:szCs w:val="21"/>
                    </w:rPr>
                    <w:t>2</w:t>
                  </w:r>
                  <w:r>
                    <w:rPr>
                      <w:rFonts w:hint="eastAsia" w:hAnsi="宋体"/>
                      <w:color w:val="000000"/>
                      <w:szCs w:val="21"/>
                    </w:rPr>
                    <w:t>#仓库</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，钢结构，建筑面积约</w:t>
                  </w:r>
                  <w:r>
                    <w:rPr>
                      <w:rFonts w:hAnsi="宋体"/>
                      <w:color w:val="000000"/>
                      <w:szCs w:val="21"/>
                    </w:rPr>
                    <w:t>120m</w:t>
                  </w:r>
                  <w:r>
                    <w:rPr>
                      <w:rFonts w:hAnsi="宋体"/>
                      <w:color w:val="000000"/>
                      <w:szCs w:val="21"/>
                      <w:vertAlign w:val="superscript"/>
                    </w:rPr>
                    <w:t>2</w:t>
                  </w:r>
                  <w:r>
                    <w:rPr>
                      <w:rFonts w:hint="eastAsia" w:hAnsi="宋体"/>
                      <w:color w:val="000000"/>
                      <w:szCs w:val="21"/>
                    </w:rPr>
                    <w:t>，用于暂存成品及其他物品</w:t>
                  </w:r>
                </w:p>
              </w:tc>
              <w:tc>
                <w:tcPr>
                  <w:tcW w:w="2504" w:type="dxa"/>
                  <w:gridSpan w:val="3"/>
                  <w:shd w:val="clear" w:color="auto" w:fill="auto"/>
                  <w:vAlign w:val="center"/>
                </w:tcPr>
                <w:p>
                  <w:pPr>
                    <w:widowControl/>
                    <w:jc w:val="center"/>
                    <w:rPr>
                      <w:rFonts w:hAnsi="宋体"/>
                      <w:color w:val="000000"/>
                      <w:szCs w:val="21"/>
                    </w:rPr>
                  </w:pPr>
                  <w:r>
                    <w:rPr>
                      <w:rFonts w:hint="eastAsia" w:hAnsi="宋体"/>
                      <w:color w:val="000000"/>
                      <w:szCs w:val="21"/>
                    </w:rPr>
                    <w:t>改为铸件脱离区</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依托现有厂房，改为铸件脱离区</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，钢结构，建筑面积约</w:t>
                  </w:r>
                  <w:r>
                    <w:rPr>
                      <w:rFonts w:hAnsi="宋体"/>
                      <w:color w:val="000000"/>
                      <w:szCs w:val="21"/>
                    </w:rPr>
                    <w:t>120m</w:t>
                  </w:r>
                  <w:r>
                    <w:rPr>
                      <w:rFonts w:hAnsi="宋体"/>
                      <w:color w:val="000000"/>
                      <w:szCs w:val="21"/>
                      <w:vertAlign w:val="superscript"/>
                    </w:rPr>
                    <w:t>2</w:t>
                  </w:r>
                  <w:r>
                    <w:rPr>
                      <w:rFonts w:hint="eastAsia" w:hAnsi="宋体"/>
                      <w:color w:val="000000"/>
                      <w:szCs w:val="21"/>
                    </w:rPr>
                    <w:t>。设置2台撞箱进行铸件脱离，撞箱一备一用。</w:t>
                  </w:r>
                </w:p>
              </w:tc>
              <w:tc>
                <w:tcPr>
                  <w:tcW w:w="1314" w:type="dxa"/>
                </w:tcPr>
                <w:p>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shd w:val="clear" w:color="auto" w:fill="auto"/>
                  <w:vAlign w:val="center"/>
                </w:tcPr>
                <w:p>
                  <w:pPr>
                    <w:widowControl/>
                    <w:jc w:val="center"/>
                    <w:rPr>
                      <w:rFonts w:hAnsi="宋体"/>
                      <w:color w:val="000000"/>
                      <w:szCs w:val="21"/>
                    </w:rPr>
                  </w:pPr>
                  <w:r>
                    <w:rPr>
                      <w:rFonts w:hAnsi="宋体"/>
                      <w:color w:val="000000"/>
                      <w:szCs w:val="21"/>
                    </w:rPr>
                    <w:t>3</w:t>
                  </w:r>
                  <w:r>
                    <w:rPr>
                      <w:rFonts w:hint="eastAsia" w:hAnsi="宋体"/>
                      <w:color w:val="000000"/>
                      <w:szCs w:val="21"/>
                    </w:rPr>
                    <w:t>#仓库</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，钢结构，建筑面积约</w:t>
                  </w:r>
                  <w:r>
                    <w:rPr>
                      <w:rFonts w:hAnsi="宋体"/>
                      <w:color w:val="000000"/>
                      <w:szCs w:val="21"/>
                    </w:rPr>
                    <w:t>22m</w:t>
                  </w:r>
                  <w:r>
                    <w:rPr>
                      <w:rFonts w:hAnsi="宋体"/>
                      <w:color w:val="000000"/>
                      <w:szCs w:val="21"/>
                      <w:vertAlign w:val="superscript"/>
                    </w:rPr>
                    <w:t>2</w:t>
                  </w:r>
                  <w:r>
                    <w:rPr>
                      <w:rFonts w:hint="eastAsia" w:hAnsi="宋体"/>
                      <w:color w:val="000000"/>
                      <w:szCs w:val="21"/>
                    </w:rPr>
                    <w:t>，用于暂存成品及其他物品</w:t>
                  </w:r>
                </w:p>
              </w:tc>
              <w:tc>
                <w:tcPr>
                  <w:tcW w:w="2504" w:type="dxa"/>
                  <w:gridSpan w:val="3"/>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依托现有设施</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F</w:t>
                  </w:r>
                  <w:r>
                    <w:rPr>
                      <w:rFonts w:hint="eastAsia" w:hAnsi="宋体"/>
                      <w:color w:val="000000"/>
                      <w:szCs w:val="21"/>
                    </w:rPr>
                    <w:t>，钢结构，建筑面积约</w:t>
                  </w:r>
                  <w:r>
                    <w:rPr>
                      <w:rFonts w:hAnsi="宋体"/>
                      <w:color w:val="000000"/>
                      <w:szCs w:val="21"/>
                    </w:rPr>
                    <w:t>22m</w:t>
                  </w:r>
                  <w:r>
                    <w:rPr>
                      <w:rFonts w:hAnsi="宋体"/>
                      <w:color w:val="000000"/>
                      <w:szCs w:val="21"/>
                      <w:vertAlign w:val="superscript"/>
                    </w:rPr>
                    <w:t>2</w:t>
                  </w:r>
                  <w:r>
                    <w:rPr>
                      <w:rFonts w:hint="eastAsia" w:hAnsi="宋体"/>
                      <w:color w:val="000000"/>
                      <w:szCs w:val="21"/>
                    </w:rPr>
                    <w:t>，用于暂存成品及其他物品</w:t>
                  </w:r>
                </w:p>
              </w:tc>
              <w:tc>
                <w:tcPr>
                  <w:tcW w:w="1314" w:type="dxa"/>
                </w:tcPr>
                <w:p>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环保</w:t>
                  </w:r>
                </w:p>
                <w:p>
                  <w:pPr>
                    <w:widowControl/>
                    <w:jc w:val="center"/>
                    <w:rPr>
                      <w:rFonts w:hAnsi="宋体"/>
                      <w:color w:val="000000"/>
                      <w:szCs w:val="21"/>
                    </w:rPr>
                  </w:pPr>
                  <w:r>
                    <w:rPr>
                      <w:rFonts w:hint="eastAsia" w:hAnsi="宋体"/>
                      <w:color w:val="000000"/>
                      <w:szCs w:val="21"/>
                    </w:rPr>
                    <w:t>工程</w:t>
                  </w:r>
                </w:p>
              </w:tc>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废气</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中频</w:t>
                  </w:r>
                </w:p>
                <w:p>
                  <w:pPr>
                    <w:widowControl/>
                    <w:jc w:val="center"/>
                    <w:rPr>
                      <w:rFonts w:hAnsi="宋体"/>
                      <w:color w:val="000000"/>
                      <w:szCs w:val="21"/>
                    </w:rPr>
                  </w:pPr>
                  <w:r>
                    <w:rPr>
                      <w:rFonts w:hint="eastAsia" w:hAnsi="宋体"/>
                      <w:color w:val="000000"/>
                      <w:szCs w:val="21"/>
                    </w:rPr>
                    <w:t>电炉（G</w:t>
                  </w:r>
                  <w:r>
                    <w:rPr>
                      <w:rFonts w:hAnsi="宋体"/>
                      <w:color w:val="000000"/>
                      <w:szCs w:val="21"/>
                    </w:rPr>
                    <w:t>1</w:t>
                  </w:r>
                  <w:r>
                    <w:rPr>
                      <w:rFonts w:hint="eastAsia" w:hAnsi="宋体"/>
                      <w:color w:val="000000"/>
                      <w:szCs w:val="21"/>
                    </w:rPr>
                    <w:t>）</w:t>
                  </w:r>
                </w:p>
              </w:tc>
              <w:tc>
                <w:tcPr>
                  <w:tcW w:w="1330" w:type="dxa"/>
                  <w:gridSpan w:val="2"/>
                  <w:shd w:val="clear" w:color="auto" w:fill="auto"/>
                  <w:vAlign w:val="center"/>
                </w:tcPr>
                <w:p>
                  <w:pPr>
                    <w:widowControl/>
                    <w:jc w:val="center"/>
                    <w:rPr>
                      <w:rFonts w:hAnsi="宋体"/>
                      <w:color w:val="000000"/>
                      <w:szCs w:val="21"/>
                    </w:rPr>
                  </w:pPr>
                  <w:r>
                    <w:rPr>
                      <w:rFonts w:hint="eastAsia" w:hAnsi="宋体"/>
                      <w:color w:val="000000"/>
                      <w:szCs w:val="21"/>
                    </w:rPr>
                    <w:t>2台中频电炉（一备一用），每台中频炉上方设置集气罩+</w:t>
                  </w:r>
                  <w:r>
                    <w:rPr>
                      <w:rFonts w:hAnsi="宋体"/>
                      <w:color w:val="000000"/>
                      <w:szCs w:val="21"/>
                    </w:rPr>
                    <w:t>1</w:t>
                  </w:r>
                  <w:r>
                    <w:rPr>
                      <w:rFonts w:hint="eastAsia" w:hAnsi="宋体"/>
                      <w:color w:val="000000"/>
                      <w:szCs w:val="21"/>
                    </w:rPr>
                    <w:t>台脉冲布袋除尘器+</w:t>
                  </w:r>
                  <w:r>
                    <w:rPr>
                      <w:rFonts w:hAnsi="宋体"/>
                      <w:color w:val="000000"/>
                      <w:szCs w:val="21"/>
                    </w:rPr>
                    <w:t>1</w:t>
                  </w:r>
                  <w:r>
                    <w:rPr>
                      <w:rFonts w:hint="eastAsia" w:hAnsi="宋体"/>
                      <w:color w:val="000000"/>
                      <w:szCs w:val="21"/>
                    </w:rPr>
                    <w:t>根1</w:t>
                  </w:r>
                  <w:r>
                    <w:rPr>
                      <w:rFonts w:hAnsi="宋体"/>
                      <w:color w:val="000000"/>
                      <w:szCs w:val="21"/>
                    </w:rPr>
                    <w:t>5m</w:t>
                  </w:r>
                  <w:r>
                    <w:rPr>
                      <w:rFonts w:hint="eastAsia" w:hAnsi="宋体"/>
                      <w:color w:val="000000"/>
                      <w:szCs w:val="21"/>
                    </w:rPr>
                    <w:t>高排气筒（P</w:t>
                  </w:r>
                  <w:r>
                    <w:rPr>
                      <w:rFonts w:hAnsi="宋体"/>
                      <w:color w:val="000000"/>
                      <w:szCs w:val="21"/>
                    </w:rPr>
                    <w:t>1</w:t>
                  </w:r>
                  <w:r>
                    <w:rPr>
                      <w:rFonts w:hint="eastAsia" w:hAnsi="宋体"/>
                      <w:color w:val="000000"/>
                      <w:szCs w:val="21"/>
                    </w:rPr>
                    <w:t>）</w:t>
                  </w:r>
                </w:p>
              </w:tc>
              <w:tc>
                <w:tcPr>
                  <w:tcW w:w="1174" w:type="dxa"/>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利用现有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2台中频电炉（一备一用），每台中频炉上方设置集气罩+</w:t>
                  </w:r>
                  <w:r>
                    <w:rPr>
                      <w:rFonts w:hAnsi="宋体"/>
                      <w:color w:val="000000"/>
                      <w:szCs w:val="21"/>
                    </w:rPr>
                    <w:t>1</w:t>
                  </w:r>
                  <w:r>
                    <w:rPr>
                      <w:rFonts w:hint="eastAsia" w:hAnsi="宋体"/>
                      <w:color w:val="000000"/>
                      <w:szCs w:val="21"/>
                    </w:rPr>
                    <w:t>台脉冲布袋除尘器+</w:t>
                  </w:r>
                  <w:r>
                    <w:rPr>
                      <w:rFonts w:hAnsi="宋体"/>
                      <w:color w:val="000000"/>
                      <w:szCs w:val="21"/>
                    </w:rPr>
                    <w:t>1</w:t>
                  </w:r>
                  <w:r>
                    <w:rPr>
                      <w:rFonts w:hint="eastAsia" w:hAnsi="宋体"/>
                      <w:color w:val="000000"/>
                      <w:szCs w:val="21"/>
                    </w:rPr>
                    <w:t>根1</w:t>
                  </w:r>
                  <w:r>
                    <w:rPr>
                      <w:rFonts w:hAnsi="宋体"/>
                      <w:color w:val="000000"/>
                      <w:szCs w:val="21"/>
                    </w:rPr>
                    <w:t>5m</w:t>
                  </w:r>
                  <w:r>
                    <w:rPr>
                      <w:rFonts w:hint="eastAsia" w:hAnsi="宋体"/>
                      <w:color w:val="000000"/>
                      <w:szCs w:val="21"/>
                    </w:rPr>
                    <w:t>高排气筒（P</w:t>
                  </w:r>
                  <w:r>
                    <w:rPr>
                      <w:rFonts w:hAnsi="宋体"/>
                      <w:color w:val="000000"/>
                      <w:szCs w:val="21"/>
                    </w:rPr>
                    <w:t>1</w:t>
                  </w:r>
                  <w:r>
                    <w:rPr>
                      <w:rFonts w:hint="eastAsia" w:hAnsi="宋体"/>
                      <w:color w:val="000000"/>
                      <w:szCs w:val="21"/>
                    </w:rPr>
                    <w:t>）</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造型</w:t>
                  </w:r>
                </w:p>
                <w:p>
                  <w:pPr>
                    <w:widowControl/>
                    <w:jc w:val="center"/>
                    <w:rPr>
                      <w:rFonts w:hAnsi="宋体"/>
                      <w:color w:val="000000"/>
                      <w:szCs w:val="21"/>
                    </w:rPr>
                  </w:pPr>
                  <w:r>
                    <w:rPr>
                      <w:rFonts w:hint="eastAsia" w:hAnsi="宋体"/>
                      <w:color w:val="000000"/>
                      <w:szCs w:val="21"/>
                    </w:rPr>
                    <w:t>工序</w:t>
                  </w:r>
                </w:p>
                <w:p>
                  <w:pPr>
                    <w:widowControl/>
                    <w:jc w:val="center"/>
                    <w:rPr>
                      <w:rFonts w:hAnsi="宋体"/>
                      <w:color w:val="000000"/>
                      <w:szCs w:val="21"/>
                    </w:rPr>
                  </w:pPr>
                  <w:r>
                    <w:rPr>
                      <w:rFonts w:hint="eastAsia" w:hAnsi="宋体"/>
                      <w:color w:val="000000"/>
                      <w:szCs w:val="21"/>
                    </w:rPr>
                    <w:t>（G</w:t>
                  </w:r>
                  <w:r>
                    <w:rPr>
                      <w:rFonts w:hAnsi="宋体"/>
                      <w:color w:val="000000"/>
                      <w:szCs w:val="21"/>
                    </w:rPr>
                    <w:t>2</w:t>
                  </w:r>
                  <w:r>
                    <w:rPr>
                      <w:rFonts w:hint="eastAsia" w:hAnsi="宋体"/>
                      <w:color w:val="000000"/>
                      <w:szCs w:val="21"/>
                    </w:rPr>
                    <w:t>）</w:t>
                  </w:r>
                </w:p>
              </w:tc>
              <w:tc>
                <w:tcPr>
                  <w:tcW w:w="1330" w:type="dxa"/>
                  <w:gridSpan w:val="2"/>
                  <w:vMerge w:val="restart"/>
                  <w:shd w:val="clear" w:color="auto" w:fill="auto"/>
                  <w:vAlign w:val="center"/>
                </w:tcPr>
                <w:p>
                  <w:pPr>
                    <w:widowControl/>
                    <w:jc w:val="center"/>
                    <w:rPr>
                      <w:rFonts w:hAnsi="宋体"/>
                      <w:color w:val="000000"/>
                      <w:szCs w:val="21"/>
                    </w:rPr>
                  </w:pPr>
                  <w:r>
                    <w:rPr>
                      <w:rFonts w:hint="eastAsia" w:hAnsi="宋体"/>
                      <w:color w:val="000000"/>
                      <w:szCs w:val="21"/>
                    </w:rPr>
                    <w:t>全封闭车间内，产生的颗粒物、非甲烷总烃气体无组织排放</w:t>
                  </w:r>
                </w:p>
              </w:tc>
              <w:tc>
                <w:tcPr>
                  <w:tcW w:w="1174" w:type="dxa"/>
                  <w:vMerge w:val="restart"/>
                  <w:shd w:val="clear" w:color="auto" w:fill="auto"/>
                  <w:vAlign w:val="center"/>
                </w:tcPr>
                <w:p>
                  <w:pPr>
                    <w:widowControl/>
                    <w:jc w:val="center"/>
                    <w:rPr>
                      <w:rFonts w:hAnsi="宋体"/>
                      <w:color w:val="000000"/>
                      <w:szCs w:val="21"/>
                    </w:rPr>
                  </w:pPr>
                  <w:r>
                    <w:rPr>
                      <w:rFonts w:hint="eastAsia" w:hAnsi="宋体"/>
                      <w:color w:val="000000"/>
                      <w:szCs w:val="21"/>
                    </w:rPr>
                    <w:t>造型工序及浇铸工序上方设置顶吸式集气罩，非甲烷总烃废气经“过滤棉+</w:t>
                  </w:r>
                  <w:r>
                    <w:rPr>
                      <w:rFonts w:hAnsi="宋体"/>
                      <w:color w:val="000000"/>
                      <w:szCs w:val="21"/>
                    </w:rPr>
                    <w:t>UV</w:t>
                  </w:r>
                  <w:r>
                    <w:rPr>
                      <w:rFonts w:hint="eastAsia" w:hAnsi="宋体"/>
                      <w:color w:val="000000"/>
                      <w:szCs w:val="21"/>
                    </w:rPr>
                    <w:t>光氧催化装置+活性炭吸附装置”处理后，经1根1</w:t>
                  </w:r>
                  <w:r>
                    <w:rPr>
                      <w:rFonts w:hAnsi="宋体"/>
                      <w:color w:val="000000"/>
                      <w:szCs w:val="21"/>
                    </w:rPr>
                    <w:t>5</w:t>
                  </w:r>
                  <w:r>
                    <w:rPr>
                      <w:rFonts w:hint="eastAsia" w:hAnsi="宋体"/>
                      <w:color w:val="000000"/>
                      <w:szCs w:val="21"/>
                    </w:rPr>
                    <w:t>m高排气筒（P</w:t>
                  </w:r>
                  <w:r>
                    <w:rPr>
                      <w:rFonts w:hAnsi="宋体"/>
                      <w:color w:val="000000"/>
                      <w:szCs w:val="21"/>
                    </w:rPr>
                    <w:t>2</w:t>
                  </w:r>
                  <w:r>
                    <w:rPr>
                      <w:rFonts w:hint="eastAsia" w:hAnsi="宋体"/>
                      <w:color w:val="000000"/>
                      <w:szCs w:val="21"/>
                    </w:rPr>
                    <w:t>）排放。</w:t>
                  </w:r>
                </w:p>
              </w:tc>
              <w:tc>
                <w:tcPr>
                  <w:tcW w:w="2086" w:type="dxa"/>
                  <w:gridSpan w:val="4"/>
                  <w:vMerge w:val="restart"/>
                  <w:shd w:val="clear" w:color="auto" w:fill="auto"/>
                  <w:vAlign w:val="center"/>
                </w:tcPr>
                <w:p>
                  <w:pPr>
                    <w:widowControl/>
                    <w:jc w:val="center"/>
                    <w:rPr>
                      <w:rFonts w:hAnsi="宋体"/>
                      <w:color w:val="000000"/>
                      <w:szCs w:val="21"/>
                    </w:rPr>
                  </w:pPr>
                  <w:r>
                    <w:rPr>
                      <w:rFonts w:hint="eastAsia" w:hAnsi="宋体"/>
                      <w:color w:val="000000"/>
                      <w:szCs w:val="21"/>
                    </w:rPr>
                    <w:t>新增“过滤棉+</w:t>
                  </w:r>
                  <w:r>
                    <w:rPr>
                      <w:rFonts w:hAnsi="宋体"/>
                      <w:color w:val="000000"/>
                      <w:szCs w:val="21"/>
                    </w:rPr>
                    <w:t>UV</w:t>
                  </w:r>
                  <w:r>
                    <w:rPr>
                      <w:rFonts w:hint="eastAsia" w:hAnsi="宋体"/>
                      <w:color w:val="000000"/>
                      <w:szCs w:val="21"/>
                    </w:rPr>
                    <w:t>光氧催化装置+活性炭吸附装置”</w:t>
                  </w:r>
                </w:p>
              </w:tc>
              <w:tc>
                <w:tcPr>
                  <w:tcW w:w="1645" w:type="dxa"/>
                  <w:gridSpan w:val="2"/>
                  <w:vMerge w:val="restart"/>
                  <w:shd w:val="clear" w:color="auto" w:fill="auto"/>
                  <w:vAlign w:val="center"/>
                </w:tcPr>
                <w:p>
                  <w:pPr>
                    <w:widowControl/>
                    <w:jc w:val="center"/>
                    <w:rPr>
                      <w:rFonts w:hAnsi="宋体"/>
                      <w:color w:val="000000"/>
                      <w:szCs w:val="21"/>
                    </w:rPr>
                  </w:pPr>
                  <w:r>
                    <w:rPr>
                      <w:rFonts w:hint="eastAsia" w:hAnsi="宋体"/>
                      <w:color w:val="000000"/>
                      <w:szCs w:val="21"/>
                    </w:rPr>
                    <w:t>工序上方设置顶吸式集气罩，非甲烷总烃废气经“过滤棉+</w:t>
                  </w:r>
                  <w:r>
                    <w:rPr>
                      <w:rFonts w:hAnsi="宋体"/>
                      <w:color w:val="000000"/>
                      <w:szCs w:val="21"/>
                    </w:rPr>
                    <w:t>UV</w:t>
                  </w:r>
                  <w:r>
                    <w:rPr>
                      <w:rFonts w:hint="eastAsia" w:hAnsi="宋体"/>
                      <w:color w:val="000000"/>
                      <w:szCs w:val="21"/>
                    </w:rPr>
                    <w:t>光氧催化装置+活性炭吸附装置”处理后，经1根1</w:t>
                  </w:r>
                  <w:r>
                    <w:rPr>
                      <w:rFonts w:hAnsi="宋体"/>
                      <w:color w:val="000000"/>
                      <w:szCs w:val="21"/>
                    </w:rPr>
                    <w:t>5</w:t>
                  </w:r>
                  <w:r>
                    <w:rPr>
                      <w:rFonts w:hint="eastAsia" w:hAnsi="宋体"/>
                      <w:color w:val="000000"/>
                      <w:szCs w:val="21"/>
                    </w:rPr>
                    <w:t>m高排气筒（P</w:t>
                  </w:r>
                  <w:r>
                    <w:rPr>
                      <w:rFonts w:hAnsi="宋体"/>
                      <w:color w:val="000000"/>
                      <w:szCs w:val="21"/>
                    </w:rPr>
                    <w:t>2</w:t>
                  </w:r>
                  <w:r>
                    <w:rPr>
                      <w:rFonts w:hint="eastAsia" w:hAnsi="宋体"/>
                      <w:color w:val="000000"/>
                      <w:szCs w:val="21"/>
                    </w:rPr>
                    <w:t>）排放</w:t>
                  </w:r>
                </w:p>
              </w:tc>
              <w:tc>
                <w:tcPr>
                  <w:tcW w:w="1314" w:type="dxa"/>
                  <w:vMerge w:val="restart"/>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浇铸</w:t>
                  </w:r>
                </w:p>
                <w:p>
                  <w:pPr>
                    <w:widowControl/>
                    <w:jc w:val="center"/>
                    <w:rPr>
                      <w:rFonts w:hAnsi="宋体"/>
                      <w:color w:val="000000"/>
                      <w:szCs w:val="21"/>
                    </w:rPr>
                  </w:pPr>
                  <w:r>
                    <w:rPr>
                      <w:rFonts w:hint="eastAsia" w:hAnsi="宋体"/>
                      <w:color w:val="000000"/>
                      <w:szCs w:val="21"/>
                    </w:rPr>
                    <w:t>工序</w:t>
                  </w:r>
                </w:p>
                <w:p>
                  <w:pPr>
                    <w:widowControl/>
                    <w:jc w:val="center"/>
                    <w:rPr>
                      <w:rFonts w:hAnsi="宋体"/>
                      <w:color w:val="000000"/>
                      <w:szCs w:val="21"/>
                    </w:rPr>
                  </w:pPr>
                  <w:r>
                    <w:rPr>
                      <w:rFonts w:hint="eastAsia" w:hAnsi="宋体"/>
                      <w:color w:val="000000"/>
                      <w:szCs w:val="21"/>
                    </w:rPr>
                    <w:t>（G</w:t>
                  </w:r>
                  <w:r>
                    <w:rPr>
                      <w:rFonts w:hAnsi="宋体"/>
                      <w:color w:val="000000"/>
                      <w:szCs w:val="21"/>
                    </w:rPr>
                    <w:t>3</w:t>
                  </w:r>
                  <w:r>
                    <w:rPr>
                      <w:rFonts w:hint="eastAsia" w:hAnsi="宋体"/>
                      <w:color w:val="000000"/>
                      <w:szCs w:val="21"/>
                    </w:rPr>
                    <w:t>）</w:t>
                  </w:r>
                </w:p>
              </w:tc>
              <w:tc>
                <w:tcPr>
                  <w:tcW w:w="1330" w:type="dxa"/>
                  <w:gridSpan w:val="2"/>
                  <w:vMerge w:val="continue"/>
                  <w:shd w:val="clear" w:color="auto" w:fill="auto"/>
                  <w:vAlign w:val="center"/>
                </w:tcPr>
                <w:p>
                  <w:pPr>
                    <w:widowControl/>
                    <w:jc w:val="center"/>
                    <w:rPr>
                      <w:rFonts w:hAnsi="宋体"/>
                      <w:color w:val="000000"/>
                      <w:szCs w:val="21"/>
                    </w:rPr>
                  </w:pPr>
                </w:p>
              </w:tc>
              <w:tc>
                <w:tcPr>
                  <w:tcW w:w="1174" w:type="dxa"/>
                  <w:vMerge w:val="continue"/>
                  <w:shd w:val="clear" w:color="auto" w:fill="auto"/>
                  <w:vAlign w:val="center"/>
                </w:tcPr>
                <w:p>
                  <w:pPr>
                    <w:widowControl/>
                    <w:jc w:val="center"/>
                    <w:rPr>
                      <w:rFonts w:hAnsi="宋体"/>
                      <w:color w:val="000000"/>
                      <w:szCs w:val="21"/>
                    </w:rPr>
                  </w:pPr>
                </w:p>
              </w:tc>
              <w:tc>
                <w:tcPr>
                  <w:tcW w:w="2086" w:type="dxa"/>
                  <w:gridSpan w:val="4"/>
                  <w:vMerge w:val="continue"/>
                  <w:shd w:val="clear" w:color="auto" w:fill="auto"/>
                  <w:vAlign w:val="center"/>
                </w:tcPr>
                <w:p>
                  <w:pPr>
                    <w:widowControl/>
                    <w:jc w:val="center"/>
                    <w:rPr>
                      <w:rFonts w:hAnsi="宋体"/>
                      <w:color w:val="000000"/>
                      <w:szCs w:val="21"/>
                    </w:rPr>
                  </w:pPr>
                </w:p>
              </w:tc>
              <w:tc>
                <w:tcPr>
                  <w:tcW w:w="1645" w:type="dxa"/>
                  <w:gridSpan w:val="2"/>
                  <w:vMerge w:val="continue"/>
                  <w:shd w:val="clear" w:color="auto" w:fill="auto"/>
                  <w:vAlign w:val="center"/>
                </w:tcPr>
                <w:p>
                  <w:pPr>
                    <w:widowControl/>
                    <w:jc w:val="center"/>
                    <w:rPr>
                      <w:rFonts w:hAnsi="宋体"/>
                      <w:color w:val="000000"/>
                      <w:szCs w:val="21"/>
                    </w:rPr>
                  </w:pPr>
                </w:p>
              </w:tc>
              <w:tc>
                <w:tcPr>
                  <w:tcW w:w="1314" w:type="dxa"/>
                  <w:vMerge w:val="continue"/>
                </w:tcPr>
                <w:p>
                  <w:pPr>
                    <w:widowControl/>
                    <w:jc w:val="center"/>
                    <w:rPr>
                      <w:rFonts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冷却区（G</w:t>
                  </w:r>
                  <w:r>
                    <w:rPr>
                      <w:rFonts w:hAnsi="宋体"/>
                      <w:color w:val="000000"/>
                      <w:szCs w:val="21"/>
                    </w:rPr>
                    <w:t>4）</w:t>
                  </w:r>
                </w:p>
              </w:tc>
              <w:tc>
                <w:tcPr>
                  <w:tcW w:w="1330" w:type="dxa"/>
                  <w:gridSpan w:val="2"/>
                  <w:shd w:val="clear" w:color="auto" w:fill="auto"/>
                  <w:vAlign w:val="center"/>
                </w:tcPr>
                <w:p>
                  <w:pPr>
                    <w:widowControl/>
                    <w:jc w:val="center"/>
                    <w:rPr>
                      <w:rFonts w:hAnsi="宋体"/>
                      <w:color w:val="000000"/>
                      <w:szCs w:val="21"/>
                    </w:rPr>
                  </w:pPr>
                  <w:r>
                    <w:rPr>
                      <w:rFonts w:hint="eastAsia" w:hAnsi="宋体"/>
                      <w:color w:val="000000"/>
                      <w:szCs w:val="21"/>
                    </w:rPr>
                    <w:t>粉尘露天无组织排放</w:t>
                  </w:r>
                </w:p>
              </w:tc>
              <w:tc>
                <w:tcPr>
                  <w:tcW w:w="1174" w:type="dxa"/>
                  <w:shd w:val="clear" w:color="auto" w:fill="auto"/>
                  <w:vAlign w:val="center"/>
                </w:tcPr>
                <w:p>
                  <w:pPr>
                    <w:widowControl/>
                    <w:jc w:val="center"/>
                    <w:rPr>
                      <w:rFonts w:hAnsi="宋体"/>
                      <w:color w:val="000000"/>
                      <w:szCs w:val="21"/>
                    </w:rPr>
                  </w:pPr>
                  <w:r>
                    <w:rPr>
                      <w:rFonts w:hint="eastAsia" w:hAnsi="宋体"/>
                      <w:color w:val="000000"/>
                      <w:szCs w:val="21"/>
                    </w:rPr>
                    <w:t>冷却区地面硬化，三面围挡，进出口设苫布，设置</w:t>
                  </w:r>
                  <w:r>
                    <w:rPr>
                      <w:rFonts w:hAnsi="宋体"/>
                      <w:color w:val="000000"/>
                      <w:szCs w:val="21"/>
                    </w:rPr>
                    <w:t>1</w:t>
                  </w:r>
                  <w:r>
                    <w:rPr>
                      <w:rFonts w:hint="eastAsia" w:hAnsi="宋体"/>
                      <w:color w:val="000000"/>
                      <w:szCs w:val="21"/>
                    </w:rPr>
                    <w:t>台雾炮喷淋</w:t>
                  </w:r>
                </w:p>
              </w:tc>
              <w:tc>
                <w:tcPr>
                  <w:tcW w:w="2086" w:type="dxa"/>
                  <w:gridSpan w:val="4"/>
                  <w:shd w:val="clear" w:color="auto" w:fill="auto"/>
                  <w:vAlign w:val="center"/>
                </w:tcPr>
                <w:p>
                  <w:pPr>
                    <w:widowControl/>
                    <w:jc w:val="center"/>
                    <w:rPr>
                      <w:rFonts w:hAnsi="宋体"/>
                      <w:color w:val="000000"/>
                      <w:szCs w:val="21"/>
                    </w:rPr>
                  </w:pPr>
                  <w:r>
                    <w:rPr>
                      <w:rFonts w:hint="eastAsia" w:hAnsi="宋体"/>
                      <w:color w:val="000000"/>
                      <w:szCs w:val="21"/>
                    </w:rPr>
                    <w:t>新增</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冷却区地面硬化，三面围挡，进出口设苫布，设置</w:t>
                  </w:r>
                  <w:r>
                    <w:rPr>
                      <w:rFonts w:hAnsi="宋体"/>
                      <w:color w:val="000000"/>
                      <w:szCs w:val="21"/>
                    </w:rPr>
                    <w:t>1</w:t>
                  </w:r>
                  <w:r>
                    <w:rPr>
                      <w:rFonts w:hint="eastAsia" w:hAnsi="宋体"/>
                      <w:color w:val="000000"/>
                      <w:szCs w:val="21"/>
                    </w:rPr>
                    <w:t>台雾炮喷淋</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环保</w:t>
                  </w:r>
                </w:p>
                <w:p>
                  <w:pPr>
                    <w:widowControl/>
                    <w:jc w:val="center"/>
                    <w:rPr>
                      <w:rFonts w:hAnsi="宋体"/>
                      <w:color w:val="000000"/>
                      <w:szCs w:val="21"/>
                    </w:rPr>
                  </w:pPr>
                  <w:r>
                    <w:rPr>
                      <w:rFonts w:hint="eastAsia" w:hAnsi="宋体"/>
                      <w:color w:val="000000"/>
                      <w:szCs w:val="21"/>
                    </w:rPr>
                    <w:t>工程</w:t>
                  </w:r>
                </w:p>
              </w:tc>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废气</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铸件</w:t>
                  </w:r>
                </w:p>
                <w:p>
                  <w:pPr>
                    <w:widowControl/>
                    <w:jc w:val="center"/>
                    <w:rPr>
                      <w:rFonts w:hAnsi="宋体"/>
                      <w:color w:val="000000"/>
                      <w:szCs w:val="21"/>
                    </w:rPr>
                  </w:pPr>
                  <w:r>
                    <w:rPr>
                      <w:rFonts w:hint="eastAsia" w:hAnsi="宋体"/>
                      <w:color w:val="000000"/>
                      <w:szCs w:val="21"/>
                    </w:rPr>
                    <w:t>脱离</w:t>
                  </w:r>
                </w:p>
                <w:p>
                  <w:pPr>
                    <w:widowControl/>
                    <w:jc w:val="center"/>
                    <w:rPr>
                      <w:rFonts w:hAnsi="宋体"/>
                      <w:color w:val="000000"/>
                      <w:szCs w:val="21"/>
                    </w:rPr>
                  </w:pPr>
                  <w:r>
                    <w:rPr>
                      <w:rFonts w:hint="eastAsia" w:hAnsi="宋体"/>
                      <w:color w:val="000000"/>
                      <w:szCs w:val="21"/>
                    </w:rPr>
                    <w:t>（</w:t>
                  </w:r>
                  <w:r>
                    <w:rPr>
                      <w:rFonts w:hAnsi="宋体"/>
                      <w:color w:val="000000"/>
                      <w:szCs w:val="21"/>
                    </w:rPr>
                    <w:t>G5</w:t>
                  </w:r>
                  <w:r>
                    <w:rPr>
                      <w:rFonts w:hint="eastAsia" w:hAnsi="宋体"/>
                      <w:color w:val="000000"/>
                      <w:szCs w:val="21"/>
                    </w:rPr>
                    <w:t>）</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人工脱离，产生废气无组织排放</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增加2台撞箱（一备一用）铸件脱离车间设置雾化喷淋设施，撞箱上方设置顶吸式集气罩，废气经布袋处理器处理后+</w:t>
                  </w:r>
                  <w:r>
                    <w:rPr>
                      <w:rFonts w:hAnsi="宋体"/>
                      <w:color w:val="000000"/>
                      <w:szCs w:val="21"/>
                    </w:rPr>
                    <w:t>15m</w:t>
                  </w:r>
                  <w:r>
                    <w:rPr>
                      <w:rFonts w:hint="eastAsia" w:hAnsi="宋体"/>
                      <w:color w:val="000000"/>
                      <w:szCs w:val="21"/>
                    </w:rPr>
                    <w:t>高排气筒（P</w:t>
                  </w:r>
                  <w:r>
                    <w:rPr>
                      <w:rFonts w:hAnsi="宋体"/>
                      <w:color w:val="000000"/>
                      <w:szCs w:val="21"/>
                    </w:rPr>
                    <w:t>3</w:t>
                  </w:r>
                  <w:r>
                    <w:rPr>
                      <w:rFonts w:hint="eastAsia" w:hAnsi="宋体"/>
                      <w:color w:val="000000"/>
                      <w:szCs w:val="21"/>
                    </w:rPr>
                    <w:t>）排放</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新增</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增加2台撞箱（一备一用）铸件脱离车间设置雾化喷淋设施，撞箱上方设置顶吸式集气罩，废气经布袋处理器处理后+</w:t>
                  </w:r>
                  <w:r>
                    <w:rPr>
                      <w:rFonts w:hAnsi="宋体"/>
                      <w:color w:val="000000"/>
                      <w:szCs w:val="21"/>
                    </w:rPr>
                    <w:t>15m</w:t>
                  </w:r>
                  <w:r>
                    <w:rPr>
                      <w:rFonts w:hint="eastAsia" w:hAnsi="宋体"/>
                      <w:color w:val="000000"/>
                      <w:szCs w:val="21"/>
                    </w:rPr>
                    <w:t>高排气筒排放（P</w:t>
                  </w:r>
                  <w:r>
                    <w:rPr>
                      <w:rFonts w:hAnsi="宋体"/>
                      <w:color w:val="000000"/>
                      <w:szCs w:val="21"/>
                    </w:rPr>
                    <w:t>3</w:t>
                  </w:r>
                  <w:r>
                    <w:rPr>
                      <w:rFonts w:hint="eastAsia" w:hAnsi="宋体"/>
                      <w:color w:val="000000"/>
                      <w:szCs w:val="21"/>
                    </w:rPr>
                    <w:t>）</w:t>
                  </w:r>
                </w:p>
              </w:tc>
              <w:tc>
                <w:tcPr>
                  <w:tcW w:w="1314" w:type="dxa"/>
                </w:tcPr>
                <w:p>
                  <w:pPr>
                    <w:widowControl/>
                    <w:jc w:val="center"/>
                    <w:rPr>
                      <w:rFonts w:hAnsi="宋体"/>
                      <w:color w:val="000000"/>
                      <w:szCs w:val="21"/>
                    </w:rPr>
                  </w:pPr>
                  <w:r>
                    <w:rPr>
                      <w:rFonts w:hint="eastAsia" w:hAnsi="宋体"/>
                      <w:color w:val="000000"/>
                      <w:szCs w:val="21"/>
                    </w:rPr>
                    <w:t>实际增加1台撞箱，对应设置1台布袋除尘器</w:t>
                  </w:r>
                  <w:r>
                    <w:rPr>
                      <w:rFonts w:hAnsi="宋体"/>
                      <w:color w:val="000000"/>
                      <w:szCs w:val="21"/>
                    </w:rPr>
                    <w:t>15m</w:t>
                  </w:r>
                  <w:r>
                    <w:rPr>
                      <w:rFonts w:hint="eastAsia" w:hAnsi="宋体"/>
                      <w:color w:val="000000"/>
                      <w:szCs w:val="21"/>
                    </w:rPr>
                    <w:t>高排气筒处理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抛丸机（</w:t>
                  </w:r>
                  <w:r>
                    <w:rPr>
                      <w:rFonts w:hAnsi="宋体"/>
                      <w:color w:val="000000"/>
                      <w:szCs w:val="21"/>
                    </w:rPr>
                    <w:t>G6</w:t>
                  </w:r>
                  <w:r>
                    <w:rPr>
                      <w:rFonts w:hint="eastAsia" w:hAnsi="宋体"/>
                      <w:color w:val="000000"/>
                      <w:szCs w:val="21"/>
                    </w:rPr>
                    <w:t>）</w:t>
                  </w:r>
                </w:p>
              </w:tc>
              <w:tc>
                <w:tcPr>
                  <w:tcW w:w="2524" w:type="dxa"/>
                  <w:gridSpan w:val="4"/>
                  <w:shd w:val="clear" w:color="auto" w:fill="auto"/>
                  <w:vAlign w:val="center"/>
                </w:tcPr>
                <w:p>
                  <w:pPr>
                    <w:widowControl/>
                    <w:jc w:val="center"/>
                    <w:rPr>
                      <w:rFonts w:hAnsi="宋体"/>
                      <w:color w:val="000000"/>
                      <w:szCs w:val="21"/>
                    </w:rPr>
                  </w:pPr>
                  <w:r>
                    <w:rPr>
                      <w:rFonts w:hAnsi="宋体"/>
                      <w:color w:val="000000"/>
                      <w:szCs w:val="21"/>
                    </w:rPr>
                    <w:t>2</w:t>
                  </w:r>
                  <w:r>
                    <w:rPr>
                      <w:rFonts w:hint="eastAsia" w:hAnsi="宋体"/>
                      <w:color w:val="000000"/>
                      <w:szCs w:val="21"/>
                    </w:rPr>
                    <w:t>台抛丸机为利旧，新增1台，（两备一用），每台抛丸机设置1台布袋除尘器+</w:t>
                  </w:r>
                  <w:r>
                    <w:rPr>
                      <w:rFonts w:hAnsi="宋体"/>
                      <w:color w:val="000000"/>
                      <w:szCs w:val="21"/>
                    </w:rPr>
                    <w:t>1</w:t>
                  </w:r>
                  <w:r>
                    <w:rPr>
                      <w:rFonts w:hint="eastAsia" w:hAnsi="宋体"/>
                      <w:color w:val="000000"/>
                      <w:szCs w:val="21"/>
                    </w:rPr>
                    <w:t>根1</w:t>
                  </w:r>
                  <w:r>
                    <w:rPr>
                      <w:rFonts w:hAnsi="宋体"/>
                      <w:color w:val="000000"/>
                      <w:szCs w:val="21"/>
                    </w:rPr>
                    <w:t>5m</w:t>
                  </w:r>
                  <w:r>
                    <w:rPr>
                      <w:rFonts w:hint="eastAsia" w:hAnsi="宋体"/>
                      <w:color w:val="000000"/>
                      <w:szCs w:val="21"/>
                    </w:rPr>
                    <w:t>高排气筒（P</w:t>
                  </w:r>
                  <w:r>
                    <w:rPr>
                      <w:rFonts w:hAnsi="宋体"/>
                      <w:color w:val="000000"/>
                      <w:szCs w:val="21"/>
                    </w:rPr>
                    <w:t>3</w:t>
                  </w:r>
                  <w:r>
                    <w:rPr>
                      <w:rFonts w:hint="eastAsia" w:hAnsi="宋体"/>
                      <w:color w:val="000000"/>
                      <w:szCs w:val="21"/>
                    </w:rPr>
                    <w:t>）排放</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经自带布袋除尘器处理后，引入到铸件脱离工序布袋除尘器中处理，拆除现有的排气筒，与铸件脱离工序共用1根1</w:t>
                  </w:r>
                  <w:r>
                    <w:rPr>
                      <w:rFonts w:hAnsi="宋体"/>
                      <w:color w:val="000000"/>
                      <w:szCs w:val="21"/>
                    </w:rPr>
                    <w:t>5m</w:t>
                  </w:r>
                  <w:r>
                    <w:rPr>
                      <w:rFonts w:hint="eastAsia" w:hAnsi="宋体"/>
                      <w:color w:val="000000"/>
                      <w:szCs w:val="21"/>
                    </w:rPr>
                    <w:t>高排气筒</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增加一道布袋处理工序，变为两级布袋处理</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经自带的布袋除尘器处理后，再引入到铸件脱离工序布袋除尘器中处理，拆除现有的排气筒，与铸件脱离工序共用1根1</w:t>
                  </w:r>
                  <w:r>
                    <w:rPr>
                      <w:rFonts w:hAnsi="宋体"/>
                      <w:color w:val="000000"/>
                      <w:szCs w:val="21"/>
                    </w:rPr>
                    <w:t>5m</w:t>
                  </w:r>
                  <w:r>
                    <w:rPr>
                      <w:rFonts w:hint="eastAsia" w:hAnsi="宋体"/>
                      <w:color w:val="000000"/>
                      <w:szCs w:val="21"/>
                    </w:rPr>
                    <w:t>高排气筒（P</w:t>
                  </w:r>
                  <w:r>
                    <w:rPr>
                      <w:rFonts w:hAnsi="宋体"/>
                      <w:color w:val="000000"/>
                      <w:szCs w:val="21"/>
                    </w:rPr>
                    <w:t>3</w:t>
                  </w:r>
                  <w:r>
                    <w:rPr>
                      <w:rFonts w:hint="eastAsia" w:hAnsi="宋体"/>
                      <w:color w:val="000000"/>
                      <w:szCs w:val="21"/>
                    </w:rPr>
                    <w:t>）排放</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厂房</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厂房封闭不严实，地面存在坑洼，没有全部硬化。</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将厂房全封闭，地面全部硬化平整</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以新带老</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将厂房全封闭，地面全部硬化平整</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color w:val="000000"/>
                      <w:szCs w:val="21"/>
                    </w:rPr>
                    <w:t>超标报警传感装置</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1196" w:type="dxa"/>
                  <w:gridSpan w:val="2"/>
                  <w:shd w:val="clear" w:color="auto" w:fill="auto"/>
                  <w:vAlign w:val="center"/>
                </w:tcPr>
                <w:p>
                  <w:pPr>
                    <w:widowControl/>
                    <w:jc w:val="center"/>
                    <w:rPr>
                      <w:rFonts w:hAnsi="宋体"/>
                      <w:color w:val="000000"/>
                      <w:szCs w:val="21"/>
                    </w:rPr>
                  </w:pPr>
                  <w:r>
                    <w:rPr>
                      <w:rFonts w:hint="eastAsia"/>
                      <w:color w:val="000000"/>
                      <w:szCs w:val="21"/>
                    </w:rPr>
                    <w:t>企业厂界四角安装有机废气超标报警传感装置</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新增</w:t>
                  </w:r>
                </w:p>
              </w:tc>
              <w:tc>
                <w:tcPr>
                  <w:tcW w:w="1645" w:type="dxa"/>
                  <w:gridSpan w:val="2"/>
                  <w:shd w:val="clear" w:color="auto" w:fill="auto"/>
                  <w:vAlign w:val="center"/>
                </w:tcPr>
                <w:p>
                  <w:pPr>
                    <w:widowControl/>
                    <w:jc w:val="center"/>
                    <w:rPr>
                      <w:rFonts w:hAnsi="宋体"/>
                      <w:color w:val="000000"/>
                      <w:szCs w:val="21"/>
                    </w:rPr>
                  </w:pPr>
                  <w:r>
                    <w:rPr>
                      <w:rFonts w:hint="eastAsia"/>
                      <w:color w:val="000000"/>
                      <w:szCs w:val="21"/>
                    </w:rPr>
                    <w:t>企业厂界四角安装有机废气超标报警传感装置</w:t>
                  </w:r>
                </w:p>
              </w:tc>
              <w:tc>
                <w:tcPr>
                  <w:tcW w:w="1314" w:type="dxa"/>
                  <w:vAlign w:val="center"/>
                </w:tcPr>
                <w:p>
                  <w:pPr>
                    <w:widowControl/>
                    <w:jc w:val="center"/>
                    <w:rPr>
                      <w:color w:val="000000"/>
                      <w:szCs w:val="21"/>
                    </w:rPr>
                  </w:pPr>
                  <w:r>
                    <w:rPr>
                      <w:rFonts w:hint="eastAsia"/>
                      <w:color w:val="000000"/>
                      <w:szCs w:val="21"/>
                    </w:rPr>
                    <w:t>厂界安装1台有机废气超标报警传感装置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废水</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生活污水</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厂区内设有旱厕，生活污水</w:t>
                  </w:r>
                  <w:r>
                    <w:rPr>
                      <w:rFonts w:hint="eastAsia" w:hAnsi="宋体"/>
                      <w:color w:val="000000"/>
                      <w:szCs w:val="21"/>
                      <w:lang w:val="en-US" w:eastAsia="zh-CN"/>
                    </w:rPr>
                    <w:t>的</w:t>
                  </w:r>
                  <w:r>
                    <w:rPr>
                      <w:rFonts w:hint="eastAsia" w:hAnsi="宋体"/>
                      <w:color w:val="000000"/>
                      <w:szCs w:val="21"/>
                    </w:rPr>
                    <w:t>厂区内直接泼洒抑尘</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厂区内设有旱厕，生活</w:t>
                  </w:r>
                  <w:r>
                    <w:rPr>
                      <w:rFonts w:hint="eastAsia" w:hAnsi="宋体"/>
                      <w:color w:val="000000"/>
                      <w:szCs w:val="21"/>
                      <w:lang w:eastAsia="zh-CN"/>
                    </w:rPr>
                    <w:t>污水处理厂</w:t>
                  </w:r>
                  <w:r>
                    <w:rPr>
                      <w:rFonts w:hint="eastAsia" w:hAnsi="宋体"/>
                      <w:color w:val="000000"/>
                      <w:szCs w:val="21"/>
                    </w:rPr>
                    <w:t>区内直接泼洒抑尘</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生产废水</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主要为中频电炉冷却循环水，设有</w:t>
                  </w:r>
                  <w:r>
                    <w:rPr>
                      <w:rFonts w:hAnsi="宋体"/>
                      <w:color w:val="000000"/>
                      <w:szCs w:val="21"/>
                    </w:rPr>
                    <w:t>1</w:t>
                  </w:r>
                  <w:r>
                    <w:rPr>
                      <w:rFonts w:hint="eastAsia" w:hAnsi="宋体"/>
                      <w:color w:val="000000"/>
                      <w:szCs w:val="21"/>
                    </w:rPr>
                    <w:t>座冷却循环水池（4</w:t>
                  </w:r>
                  <w:r>
                    <w:rPr>
                      <w:rFonts w:hAnsi="宋体"/>
                      <w:color w:val="000000"/>
                      <w:szCs w:val="21"/>
                    </w:rPr>
                    <w:t>m</w:t>
                  </w:r>
                  <w:r>
                    <w:rPr>
                      <w:rFonts w:hint="eastAsia" w:hAnsi="宋体"/>
                      <w:color w:val="000000"/>
                      <w:szCs w:val="21"/>
                    </w:rPr>
                    <w:t>×3</w:t>
                  </w:r>
                  <w:r>
                    <w:rPr>
                      <w:rFonts w:hAnsi="宋体"/>
                      <w:color w:val="000000"/>
                      <w:szCs w:val="21"/>
                    </w:rPr>
                    <w:t>.5m</w:t>
                  </w:r>
                  <w:r>
                    <w:rPr>
                      <w:rFonts w:hint="eastAsia" w:hAnsi="宋体"/>
                      <w:color w:val="000000"/>
                      <w:szCs w:val="21"/>
                    </w:rPr>
                    <w:t>×3</w:t>
                  </w:r>
                  <w:r>
                    <w:rPr>
                      <w:rFonts w:hAnsi="宋体"/>
                      <w:color w:val="000000"/>
                      <w:szCs w:val="21"/>
                    </w:rPr>
                    <w:t>m</w:t>
                  </w:r>
                  <w:r>
                    <w:rPr>
                      <w:rFonts w:hint="eastAsia" w:hAnsi="宋体"/>
                      <w:color w:val="000000"/>
                      <w:szCs w:val="21"/>
                    </w:rPr>
                    <w:t>），不外排。</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主要为中频电炉冷却循环水，设有</w:t>
                  </w:r>
                  <w:r>
                    <w:rPr>
                      <w:rFonts w:hAnsi="宋体"/>
                      <w:color w:val="000000"/>
                      <w:szCs w:val="21"/>
                    </w:rPr>
                    <w:t>1</w:t>
                  </w:r>
                  <w:r>
                    <w:rPr>
                      <w:rFonts w:hint="eastAsia" w:hAnsi="宋体"/>
                      <w:color w:val="000000"/>
                      <w:szCs w:val="21"/>
                    </w:rPr>
                    <w:t>座冷却循环水池（4</w:t>
                  </w:r>
                  <w:r>
                    <w:rPr>
                      <w:rFonts w:hAnsi="宋体"/>
                      <w:color w:val="000000"/>
                      <w:szCs w:val="21"/>
                    </w:rPr>
                    <w:t>m</w:t>
                  </w:r>
                  <w:r>
                    <w:rPr>
                      <w:rFonts w:hint="eastAsia" w:hAnsi="宋体"/>
                      <w:color w:val="000000"/>
                      <w:szCs w:val="21"/>
                    </w:rPr>
                    <w:t>×3</w:t>
                  </w:r>
                  <w:r>
                    <w:rPr>
                      <w:rFonts w:hAnsi="宋体"/>
                      <w:color w:val="000000"/>
                      <w:szCs w:val="21"/>
                    </w:rPr>
                    <w:t>.5m</w:t>
                  </w:r>
                  <w:r>
                    <w:rPr>
                      <w:rFonts w:hint="eastAsia" w:hAnsi="宋体"/>
                      <w:color w:val="000000"/>
                      <w:szCs w:val="21"/>
                    </w:rPr>
                    <w:t>×3</w:t>
                  </w:r>
                  <w:r>
                    <w:rPr>
                      <w:rFonts w:hAnsi="宋体"/>
                      <w:color w:val="000000"/>
                      <w:szCs w:val="21"/>
                    </w:rPr>
                    <w:t>m</w:t>
                  </w:r>
                  <w:r>
                    <w:rPr>
                      <w:rFonts w:hint="eastAsia" w:hAnsi="宋体"/>
                      <w:color w:val="000000"/>
                      <w:szCs w:val="21"/>
                    </w:rPr>
                    <w:t>），不外排。</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固废</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冷却工序废覆膜砂</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生产厂家回收，不外排</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生产厂家回收，不外排</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中频电炉废石英砂</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由生产厂家回收</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由生产厂家回收</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中频电炉除尘灰</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外售废铁收购站</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外售废铁收购站</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环保</w:t>
                  </w:r>
                </w:p>
                <w:p>
                  <w:pPr>
                    <w:jc w:val="center"/>
                    <w:rPr>
                      <w:rFonts w:hAnsi="宋体"/>
                      <w:color w:val="000000"/>
                      <w:szCs w:val="21"/>
                    </w:rPr>
                  </w:pPr>
                  <w:r>
                    <w:rPr>
                      <w:rFonts w:hint="eastAsia" w:hAnsi="宋体"/>
                      <w:color w:val="000000"/>
                      <w:szCs w:val="21"/>
                    </w:rPr>
                    <w:t>工程</w:t>
                  </w:r>
                </w:p>
              </w:tc>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固废</w:t>
                  </w: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抛丸工序铁砂混合物</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外售废铁收购站</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外售废铁收购站</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抛丸、铸件脱离除尘灰</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外售废铁收购站</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外售废铁收购站</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活性炭装置废活性炭</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1196" w:type="dxa"/>
                  <w:gridSpan w:val="2"/>
                  <w:vMerge w:val="restart"/>
                  <w:shd w:val="clear" w:color="auto" w:fill="auto"/>
                  <w:vAlign w:val="center"/>
                </w:tcPr>
                <w:p>
                  <w:pPr>
                    <w:widowControl/>
                    <w:jc w:val="center"/>
                    <w:rPr>
                      <w:rFonts w:hAnsi="宋体"/>
                      <w:color w:val="000000"/>
                      <w:szCs w:val="21"/>
                    </w:rPr>
                  </w:pPr>
                  <w:r>
                    <w:rPr>
                      <w:rFonts w:hint="eastAsia" w:hAnsi="宋体"/>
                      <w:color w:val="000000"/>
                      <w:szCs w:val="21"/>
                    </w:rPr>
                    <w:t>暂存于危废储存间，交由有资质单位处理</w:t>
                  </w:r>
                </w:p>
              </w:tc>
              <w:tc>
                <w:tcPr>
                  <w:tcW w:w="870" w:type="dxa"/>
                  <w:vMerge w:val="restart"/>
                  <w:shd w:val="clear" w:color="auto" w:fill="auto"/>
                  <w:vAlign w:val="center"/>
                </w:tcPr>
                <w:p>
                  <w:pPr>
                    <w:widowControl/>
                    <w:jc w:val="center"/>
                    <w:rPr>
                      <w:rFonts w:hAnsi="宋体"/>
                      <w:color w:val="000000"/>
                      <w:szCs w:val="21"/>
                    </w:rPr>
                  </w:pPr>
                  <w:r>
                    <w:rPr>
                      <w:rFonts w:hint="eastAsia" w:hAnsi="宋体"/>
                      <w:color w:val="000000"/>
                      <w:szCs w:val="21"/>
                    </w:rPr>
                    <w:t>新建危废暂存间</w:t>
                  </w:r>
                </w:p>
              </w:tc>
              <w:tc>
                <w:tcPr>
                  <w:tcW w:w="1645" w:type="dxa"/>
                  <w:gridSpan w:val="2"/>
                  <w:vMerge w:val="restart"/>
                  <w:shd w:val="clear" w:color="auto" w:fill="auto"/>
                  <w:vAlign w:val="center"/>
                </w:tcPr>
                <w:p>
                  <w:pPr>
                    <w:widowControl/>
                    <w:jc w:val="center"/>
                    <w:rPr>
                      <w:rFonts w:hAnsi="宋体"/>
                      <w:color w:val="000000"/>
                      <w:szCs w:val="21"/>
                    </w:rPr>
                  </w:pPr>
                  <w:r>
                    <w:rPr>
                      <w:rFonts w:hint="eastAsia" w:hAnsi="宋体"/>
                      <w:color w:val="000000"/>
                      <w:szCs w:val="21"/>
                    </w:rPr>
                    <w:t>暂存于危废储存间，交由有资质单位处理</w:t>
                  </w:r>
                </w:p>
              </w:tc>
              <w:tc>
                <w:tcPr>
                  <w:tcW w:w="1314" w:type="dxa"/>
                  <w:vMerge w:val="restart"/>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U</w:t>
                  </w:r>
                  <w:r>
                    <w:rPr>
                      <w:rFonts w:hAnsi="宋体"/>
                      <w:color w:val="000000"/>
                      <w:szCs w:val="21"/>
                    </w:rPr>
                    <w:t>V</w:t>
                  </w:r>
                  <w:r>
                    <w:rPr>
                      <w:rFonts w:hint="eastAsia" w:hAnsi="宋体"/>
                      <w:color w:val="000000"/>
                      <w:szCs w:val="21"/>
                    </w:rPr>
                    <w:t>光氧催化装置废催化剂</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1196" w:type="dxa"/>
                  <w:gridSpan w:val="2"/>
                  <w:vMerge w:val="continue"/>
                  <w:shd w:val="clear" w:color="auto" w:fill="auto"/>
                  <w:vAlign w:val="center"/>
                </w:tcPr>
                <w:p>
                  <w:pPr>
                    <w:widowControl/>
                    <w:jc w:val="center"/>
                    <w:rPr>
                      <w:rFonts w:hAnsi="宋体"/>
                      <w:color w:val="000000"/>
                      <w:szCs w:val="21"/>
                    </w:rPr>
                  </w:pPr>
                </w:p>
              </w:tc>
              <w:tc>
                <w:tcPr>
                  <w:tcW w:w="870" w:type="dxa"/>
                  <w:vMerge w:val="continue"/>
                  <w:shd w:val="clear" w:color="auto" w:fill="auto"/>
                  <w:vAlign w:val="center"/>
                </w:tcPr>
                <w:p>
                  <w:pPr>
                    <w:widowControl/>
                    <w:jc w:val="center"/>
                    <w:rPr>
                      <w:rFonts w:hAnsi="宋体"/>
                      <w:color w:val="000000"/>
                      <w:szCs w:val="21"/>
                    </w:rPr>
                  </w:pPr>
                </w:p>
              </w:tc>
              <w:tc>
                <w:tcPr>
                  <w:tcW w:w="1645" w:type="dxa"/>
                  <w:gridSpan w:val="2"/>
                  <w:vMerge w:val="continue"/>
                  <w:shd w:val="clear" w:color="auto" w:fill="auto"/>
                  <w:vAlign w:val="center"/>
                </w:tcPr>
                <w:p>
                  <w:pPr>
                    <w:widowControl/>
                    <w:jc w:val="center"/>
                    <w:rPr>
                      <w:rFonts w:hAnsi="宋体"/>
                      <w:color w:val="000000"/>
                      <w:szCs w:val="21"/>
                    </w:rPr>
                  </w:pPr>
                </w:p>
              </w:tc>
              <w:tc>
                <w:tcPr>
                  <w:tcW w:w="1314" w:type="dxa"/>
                  <w:vMerge w:val="continue"/>
                </w:tcPr>
                <w:p>
                  <w:pPr>
                    <w:widowControl/>
                    <w:jc w:val="center"/>
                    <w:rPr>
                      <w:rFonts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U</w:t>
                  </w:r>
                  <w:r>
                    <w:rPr>
                      <w:rFonts w:hAnsi="宋体"/>
                      <w:color w:val="000000"/>
                      <w:szCs w:val="21"/>
                    </w:rPr>
                    <w:t>V</w:t>
                  </w:r>
                  <w:r>
                    <w:rPr>
                      <w:rFonts w:hint="eastAsia" w:hAnsi="宋体"/>
                      <w:color w:val="000000"/>
                      <w:szCs w:val="21"/>
                    </w:rPr>
                    <w:t>光氧催化装置废过滤棉</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1196" w:type="dxa"/>
                  <w:gridSpan w:val="2"/>
                  <w:vMerge w:val="continue"/>
                  <w:shd w:val="clear" w:color="auto" w:fill="auto"/>
                  <w:vAlign w:val="center"/>
                </w:tcPr>
                <w:p>
                  <w:pPr>
                    <w:widowControl/>
                    <w:jc w:val="center"/>
                    <w:rPr>
                      <w:rFonts w:hAnsi="宋体"/>
                      <w:color w:val="000000"/>
                      <w:szCs w:val="21"/>
                    </w:rPr>
                  </w:pPr>
                </w:p>
              </w:tc>
              <w:tc>
                <w:tcPr>
                  <w:tcW w:w="870" w:type="dxa"/>
                  <w:vMerge w:val="continue"/>
                  <w:shd w:val="clear" w:color="auto" w:fill="auto"/>
                  <w:vAlign w:val="center"/>
                </w:tcPr>
                <w:p>
                  <w:pPr>
                    <w:widowControl/>
                    <w:jc w:val="center"/>
                    <w:rPr>
                      <w:rFonts w:hAnsi="宋体"/>
                      <w:color w:val="000000"/>
                      <w:szCs w:val="21"/>
                    </w:rPr>
                  </w:pPr>
                </w:p>
              </w:tc>
              <w:tc>
                <w:tcPr>
                  <w:tcW w:w="1645" w:type="dxa"/>
                  <w:gridSpan w:val="2"/>
                  <w:vMerge w:val="continue"/>
                  <w:shd w:val="clear" w:color="auto" w:fill="auto"/>
                  <w:vAlign w:val="center"/>
                </w:tcPr>
                <w:p>
                  <w:pPr>
                    <w:widowControl/>
                    <w:jc w:val="center"/>
                    <w:rPr>
                      <w:rFonts w:hAnsi="宋体"/>
                      <w:color w:val="000000"/>
                      <w:szCs w:val="21"/>
                    </w:rPr>
                  </w:pPr>
                </w:p>
              </w:tc>
              <w:tc>
                <w:tcPr>
                  <w:tcW w:w="1314" w:type="dxa"/>
                  <w:vMerge w:val="continue"/>
                </w:tcPr>
                <w:p>
                  <w:pPr>
                    <w:widowControl/>
                    <w:jc w:val="center"/>
                    <w:rPr>
                      <w:rFonts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426" w:type="dxa"/>
                  <w:vMerge w:val="continue"/>
                  <w:shd w:val="clear" w:color="auto" w:fill="auto"/>
                  <w:vAlign w:val="center"/>
                </w:tcPr>
                <w:p>
                  <w:pPr>
                    <w:widowControl/>
                    <w:jc w:val="center"/>
                    <w:rPr>
                      <w:rFonts w:hAnsi="宋体"/>
                      <w:color w:val="000000"/>
                      <w:szCs w:val="21"/>
                    </w:rPr>
                  </w:pPr>
                </w:p>
              </w:tc>
              <w:tc>
                <w:tcPr>
                  <w:tcW w:w="1335" w:type="dxa"/>
                  <w:shd w:val="clear" w:color="auto" w:fill="auto"/>
                  <w:vAlign w:val="center"/>
                </w:tcPr>
                <w:p>
                  <w:pPr>
                    <w:widowControl/>
                    <w:jc w:val="center"/>
                    <w:rPr>
                      <w:rFonts w:hAnsi="宋体"/>
                      <w:color w:val="000000"/>
                      <w:szCs w:val="21"/>
                    </w:rPr>
                  </w:pPr>
                  <w:r>
                    <w:rPr>
                      <w:rFonts w:hint="eastAsia" w:hAnsi="宋体"/>
                      <w:color w:val="000000"/>
                      <w:szCs w:val="21"/>
                    </w:rPr>
                    <w:t>生活垃圾</w:t>
                  </w:r>
                </w:p>
              </w:tc>
              <w:tc>
                <w:tcPr>
                  <w:tcW w:w="2524" w:type="dxa"/>
                  <w:gridSpan w:val="4"/>
                  <w:shd w:val="clear" w:color="auto" w:fill="auto"/>
                  <w:vAlign w:val="center"/>
                </w:tcPr>
                <w:p>
                  <w:pPr>
                    <w:widowControl/>
                    <w:jc w:val="center"/>
                    <w:rPr>
                      <w:rFonts w:hAnsi="宋体"/>
                      <w:color w:val="000000"/>
                      <w:szCs w:val="21"/>
                    </w:rPr>
                  </w:pPr>
                  <w:r>
                    <w:rPr>
                      <w:rFonts w:hint="eastAsia" w:hAnsi="宋体"/>
                      <w:color w:val="000000"/>
                      <w:szCs w:val="21"/>
                    </w:rPr>
                    <w:t>环卫部门定期清运处置</w:t>
                  </w:r>
                </w:p>
              </w:tc>
              <w:tc>
                <w:tcPr>
                  <w:tcW w:w="1196" w:type="dxa"/>
                  <w:gridSpan w:val="2"/>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870" w:type="dxa"/>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645" w:type="dxa"/>
                  <w:gridSpan w:val="2"/>
                  <w:shd w:val="clear" w:color="auto" w:fill="auto"/>
                  <w:vAlign w:val="center"/>
                </w:tcPr>
                <w:p>
                  <w:pPr>
                    <w:widowControl/>
                    <w:jc w:val="center"/>
                    <w:rPr>
                      <w:rFonts w:hAnsi="宋体"/>
                      <w:color w:val="000000"/>
                      <w:szCs w:val="21"/>
                    </w:rPr>
                  </w:pPr>
                  <w:r>
                    <w:rPr>
                      <w:rFonts w:hint="eastAsia" w:hAnsi="宋体"/>
                      <w:color w:val="000000"/>
                      <w:szCs w:val="21"/>
                    </w:rPr>
                    <w:t>环卫部门定期清运处置</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jc w:val="center"/>
                    <w:rPr>
                      <w:rFonts w:hAnsi="宋体"/>
                      <w:color w:val="000000"/>
                      <w:szCs w:val="21"/>
                    </w:rPr>
                  </w:pPr>
                </w:p>
              </w:tc>
              <w:tc>
                <w:tcPr>
                  <w:tcW w:w="1761" w:type="dxa"/>
                  <w:gridSpan w:val="2"/>
                  <w:shd w:val="clear" w:color="auto" w:fill="auto"/>
                  <w:vAlign w:val="center"/>
                </w:tcPr>
                <w:p>
                  <w:pPr>
                    <w:widowControl/>
                    <w:jc w:val="center"/>
                    <w:rPr>
                      <w:rFonts w:hAnsi="宋体"/>
                      <w:color w:val="000000"/>
                      <w:szCs w:val="21"/>
                    </w:rPr>
                  </w:pPr>
                  <w:r>
                    <w:rPr>
                      <w:rFonts w:hint="eastAsia" w:hAnsi="宋体"/>
                      <w:color w:val="000000"/>
                      <w:szCs w:val="21"/>
                    </w:rPr>
                    <w:t>危废间防渗布置</w:t>
                  </w:r>
                </w:p>
              </w:tc>
              <w:tc>
                <w:tcPr>
                  <w:tcW w:w="6235" w:type="dxa"/>
                  <w:gridSpan w:val="9"/>
                  <w:shd w:val="clear" w:color="auto" w:fill="auto"/>
                  <w:vAlign w:val="center"/>
                </w:tcPr>
                <w:p>
                  <w:pPr>
                    <w:widowControl/>
                    <w:ind w:firstLine="387"/>
                    <w:rPr>
                      <w:rFonts w:hAnsi="宋体"/>
                      <w:color w:val="000000"/>
                      <w:szCs w:val="21"/>
                    </w:rPr>
                  </w:pPr>
                  <w:r>
                    <w:rPr>
                      <w:rFonts w:hint="eastAsia"/>
                      <w:kern w:val="0"/>
                      <w:szCs w:val="21"/>
                    </w:rPr>
                    <w:t>①危险废物暂存间</w:t>
                  </w:r>
                  <w:r>
                    <w:rPr>
                      <w:kern w:val="0"/>
                      <w:szCs w:val="21"/>
                    </w:rPr>
                    <w:t>地面及裙角采用C25混凝土，抗渗等级不低于P6，厚度不应小于100mm，采用2mm厚的高密度聚氯乙烯防渗材料或其他具有相同防渗能力的材料，渗透系数不大于10</w:t>
                  </w:r>
                  <w:r>
                    <w:rPr>
                      <w:kern w:val="0"/>
                      <w:szCs w:val="21"/>
                      <w:vertAlign w:val="superscript"/>
                    </w:rPr>
                    <w:t>-10</w:t>
                  </w:r>
                  <w:r>
                    <w:rPr>
                      <w:kern w:val="0"/>
                      <w:szCs w:val="21"/>
                    </w:rPr>
                    <w:t>cm/s。</w:t>
                  </w:r>
                </w:p>
                <w:p>
                  <w:pPr>
                    <w:widowControl/>
                    <w:ind w:firstLine="420" w:firstLineChars="200"/>
                    <w:rPr>
                      <w:rFonts w:hAnsi="宋体"/>
                      <w:color w:val="000000"/>
                      <w:szCs w:val="21"/>
                    </w:rPr>
                  </w:pPr>
                  <w:r>
                    <w:rPr>
                      <w:rFonts w:hint="eastAsia"/>
                      <w:color w:val="000000"/>
                      <w:kern w:val="0"/>
                      <w:szCs w:val="21"/>
                    </w:rPr>
                    <w:t>②危废间明显处设置警示标示，制定危废管理制度及台账制度，危险废物分区存放，要求满足</w:t>
                  </w:r>
                  <w:r>
                    <w:rPr>
                      <w:color w:val="000000"/>
                      <w:kern w:val="0"/>
                      <w:szCs w:val="21"/>
                    </w:rPr>
                    <w:t>《危险废物贮存污染控制标准》(GB18597-2001)及2013修改单要求和《危险废物收集、贮存、运输技术规范》(HJ2025-2012)中的相关要求</w:t>
                  </w:r>
                  <w:r>
                    <w:rPr>
                      <w:rFonts w:hint="eastAsia"/>
                      <w:color w:val="000000"/>
                      <w:kern w:val="0"/>
                      <w:szCs w:val="21"/>
                    </w:rPr>
                    <w:t>。</w:t>
                  </w:r>
                </w:p>
              </w:tc>
              <w:tc>
                <w:tcPr>
                  <w:tcW w:w="1314" w:type="dxa"/>
                </w:tcPr>
                <w:p>
                  <w:pPr>
                    <w:widowControl/>
                    <w:ind w:firstLine="387"/>
                    <w:rPr>
                      <w:kern w:val="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1761" w:type="dxa"/>
                  <w:gridSpan w:val="2"/>
                  <w:shd w:val="clear" w:color="auto" w:fill="auto"/>
                  <w:vAlign w:val="center"/>
                </w:tcPr>
                <w:p>
                  <w:pPr>
                    <w:widowControl/>
                    <w:jc w:val="center"/>
                    <w:rPr>
                      <w:rFonts w:hAnsi="宋体"/>
                      <w:color w:val="000000"/>
                      <w:szCs w:val="21"/>
                    </w:rPr>
                  </w:pPr>
                  <w:r>
                    <w:rPr>
                      <w:rFonts w:hint="eastAsia" w:hAnsi="宋体"/>
                      <w:color w:val="000000"/>
                      <w:szCs w:val="21"/>
                    </w:rPr>
                    <w:t>噪声</w:t>
                  </w:r>
                </w:p>
              </w:tc>
              <w:tc>
                <w:tcPr>
                  <w:tcW w:w="1275" w:type="dxa"/>
                  <w:shd w:val="clear" w:color="auto" w:fill="auto"/>
                  <w:vAlign w:val="center"/>
                </w:tcPr>
                <w:p>
                  <w:pPr>
                    <w:widowControl/>
                    <w:jc w:val="center"/>
                    <w:rPr>
                      <w:rFonts w:hAnsi="宋体"/>
                      <w:color w:val="000000"/>
                      <w:szCs w:val="21"/>
                    </w:rPr>
                  </w:pPr>
                  <w:r>
                    <w:rPr>
                      <w:rFonts w:hint="eastAsia" w:hAnsi="宋体"/>
                      <w:color w:val="000000"/>
                      <w:szCs w:val="21"/>
                    </w:rPr>
                    <w:t>各生产工部选用低噪声生产设备，所有生产设备均置于生产车间内，基础减振</w:t>
                  </w:r>
                </w:p>
              </w:tc>
              <w:tc>
                <w:tcPr>
                  <w:tcW w:w="1832" w:type="dxa"/>
                  <w:gridSpan w:val="4"/>
                  <w:shd w:val="clear" w:color="auto" w:fill="auto"/>
                  <w:vAlign w:val="center"/>
                </w:tcPr>
                <w:p>
                  <w:pPr>
                    <w:widowControl/>
                    <w:jc w:val="center"/>
                    <w:rPr>
                      <w:rFonts w:hAnsi="宋体"/>
                      <w:color w:val="000000"/>
                      <w:szCs w:val="21"/>
                    </w:rPr>
                  </w:pPr>
                  <w:r>
                    <w:rPr>
                      <w:rFonts w:hint="eastAsia" w:hAnsi="宋体"/>
                      <w:color w:val="000000"/>
                      <w:szCs w:val="21"/>
                    </w:rPr>
                    <w:t>各生产工部选用低噪声生产设备，所有生产设备均置于生产车间内，基础减振</w:t>
                  </w:r>
                </w:p>
              </w:tc>
              <w:tc>
                <w:tcPr>
                  <w:tcW w:w="1784" w:type="dxa"/>
                  <w:gridSpan w:val="3"/>
                  <w:shd w:val="clear" w:color="auto" w:fill="auto"/>
                  <w:vAlign w:val="center"/>
                </w:tcPr>
                <w:p>
                  <w:pPr>
                    <w:widowControl/>
                    <w:jc w:val="center"/>
                    <w:rPr>
                      <w:rFonts w:hAnsi="宋体"/>
                      <w:color w:val="000000"/>
                      <w:szCs w:val="21"/>
                    </w:rPr>
                  </w:pPr>
                  <w:r>
                    <w:rPr>
                      <w:rFonts w:hint="eastAsia" w:hAnsi="宋体"/>
                      <w:color w:val="000000"/>
                      <w:szCs w:val="21"/>
                    </w:rPr>
                    <w:t>利旧新增</w:t>
                  </w:r>
                </w:p>
              </w:tc>
              <w:tc>
                <w:tcPr>
                  <w:tcW w:w="1344" w:type="dxa"/>
                  <w:shd w:val="clear" w:color="auto" w:fill="auto"/>
                  <w:vAlign w:val="center"/>
                </w:tcPr>
                <w:p>
                  <w:pPr>
                    <w:widowControl/>
                    <w:jc w:val="center"/>
                    <w:rPr>
                      <w:rFonts w:hAnsi="宋体"/>
                      <w:color w:val="000000"/>
                      <w:szCs w:val="21"/>
                    </w:rPr>
                  </w:pPr>
                  <w:r>
                    <w:rPr>
                      <w:rFonts w:hint="eastAsia" w:hAnsi="宋体"/>
                      <w:color w:val="000000"/>
                      <w:szCs w:val="21"/>
                    </w:rPr>
                    <w:t>各生产工部选用低噪声生产设备，所有生产设备均置于生产车间内，基础减振</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pPr>
                    <w:widowControl/>
                    <w:jc w:val="center"/>
                    <w:rPr>
                      <w:rFonts w:hAnsi="宋体"/>
                      <w:color w:val="000000"/>
                      <w:szCs w:val="21"/>
                    </w:rPr>
                  </w:pPr>
                  <w:r>
                    <w:rPr>
                      <w:rFonts w:hint="eastAsia" w:hAnsi="宋体"/>
                      <w:color w:val="000000"/>
                      <w:szCs w:val="21"/>
                    </w:rPr>
                    <w:t>公用</w:t>
                  </w:r>
                </w:p>
                <w:p>
                  <w:pPr>
                    <w:widowControl/>
                    <w:jc w:val="center"/>
                    <w:rPr>
                      <w:rFonts w:hAnsi="宋体"/>
                      <w:color w:val="000000"/>
                      <w:szCs w:val="21"/>
                    </w:rPr>
                  </w:pPr>
                  <w:r>
                    <w:rPr>
                      <w:rFonts w:hint="eastAsia" w:hAnsi="宋体"/>
                      <w:color w:val="000000"/>
                      <w:szCs w:val="21"/>
                    </w:rPr>
                    <w:t>工程</w:t>
                  </w:r>
                </w:p>
              </w:tc>
              <w:tc>
                <w:tcPr>
                  <w:tcW w:w="1761" w:type="dxa"/>
                  <w:gridSpan w:val="2"/>
                  <w:shd w:val="clear" w:color="auto" w:fill="auto"/>
                  <w:vAlign w:val="center"/>
                </w:tcPr>
                <w:p>
                  <w:pPr>
                    <w:widowControl/>
                    <w:jc w:val="center"/>
                    <w:rPr>
                      <w:rFonts w:hAnsi="宋体"/>
                      <w:color w:val="000000"/>
                      <w:szCs w:val="21"/>
                    </w:rPr>
                  </w:pPr>
                  <w:r>
                    <w:rPr>
                      <w:rFonts w:hint="eastAsia" w:hAnsi="宋体"/>
                      <w:color w:val="000000"/>
                      <w:szCs w:val="21"/>
                    </w:rPr>
                    <w:t>供水</w:t>
                  </w:r>
                </w:p>
              </w:tc>
              <w:tc>
                <w:tcPr>
                  <w:tcW w:w="1275" w:type="dxa"/>
                  <w:shd w:val="clear" w:color="auto" w:fill="auto"/>
                  <w:vAlign w:val="center"/>
                </w:tcPr>
                <w:p>
                  <w:pPr>
                    <w:widowControl/>
                    <w:jc w:val="center"/>
                    <w:rPr>
                      <w:rFonts w:hAnsi="宋体"/>
                      <w:color w:val="000000"/>
                      <w:szCs w:val="21"/>
                    </w:rPr>
                  </w:pPr>
                  <w:r>
                    <w:rPr>
                      <w:rFonts w:hint="eastAsia" w:hAnsi="宋体"/>
                      <w:color w:val="000000"/>
                      <w:szCs w:val="21"/>
                    </w:rPr>
                    <w:t>厂内设置自备水井</w:t>
                  </w:r>
                </w:p>
              </w:tc>
              <w:tc>
                <w:tcPr>
                  <w:tcW w:w="1832" w:type="dxa"/>
                  <w:gridSpan w:val="4"/>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1784" w:type="dxa"/>
                  <w:gridSpan w:val="3"/>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344" w:type="dxa"/>
                  <w:shd w:val="clear" w:color="auto" w:fill="auto"/>
                  <w:vAlign w:val="center"/>
                </w:tcPr>
                <w:p>
                  <w:pPr>
                    <w:widowControl/>
                    <w:jc w:val="center"/>
                    <w:rPr>
                      <w:rFonts w:hAnsi="宋体"/>
                      <w:color w:val="000000"/>
                      <w:szCs w:val="21"/>
                    </w:rPr>
                  </w:pPr>
                  <w:r>
                    <w:rPr>
                      <w:rFonts w:hint="eastAsia" w:hAnsi="宋体"/>
                      <w:color w:val="000000"/>
                      <w:szCs w:val="21"/>
                    </w:rPr>
                    <w:t>厂内设置自备水井</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1761" w:type="dxa"/>
                  <w:gridSpan w:val="2"/>
                  <w:shd w:val="clear" w:color="auto" w:fill="auto"/>
                  <w:vAlign w:val="center"/>
                </w:tcPr>
                <w:p>
                  <w:pPr>
                    <w:widowControl/>
                    <w:jc w:val="center"/>
                    <w:rPr>
                      <w:rFonts w:hAnsi="宋体"/>
                      <w:color w:val="000000"/>
                      <w:szCs w:val="21"/>
                    </w:rPr>
                  </w:pPr>
                  <w:r>
                    <w:rPr>
                      <w:rFonts w:hint="eastAsia" w:hAnsi="宋体"/>
                      <w:color w:val="000000"/>
                      <w:szCs w:val="21"/>
                    </w:rPr>
                    <w:t>供电</w:t>
                  </w:r>
                </w:p>
              </w:tc>
              <w:tc>
                <w:tcPr>
                  <w:tcW w:w="1275" w:type="dxa"/>
                  <w:shd w:val="clear" w:color="auto" w:fill="auto"/>
                  <w:vAlign w:val="center"/>
                </w:tcPr>
                <w:p>
                  <w:pPr>
                    <w:widowControl/>
                    <w:jc w:val="center"/>
                    <w:rPr>
                      <w:rFonts w:hAnsi="宋体"/>
                      <w:color w:val="000000"/>
                      <w:szCs w:val="21"/>
                    </w:rPr>
                  </w:pPr>
                  <w:r>
                    <w:rPr>
                      <w:rFonts w:hint="eastAsia" w:hAnsi="宋体"/>
                      <w:color w:val="000000"/>
                      <w:szCs w:val="21"/>
                    </w:rPr>
                    <w:t>厂区设</w:t>
                  </w:r>
                  <w:r>
                    <w:rPr>
                      <w:rFonts w:hAnsi="宋体"/>
                      <w:color w:val="000000"/>
                      <w:szCs w:val="21"/>
                    </w:rPr>
                    <w:t>400KVA</w:t>
                  </w:r>
                  <w:r>
                    <w:rPr>
                      <w:rFonts w:hint="eastAsia" w:hAnsi="宋体"/>
                      <w:color w:val="000000"/>
                      <w:szCs w:val="21"/>
                    </w:rPr>
                    <w:t>变压器2台</w:t>
                  </w:r>
                </w:p>
              </w:tc>
              <w:tc>
                <w:tcPr>
                  <w:tcW w:w="1832" w:type="dxa"/>
                  <w:gridSpan w:val="4"/>
                  <w:shd w:val="clear" w:color="auto" w:fill="auto"/>
                  <w:vAlign w:val="center"/>
                </w:tcPr>
                <w:p>
                  <w:pPr>
                    <w:widowControl/>
                    <w:jc w:val="center"/>
                    <w:rPr>
                      <w:rFonts w:hAnsi="宋体"/>
                      <w:color w:val="000000"/>
                      <w:szCs w:val="21"/>
                    </w:rPr>
                  </w:pPr>
                  <w:r>
                    <w:rPr>
                      <w:rFonts w:hint="eastAsia" w:hAnsi="宋体"/>
                      <w:color w:val="000000"/>
                      <w:szCs w:val="21"/>
                    </w:rPr>
                    <w:t>新增</w:t>
                  </w:r>
                  <w:r>
                    <w:rPr>
                      <w:rFonts w:hAnsi="宋体"/>
                      <w:color w:val="000000"/>
                      <w:szCs w:val="21"/>
                    </w:rPr>
                    <w:t>1</w:t>
                  </w:r>
                  <w:r>
                    <w:rPr>
                      <w:rFonts w:hint="eastAsia" w:hAnsi="宋体"/>
                      <w:color w:val="000000"/>
                      <w:szCs w:val="21"/>
                    </w:rPr>
                    <w:t>台</w:t>
                  </w:r>
                  <w:r>
                    <w:rPr>
                      <w:rFonts w:hAnsi="宋体"/>
                      <w:color w:val="000000"/>
                      <w:szCs w:val="21"/>
                    </w:rPr>
                    <w:t>250KVA</w:t>
                  </w:r>
                  <w:r>
                    <w:rPr>
                      <w:rFonts w:hint="eastAsia" w:hAnsi="宋体"/>
                      <w:color w:val="000000"/>
                      <w:szCs w:val="21"/>
                    </w:rPr>
                    <w:t>变压器</w:t>
                  </w:r>
                </w:p>
              </w:tc>
              <w:tc>
                <w:tcPr>
                  <w:tcW w:w="1784" w:type="dxa"/>
                  <w:gridSpan w:val="3"/>
                  <w:shd w:val="clear" w:color="auto" w:fill="auto"/>
                  <w:vAlign w:val="center"/>
                </w:tcPr>
                <w:p>
                  <w:pPr>
                    <w:widowControl/>
                    <w:jc w:val="center"/>
                    <w:rPr>
                      <w:rFonts w:hAnsi="宋体"/>
                      <w:color w:val="000000"/>
                      <w:szCs w:val="21"/>
                    </w:rPr>
                  </w:pPr>
                  <w:r>
                    <w:rPr>
                      <w:rFonts w:hint="eastAsia" w:hAnsi="宋体"/>
                      <w:color w:val="000000"/>
                      <w:szCs w:val="21"/>
                    </w:rPr>
                    <w:t>利旧新增</w:t>
                  </w:r>
                </w:p>
              </w:tc>
              <w:tc>
                <w:tcPr>
                  <w:tcW w:w="1344" w:type="dxa"/>
                  <w:shd w:val="clear" w:color="auto" w:fill="auto"/>
                  <w:vAlign w:val="center"/>
                </w:tcPr>
                <w:p>
                  <w:pPr>
                    <w:widowControl/>
                    <w:jc w:val="center"/>
                    <w:rPr>
                      <w:rFonts w:hAnsi="宋体"/>
                      <w:color w:val="000000"/>
                      <w:szCs w:val="21"/>
                    </w:rPr>
                  </w:pPr>
                  <w:r>
                    <w:rPr>
                      <w:rFonts w:hint="eastAsia" w:hAnsi="宋体"/>
                      <w:color w:val="000000"/>
                      <w:szCs w:val="21"/>
                    </w:rPr>
                    <w:t>厂区内设</w:t>
                  </w:r>
                  <w:r>
                    <w:rPr>
                      <w:rFonts w:hAnsi="宋体"/>
                      <w:color w:val="000000"/>
                      <w:szCs w:val="21"/>
                    </w:rPr>
                    <w:t>400KVA</w:t>
                  </w:r>
                  <w:r>
                    <w:rPr>
                      <w:rFonts w:hint="eastAsia" w:hAnsi="宋体"/>
                      <w:color w:val="000000"/>
                      <w:szCs w:val="21"/>
                    </w:rPr>
                    <w:t>变压器2台，</w:t>
                  </w:r>
                  <w:r>
                    <w:rPr>
                      <w:rFonts w:hAnsi="宋体"/>
                      <w:color w:val="000000"/>
                      <w:szCs w:val="21"/>
                    </w:rPr>
                    <w:t>250KVA</w:t>
                  </w:r>
                  <w:r>
                    <w:rPr>
                      <w:rFonts w:hint="eastAsia" w:hAnsi="宋体"/>
                      <w:color w:val="000000"/>
                      <w:szCs w:val="21"/>
                    </w:rPr>
                    <w:t>变压器</w:t>
                  </w:r>
                  <w:r>
                    <w:rPr>
                      <w:rFonts w:hAnsi="宋体"/>
                      <w:color w:val="000000"/>
                      <w:szCs w:val="21"/>
                    </w:rPr>
                    <w:t>1</w:t>
                  </w:r>
                  <w:r>
                    <w:rPr>
                      <w:rFonts w:hint="eastAsia" w:hAnsi="宋体"/>
                      <w:color w:val="000000"/>
                      <w:szCs w:val="21"/>
                    </w:rPr>
                    <w:t>台。</w:t>
                  </w:r>
                </w:p>
              </w:tc>
              <w:tc>
                <w:tcPr>
                  <w:tcW w:w="1314" w:type="dxa"/>
                </w:tcPr>
                <w:p>
                  <w:pPr>
                    <w:widowControl/>
                    <w:jc w:val="center"/>
                    <w:rPr>
                      <w:rFonts w:hAnsi="宋体"/>
                      <w:color w:val="000000"/>
                      <w:szCs w:val="21"/>
                    </w:rPr>
                  </w:pPr>
                  <w:r>
                    <w:rPr>
                      <w:rFonts w:hint="eastAsia" w:hAnsi="宋体"/>
                      <w:color w:val="00000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pPr>
                    <w:widowControl/>
                    <w:jc w:val="center"/>
                    <w:rPr>
                      <w:rFonts w:hAnsi="宋体"/>
                      <w:color w:val="000000"/>
                      <w:szCs w:val="21"/>
                    </w:rPr>
                  </w:pPr>
                </w:p>
              </w:tc>
              <w:tc>
                <w:tcPr>
                  <w:tcW w:w="1761" w:type="dxa"/>
                  <w:gridSpan w:val="2"/>
                  <w:shd w:val="clear" w:color="auto" w:fill="auto"/>
                  <w:vAlign w:val="center"/>
                </w:tcPr>
                <w:p>
                  <w:pPr>
                    <w:widowControl/>
                    <w:jc w:val="center"/>
                    <w:rPr>
                      <w:rFonts w:hAnsi="宋体"/>
                      <w:color w:val="000000"/>
                      <w:szCs w:val="21"/>
                    </w:rPr>
                  </w:pPr>
                  <w:r>
                    <w:rPr>
                      <w:rFonts w:hint="eastAsia" w:hAnsi="宋体"/>
                      <w:color w:val="000000"/>
                      <w:szCs w:val="21"/>
                    </w:rPr>
                    <w:t>供暖</w:t>
                  </w:r>
                </w:p>
              </w:tc>
              <w:tc>
                <w:tcPr>
                  <w:tcW w:w="1275" w:type="dxa"/>
                  <w:shd w:val="clear" w:color="auto" w:fill="auto"/>
                  <w:vAlign w:val="center"/>
                </w:tcPr>
                <w:p>
                  <w:pPr>
                    <w:widowControl/>
                    <w:jc w:val="center"/>
                    <w:rPr>
                      <w:rFonts w:hAnsi="宋体"/>
                      <w:color w:val="000000"/>
                      <w:szCs w:val="21"/>
                    </w:rPr>
                  </w:pPr>
                  <w:r>
                    <w:rPr>
                      <w:rFonts w:hint="eastAsia" w:hAnsi="宋体"/>
                      <w:color w:val="000000"/>
                      <w:szCs w:val="21"/>
                    </w:rPr>
                    <w:t>生产区不采暖，办公区采用电采暖</w:t>
                  </w:r>
                </w:p>
              </w:tc>
              <w:tc>
                <w:tcPr>
                  <w:tcW w:w="1832" w:type="dxa"/>
                  <w:gridSpan w:val="4"/>
                  <w:shd w:val="clear" w:color="auto" w:fill="auto"/>
                  <w:vAlign w:val="center"/>
                </w:tcPr>
                <w:p>
                  <w:pPr>
                    <w:widowControl/>
                    <w:jc w:val="center"/>
                    <w:rPr>
                      <w:rFonts w:hAnsi="宋体"/>
                      <w:color w:val="000000"/>
                      <w:szCs w:val="21"/>
                    </w:rPr>
                  </w:pPr>
                  <w:r>
                    <w:rPr>
                      <w:rFonts w:hint="eastAsia" w:hAnsi="宋体"/>
                      <w:color w:val="000000"/>
                      <w:szCs w:val="21"/>
                    </w:rPr>
                    <w:t>无</w:t>
                  </w:r>
                </w:p>
              </w:tc>
              <w:tc>
                <w:tcPr>
                  <w:tcW w:w="1784" w:type="dxa"/>
                  <w:gridSpan w:val="3"/>
                  <w:shd w:val="clear" w:color="auto" w:fill="auto"/>
                  <w:vAlign w:val="center"/>
                </w:tcPr>
                <w:p>
                  <w:pPr>
                    <w:widowControl/>
                    <w:jc w:val="center"/>
                    <w:rPr>
                      <w:rFonts w:hAnsi="宋体"/>
                      <w:color w:val="000000"/>
                      <w:szCs w:val="21"/>
                    </w:rPr>
                  </w:pPr>
                  <w:r>
                    <w:rPr>
                      <w:rFonts w:hint="eastAsia" w:hAnsi="宋体"/>
                      <w:color w:val="000000"/>
                      <w:szCs w:val="21"/>
                    </w:rPr>
                    <w:t>依托现有</w:t>
                  </w:r>
                </w:p>
              </w:tc>
              <w:tc>
                <w:tcPr>
                  <w:tcW w:w="1344" w:type="dxa"/>
                  <w:shd w:val="clear" w:color="auto" w:fill="auto"/>
                  <w:vAlign w:val="center"/>
                </w:tcPr>
                <w:p>
                  <w:pPr>
                    <w:widowControl/>
                    <w:jc w:val="center"/>
                    <w:rPr>
                      <w:rFonts w:hAnsi="宋体"/>
                      <w:color w:val="000000"/>
                      <w:szCs w:val="21"/>
                    </w:rPr>
                  </w:pPr>
                  <w:r>
                    <w:rPr>
                      <w:rFonts w:hint="eastAsia" w:hAnsi="宋体"/>
                      <w:color w:val="000000"/>
                      <w:szCs w:val="21"/>
                    </w:rPr>
                    <w:t>生产区不采暖，办公区采用电采暖</w:t>
                  </w:r>
                </w:p>
              </w:tc>
              <w:tc>
                <w:tcPr>
                  <w:tcW w:w="1314" w:type="dxa"/>
                </w:tcPr>
                <w:p>
                  <w:pPr>
                    <w:widowControl/>
                    <w:jc w:val="center"/>
                    <w:rPr>
                      <w:rFonts w:hAnsi="宋体"/>
                      <w:color w:val="000000"/>
                      <w:szCs w:val="21"/>
                    </w:rPr>
                  </w:pPr>
                  <w:r>
                    <w:rPr>
                      <w:rFonts w:hint="eastAsia" w:hAnsi="宋体"/>
                      <w:color w:val="000000"/>
                      <w:szCs w:val="21"/>
                    </w:rPr>
                    <w:t>一致</w:t>
                  </w:r>
                </w:p>
              </w:tc>
            </w:tr>
          </w:tbl>
          <w:p>
            <w:pPr>
              <w:pStyle w:val="3"/>
              <w:tabs>
                <w:tab w:val="left" w:pos="3465"/>
              </w:tabs>
              <w:snapToGrid w:val="0"/>
              <w:spacing w:line="480" w:lineRule="exact"/>
              <w:ind w:firstLine="480" w:firstLineChars="200"/>
              <w:jc w:val="both"/>
              <w:rPr>
                <w:rFonts w:asciiTheme="minorEastAsia" w:hAnsiTheme="minorEastAsia" w:eastAsiaTheme="minorEastAsia"/>
                <w:color w:val="000000"/>
                <w:szCs w:val="24"/>
              </w:rPr>
            </w:pPr>
          </w:p>
          <w:p>
            <w:pPr>
              <w:widowControl/>
              <w:spacing w:line="360" w:lineRule="auto"/>
              <w:ind w:firstLine="482" w:firstLineChars="200"/>
              <w:rPr>
                <w:rFonts w:hAnsi="宋体"/>
                <w:b/>
                <w:color w:val="000000"/>
                <w:sz w:val="24"/>
              </w:rPr>
            </w:pPr>
            <w:r>
              <w:rPr>
                <w:rFonts w:hint="eastAsia" w:hAnsi="宋体"/>
                <w:b/>
                <w:color w:val="000000"/>
                <w:sz w:val="24"/>
              </w:rPr>
              <w:t>4、产品方案</w:t>
            </w:r>
          </w:p>
          <w:p>
            <w:pPr>
              <w:widowControl/>
              <w:spacing w:line="360" w:lineRule="auto"/>
              <w:ind w:firstLine="480" w:firstLineChars="200"/>
              <w:jc w:val="left"/>
              <w:rPr>
                <w:rFonts w:hAnsi="宋体"/>
                <w:color w:val="000000"/>
                <w:sz w:val="24"/>
              </w:rPr>
            </w:pPr>
            <w:r>
              <w:rPr>
                <w:rFonts w:hint="eastAsia" w:hAnsi="宋体"/>
                <w:color w:val="000000"/>
                <w:sz w:val="24"/>
              </w:rPr>
              <w:t>本次技改不新增产能，年生产精密铸件5</w:t>
            </w:r>
            <w:r>
              <w:rPr>
                <w:rFonts w:hAnsi="宋体"/>
                <w:color w:val="000000"/>
                <w:sz w:val="24"/>
              </w:rPr>
              <w:t>400t</w:t>
            </w:r>
            <w:r>
              <w:rPr>
                <w:rFonts w:hint="eastAsia" w:hAnsi="宋体"/>
                <w:color w:val="000000"/>
                <w:sz w:val="24"/>
              </w:rPr>
              <w:t>，产品主要有建筑脚手架、铁路高铁配件、汽车配件、摩托车配件、农机配件、船舶配件、矿山机械配件、电机外壳等。</w:t>
            </w:r>
          </w:p>
          <w:p>
            <w:pPr>
              <w:widowControl/>
              <w:spacing w:line="480" w:lineRule="exact"/>
              <w:ind w:firstLine="482" w:firstLineChars="200"/>
              <w:jc w:val="center"/>
              <w:rPr>
                <w:rFonts w:hAnsi="宋体"/>
                <w:b/>
                <w:color w:val="000000"/>
                <w:sz w:val="24"/>
              </w:rPr>
            </w:pPr>
            <w:r>
              <w:rPr>
                <w:rFonts w:hint="eastAsia" w:hAnsi="宋体"/>
                <w:b/>
                <w:color w:val="000000"/>
                <w:sz w:val="24"/>
              </w:rPr>
              <w:t>表2产品方案一览表</w:t>
            </w:r>
          </w:p>
          <w:tbl>
            <w:tblPr>
              <w:tblStyle w:val="12"/>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742"/>
              <w:gridCol w:w="2742"/>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4" w:type="dxa"/>
                  <w:shd w:val="clear" w:color="auto" w:fill="auto"/>
                  <w:vAlign w:val="center"/>
                </w:tcPr>
                <w:p>
                  <w:pPr>
                    <w:widowControl/>
                    <w:jc w:val="center"/>
                    <w:rPr>
                      <w:rFonts w:hAnsi="宋体"/>
                      <w:b/>
                      <w:color w:val="000000"/>
                      <w:szCs w:val="21"/>
                    </w:rPr>
                  </w:pPr>
                  <w:r>
                    <w:rPr>
                      <w:rFonts w:hint="eastAsia" w:hAnsi="宋体"/>
                      <w:b/>
                      <w:color w:val="000000"/>
                      <w:szCs w:val="21"/>
                    </w:rPr>
                    <w:t>序号</w:t>
                  </w:r>
                </w:p>
              </w:tc>
              <w:tc>
                <w:tcPr>
                  <w:tcW w:w="2742" w:type="dxa"/>
                  <w:shd w:val="clear" w:color="auto" w:fill="auto"/>
                  <w:vAlign w:val="center"/>
                </w:tcPr>
                <w:p>
                  <w:pPr>
                    <w:widowControl/>
                    <w:jc w:val="center"/>
                    <w:rPr>
                      <w:rFonts w:hAnsi="宋体"/>
                      <w:b/>
                      <w:color w:val="000000"/>
                      <w:szCs w:val="21"/>
                    </w:rPr>
                  </w:pPr>
                  <w:r>
                    <w:rPr>
                      <w:rFonts w:hint="eastAsia" w:hAnsi="宋体"/>
                      <w:b/>
                      <w:color w:val="000000"/>
                      <w:szCs w:val="21"/>
                    </w:rPr>
                    <w:t>产品名称</w:t>
                  </w:r>
                </w:p>
              </w:tc>
              <w:tc>
                <w:tcPr>
                  <w:tcW w:w="2742" w:type="dxa"/>
                  <w:shd w:val="clear" w:color="auto" w:fill="auto"/>
                  <w:vAlign w:val="center"/>
                </w:tcPr>
                <w:p>
                  <w:pPr>
                    <w:widowControl/>
                    <w:jc w:val="center"/>
                    <w:rPr>
                      <w:rFonts w:hAnsi="宋体"/>
                      <w:b/>
                      <w:color w:val="000000"/>
                      <w:szCs w:val="21"/>
                    </w:rPr>
                  </w:pPr>
                  <w:r>
                    <w:rPr>
                      <w:rFonts w:hint="eastAsia" w:hAnsi="宋体"/>
                      <w:b/>
                      <w:color w:val="000000"/>
                      <w:szCs w:val="21"/>
                    </w:rPr>
                    <w:t>规格（kg）</w:t>
                  </w:r>
                </w:p>
              </w:tc>
              <w:tc>
                <w:tcPr>
                  <w:tcW w:w="2742" w:type="dxa"/>
                  <w:shd w:val="clear" w:color="auto" w:fill="auto"/>
                  <w:vAlign w:val="center"/>
                </w:tcPr>
                <w:p>
                  <w:pPr>
                    <w:widowControl/>
                    <w:jc w:val="center"/>
                    <w:rPr>
                      <w:rFonts w:hAnsi="宋体"/>
                      <w:b/>
                      <w:color w:val="000000"/>
                      <w:szCs w:val="21"/>
                    </w:rPr>
                  </w:pPr>
                  <w:r>
                    <w:rPr>
                      <w:rFonts w:hint="eastAsia" w:hAnsi="宋体"/>
                      <w:b/>
                      <w:color w:val="000000"/>
                      <w:szCs w:val="21"/>
                    </w:rPr>
                    <w:t>产量（t</w:t>
                  </w:r>
                  <w:r>
                    <w:rPr>
                      <w:rFonts w:hAnsi="宋体"/>
                      <w:b/>
                      <w:color w:val="000000"/>
                      <w:szCs w:val="21"/>
                    </w:rPr>
                    <w:t>/a</w:t>
                  </w:r>
                  <w:r>
                    <w:rPr>
                      <w:rFonts w:hint="eastAsia"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1</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建筑脚手架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0</w:t>
                  </w:r>
                  <w:r>
                    <w:rPr>
                      <w:rFonts w:hAnsi="宋体"/>
                      <w:color w:val="000000"/>
                      <w:szCs w:val="21"/>
                    </w:rPr>
                    <w:t>.33</w:t>
                  </w:r>
                  <w:r>
                    <w:rPr>
                      <w:rFonts w:hint="eastAsia" w:hAnsi="宋体"/>
                      <w:color w:val="000000"/>
                      <w:szCs w:val="21"/>
                    </w:rPr>
                    <w:t>~</w:t>
                  </w:r>
                  <w:r>
                    <w:rPr>
                      <w:rFonts w:hAnsi="宋体"/>
                      <w:color w:val="000000"/>
                      <w:szCs w:val="21"/>
                    </w:rPr>
                    <w:t>0.7</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2</w:t>
                  </w:r>
                  <w:r>
                    <w:rPr>
                      <w:rFonts w:hAnsi="宋体"/>
                      <w:color w:val="00000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2</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铁路高铁配件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.1</w:t>
                  </w:r>
                  <w:r>
                    <w:rPr>
                      <w:rFonts w:hint="eastAsia" w:hAnsi="宋体"/>
                      <w:color w:val="000000"/>
                      <w:szCs w:val="21"/>
                    </w:rPr>
                    <w:t>~</w:t>
                  </w:r>
                  <w:r>
                    <w:rPr>
                      <w:rFonts w:hAnsi="宋体"/>
                      <w:color w:val="000000"/>
                      <w:szCs w:val="21"/>
                    </w:rPr>
                    <w:t>1.5</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8</w:t>
                  </w:r>
                  <w:r>
                    <w:rPr>
                      <w:rFonts w:hAnsi="宋体"/>
                      <w:color w:val="00000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3</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汽车配件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.5</w:t>
                  </w:r>
                  <w:r>
                    <w:rPr>
                      <w:rFonts w:hint="eastAsia" w:hAnsi="宋体"/>
                      <w:color w:val="000000"/>
                      <w:szCs w:val="21"/>
                    </w:rPr>
                    <w:t>~</w:t>
                  </w:r>
                  <w:r>
                    <w:rPr>
                      <w:rFonts w:hAnsi="宋体"/>
                      <w:color w:val="000000"/>
                      <w:szCs w:val="21"/>
                    </w:rPr>
                    <w:t>3.5</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2</w:t>
                  </w:r>
                  <w:r>
                    <w:rPr>
                      <w:rFonts w:hAnsi="宋体"/>
                      <w:color w:val="00000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4</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摩托车配件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.5</w:t>
                  </w:r>
                  <w:r>
                    <w:rPr>
                      <w:rFonts w:hint="eastAsia" w:hAnsi="宋体"/>
                      <w:color w:val="000000"/>
                      <w:szCs w:val="21"/>
                    </w:rPr>
                    <w:t>~</w:t>
                  </w:r>
                  <w:r>
                    <w:rPr>
                      <w:rFonts w:hAnsi="宋体"/>
                      <w:color w:val="000000"/>
                      <w:szCs w:val="21"/>
                    </w:rPr>
                    <w:t>3.5</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5</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农机配件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2</w:t>
                  </w:r>
                  <w:r>
                    <w:rPr>
                      <w:rFonts w:hAnsi="宋体"/>
                      <w:color w:val="000000"/>
                      <w:szCs w:val="21"/>
                    </w:rPr>
                    <w:t>.5</w:t>
                  </w:r>
                  <w:r>
                    <w:rPr>
                      <w:rFonts w:hint="eastAsia" w:hAnsi="宋体"/>
                      <w:color w:val="000000"/>
                      <w:szCs w:val="21"/>
                    </w:rPr>
                    <w:t>~</w:t>
                  </w:r>
                  <w:r>
                    <w:rPr>
                      <w:rFonts w:hAnsi="宋体"/>
                      <w:color w:val="000000"/>
                      <w:szCs w:val="21"/>
                    </w:rPr>
                    <w:t>7.5</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2</w:t>
                  </w:r>
                  <w:r>
                    <w:rPr>
                      <w:rFonts w:hAnsi="宋体"/>
                      <w:color w:val="00000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6</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船舶配件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5~</w:t>
                  </w:r>
                  <w:r>
                    <w:rPr>
                      <w:rFonts w:hAnsi="宋体"/>
                      <w:color w:val="000000"/>
                      <w:szCs w:val="21"/>
                    </w:rPr>
                    <w:t>30</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3</w:t>
                  </w:r>
                  <w:r>
                    <w:rPr>
                      <w:rFonts w:hAnsi="宋体"/>
                      <w:color w:val="000000"/>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7</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矿山机械配件</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0</w:t>
                  </w:r>
                  <w:r>
                    <w:rPr>
                      <w:rFonts w:hAnsi="宋体"/>
                      <w:color w:val="000000"/>
                      <w:szCs w:val="21"/>
                    </w:rPr>
                    <w:t>.5</w:t>
                  </w:r>
                  <w:r>
                    <w:rPr>
                      <w:rFonts w:hint="eastAsia" w:hAnsi="宋体"/>
                      <w:color w:val="000000"/>
                      <w:szCs w:val="21"/>
                    </w:rPr>
                    <w:t>~</w:t>
                  </w:r>
                  <w:r>
                    <w:rPr>
                      <w:rFonts w:hAnsi="宋体"/>
                      <w:color w:val="000000"/>
                      <w:szCs w:val="21"/>
                    </w:rPr>
                    <w:t>18</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8</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电机外壳</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.8</w:t>
                  </w:r>
                  <w:r>
                    <w:rPr>
                      <w:rFonts w:hint="eastAsia" w:hAnsi="宋体"/>
                      <w:color w:val="000000"/>
                      <w:szCs w:val="21"/>
                    </w:rPr>
                    <w:t>~</w:t>
                  </w:r>
                  <w:r>
                    <w:rPr>
                      <w:rFonts w:hAnsi="宋体"/>
                      <w:color w:val="000000"/>
                      <w:szCs w:val="21"/>
                    </w:rPr>
                    <w:t>7.5</w:t>
                  </w: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1</w:t>
                  </w:r>
                  <w:r>
                    <w:rPr>
                      <w:rFonts w:hAnsi="宋体"/>
                      <w:color w:val="00000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24" w:type="dxa"/>
                  <w:shd w:val="clear" w:color="auto" w:fill="auto"/>
                  <w:vAlign w:val="center"/>
                </w:tcPr>
                <w:p>
                  <w:pPr>
                    <w:widowControl/>
                    <w:jc w:val="center"/>
                    <w:rPr>
                      <w:rFonts w:hAnsi="宋体"/>
                      <w:color w:val="000000"/>
                      <w:szCs w:val="21"/>
                    </w:rPr>
                  </w:pPr>
                  <w:r>
                    <w:rPr>
                      <w:rFonts w:hint="eastAsia" w:hAnsi="宋体"/>
                      <w:color w:val="000000"/>
                      <w:szCs w:val="21"/>
                    </w:rPr>
                    <w:t>合计</w:t>
                  </w:r>
                </w:p>
              </w:tc>
              <w:tc>
                <w:tcPr>
                  <w:tcW w:w="2742" w:type="dxa"/>
                  <w:shd w:val="clear" w:color="auto" w:fill="auto"/>
                  <w:vAlign w:val="center"/>
                </w:tcPr>
                <w:p>
                  <w:pPr>
                    <w:widowControl/>
                    <w:jc w:val="center"/>
                    <w:rPr>
                      <w:rFonts w:hAnsi="宋体"/>
                      <w:color w:val="000000"/>
                      <w:szCs w:val="21"/>
                    </w:rPr>
                  </w:pPr>
                </w:p>
              </w:tc>
              <w:tc>
                <w:tcPr>
                  <w:tcW w:w="2742" w:type="dxa"/>
                  <w:shd w:val="clear" w:color="auto" w:fill="auto"/>
                  <w:vAlign w:val="center"/>
                </w:tcPr>
                <w:p>
                  <w:pPr>
                    <w:widowControl/>
                    <w:jc w:val="center"/>
                    <w:rPr>
                      <w:rFonts w:hAnsi="宋体"/>
                      <w:color w:val="000000"/>
                      <w:szCs w:val="21"/>
                    </w:rPr>
                  </w:pPr>
                </w:p>
              </w:tc>
              <w:tc>
                <w:tcPr>
                  <w:tcW w:w="2742" w:type="dxa"/>
                  <w:shd w:val="clear" w:color="auto" w:fill="auto"/>
                  <w:vAlign w:val="center"/>
                </w:tcPr>
                <w:p>
                  <w:pPr>
                    <w:widowControl/>
                    <w:jc w:val="center"/>
                    <w:rPr>
                      <w:rFonts w:hAnsi="宋体"/>
                      <w:color w:val="000000"/>
                      <w:szCs w:val="21"/>
                    </w:rPr>
                  </w:pPr>
                  <w:r>
                    <w:rPr>
                      <w:rFonts w:hint="eastAsia" w:hAnsi="宋体"/>
                      <w:color w:val="000000"/>
                      <w:szCs w:val="21"/>
                    </w:rPr>
                    <w:t>5400</w:t>
                  </w:r>
                </w:p>
              </w:tc>
            </w:tr>
          </w:tbl>
          <w:p>
            <w:pPr>
              <w:pStyle w:val="3"/>
              <w:tabs>
                <w:tab w:val="left" w:pos="3465"/>
              </w:tabs>
              <w:snapToGrid w:val="0"/>
              <w:spacing w:line="480" w:lineRule="exact"/>
              <w:ind w:firstLine="480" w:firstLineChars="200"/>
              <w:jc w:val="both"/>
              <w:rPr>
                <w:rFonts w:asciiTheme="minorEastAsia" w:hAnsiTheme="minorEastAsia" w:eastAsiaTheme="minorEastAsia"/>
                <w:color w:val="000000"/>
                <w:szCs w:val="24"/>
              </w:rPr>
            </w:pPr>
            <w:r>
              <w:rPr>
                <w:rFonts w:hint="eastAsia" w:asciiTheme="minorEastAsia" w:hAnsiTheme="minorEastAsia" w:eastAsiaTheme="minorEastAsia"/>
                <w:color w:val="000000"/>
                <w:szCs w:val="24"/>
              </w:rPr>
              <w:t>5、主要生产设备</w:t>
            </w:r>
          </w:p>
          <w:p>
            <w:pPr>
              <w:widowControl/>
              <w:spacing w:line="480" w:lineRule="exact"/>
              <w:ind w:firstLine="482" w:firstLineChars="200"/>
              <w:jc w:val="center"/>
              <w:rPr>
                <w:rFonts w:hAnsi="宋体"/>
                <w:b/>
                <w:color w:val="000000"/>
                <w:sz w:val="24"/>
              </w:rPr>
            </w:pPr>
            <w:r>
              <w:rPr>
                <w:rFonts w:hint="eastAsia" w:hAnsi="宋体"/>
                <w:b/>
                <w:color w:val="000000"/>
                <w:sz w:val="24"/>
              </w:rPr>
              <w:t>表3技改工程主要生产设备一览表</w:t>
            </w:r>
          </w:p>
          <w:tbl>
            <w:tblPr>
              <w:tblStyle w:val="12"/>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572"/>
              <w:gridCol w:w="1521"/>
              <w:gridCol w:w="1772"/>
              <w:gridCol w:w="1014"/>
              <w:gridCol w:w="2146"/>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b/>
                      <w:color w:val="000000"/>
                      <w:szCs w:val="21"/>
                    </w:rPr>
                  </w:pPr>
                  <w:r>
                    <w:rPr>
                      <w:rFonts w:hint="eastAsia" w:hAnsi="宋体"/>
                      <w:b/>
                      <w:color w:val="000000"/>
                      <w:szCs w:val="21"/>
                    </w:rPr>
                    <w:t>序号</w:t>
                  </w:r>
                </w:p>
              </w:tc>
              <w:tc>
                <w:tcPr>
                  <w:tcW w:w="2093" w:type="dxa"/>
                  <w:gridSpan w:val="2"/>
                  <w:vAlign w:val="center"/>
                </w:tcPr>
                <w:p>
                  <w:pPr>
                    <w:widowControl/>
                    <w:jc w:val="center"/>
                    <w:rPr>
                      <w:rFonts w:hAnsi="宋体"/>
                      <w:b/>
                      <w:color w:val="000000"/>
                      <w:szCs w:val="21"/>
                    </w:rPr>
                  </w:pPr>
                  <w:r>
                    <w:rPr>
                      <w:rFonts w:hint="eastAsia" w:hAnsi="宋体"/>
                      <w:b/>
                      <w:color w:val="000000"/>
                      <w:szCs w:val="21"/>
                    </w:rPr>
                    <w:t>设备名称</w:t>
                  </w:r>
                </w:p>
              </w:tc>
              <w:tc>
                <w:tcPr>
                  <w:tcW w:w="1772" w:type="dxa"/>
                  <w:vAlign w:val="center"/>
                </w:tcPr>
                <w:p>
                  <w:pPr>
                    <w:widowControl/>
                    <w:jc w:val="center"/>
                    <w:rPr>
                      <w:rFonts w:hAnsi="宋体"/>
                      <w:b/>
                      <w:color w:val="000000"/>
                      <w:szCs w:val="21"/>
                    </w:rPr>
                  </w:pPr>
                  <w:r>
                    <w:rPr>
                      <w:rFonts w:hint="eastAsia" w:hAnsi="宋体"/>
                      <w:b/>
                      <w:color w:val="000000"/>
                      <w:szCs w:val="21"/>
                    </w:rPr>
                    <w:t>型号</w:t>
                  </w:r>
                </w:p>
              </w:tc>
              <w:tc>
                <w:tcPr>
                  <w:tcW w:w="1014" w:type="dxa"/>
                  <w:vAlign w:val="center"/>
                </w:tcPr>
                <w:p>
                  <w:pPr>
                    <w:widowControl/>
                    <w:jc w:val="center"/>
                    <w:rPr>
                      <w:rFonts w:hAnsi="宋体"/>
                      <w:b/>
                      <w:color w:val="000000"/>
                      <w:szCs w:val="21"/>
                    </w:rPr>
                  </w:pPr>
                  <w:r>
                    <w:rPr>
                      <w:rFonts w:hint="eastAsia" w:hAnsi="宋体"/>
                      <w:b/>
                      <w:color w:val="000000"/>
                      <w:szCs w:val="21"/>
                    </w:rPr>
                    <w:t>数量</w:t>
                  </w:r>
                </w:p>
              </w:tc>
              <w:tc>
                <w:tcPr>
                  <w:tcW w:w="2146" w:type="dxa"/>
                  <w:vAlign w:val="center"/>
                </w:tcPr>
                <w:p>
                  <w:pPr>
                    <w:widowControl/>
                    <w:jc w:val="center"/>
                    <w:rPr>
                      <w:rFonts w:hAnsi="宋体"/>
                      <w:b/>
                      <w:color w:val="000000"/>
                      <w:szCs w:val="21"/>
                    </w:rPr>
                  </w:pPr>
                  <w:r>
                    <w:rPr>
                      <w:rFonts w:hint="eastAsia" w:hAnsi="宋体"/>
                      <w:b/>
                      <w:color w:val="000000"/>
                      <w:szCs w:val="21"/>
                    </w:rPr>
                    <w:t>备注</w:t>
                  </w:r>
                </w:p>
              </w:tc>
              <w:tc>
                <w:tcPr>
                  <w:tcW w:w="2146" w:type="dxa"/>
                </w:tcPr>
                <w:p>
                  <w:pPr>
                    <w:widowControl/>
                    <w:jc w:val="center"/>
                    <w:rPr>
                      <w:rFonts w:hAnsi="宋体"/>
                      <w:b/>
                      <w:color w:val="000000"/>
                      <w:szCs w:val="21"/>
                    </w:rPr>
                  </w:pPr>
                  <w:r>
                    <w:rPr>
                      <w:rFonts w:hint="eastAsia" w:hAnsi="宋体"/>
                      <w:b/>
                      <w:color w:val="000000"/>
                      <w:szCs w:val="21"/>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int="eastAsia" w:hAnsi="宋体"/>
                      <w:color w:val="000000"/>
                      <w:szCs w:val="21"/>
                    </w:rPr>
                    <w:t>1</w:t>
                  </w:r>
                </w:p>
              </w:tc>
              <w:tc>
                <w:tcPr>
                  <w:tcW w:w="572" w:type="dxa"/>
                  <w:vMerge w:val="restart"/>
                  <w:vAlign w:val="center"/>
                </w:tcPr>
                <w:p>
                  <w:pPr>
                    <w:jc w:val="center"/>
                  </w:pPr>
                  <w:r>
                    <w:rPr>
                      <w:rFonts w:hint="eastAsia"/>
                    </w:rPr>
                    <w:t>生产设备</w:t>
                  </w:r>
                </w:p>
              </w:tc>
              <w:tc>
                <w:tcPr>
                  <w:tcW w:w="1521" w:type="dxa"/>
                  <w:vAlign w:val="center"/>
                </w:tcPr>
                <w:p>
                  <w:pPr>
                    <w:jc w:val="center"/>
                  </w:pPr>
                  <w:r>
                    <w:rPr>
                      <w:rFonts w:hint="eastAsia"/>
                    </w:rPr>
                    <w:t>中频电炉</w:t>
                  </w:r>
                </w:p>
              </w:tc>
              <w:tc>
                <w:tcPr>
                  <w:tcW w:w="1772" w:type="dxa"/>
                  <w:vAlign w:val="center"/>
                </w:tcPr>
                <w:p>
                  <w:pPr>
                    <w:jc w:val="center"/>
                  </w:pPr>
                  <w:r>
                    <w:rPr>
                      <w:rFonts w:hint="eastAsia"/>
                    </w:rPr>
                    <w:t>KGPS0.5t</w:t>
                  </w:r>
                </w:p>
              </w:tc>
              <w:tc>
                <w:tcPr>
                  <w:tcW w:w="1014" w:type="dxa"/>
                  <w:vAlign w:val="center"/>
                </w:tcPr>
                <w:p>
                  <w:pPr>
                    <w:jc w:val="center"/>
                  </w:pPr>
                  <w:r>
                    <w:rPr>
                      <w:rFonts w:hint="eastAsia"/>
                    </w:rPr>
                    <w:t>2</w:t>
                  </w:r>
                  <w:r>
                    <w:rPr>
                      <w:rFonts w:hint="eastAsia" w:hAnsi="宋体"/>
                      <w:color w:val="000000"/>
                      <w:szCs w:val="21"/>
                    </w:rPr>
                    <w:t>台</w:t>
                  </w:r>
                </w:p>
              </w:tc>
              <w:tc>
                <w:tcPr>
                  <w:tcW w:w="2146" w:type="dxa"/>
                  <w:vAlign w:val="center"/>
                </w:tcPr>
                <w:p>
                  <w:pPr>
                    <w:widowControl/>
                    <w:jc w:val="center"/>
                    <w:rPr>
                      <w:rFonts w:hAnsi="宋体"/>
                      <w:color w:val="000000"/>
                      <w:szCs w:val="21"/>
                    </w:rPr>
                  </w:pPr>
                  <w:r>
                    <w:rPr>
                      <w:rFonts w:hint="eastAsia" w:hAnsi="宋体"/>
                      <w:color w:val="000000"/>
                      <w:szCs w:val="21"/>
                    </w:rPr>
                    <w:t>利旧，1备1用</w:t>
                  </w:r>
                </w:p>
              </w:tc>
              <w:tc>
                <w:tcPr>
                  <w:tcW w:w="2146" w:type="dxa"/>
                </w:tcPr>
                <w:p>
                  <w:pPr>
                    <w:widowControl/>
                    <w:jc w:val="center"/>
                    <w:rPr>
                      <w:rFonts w:hAnsi="宋体"/>
                      <w:color w:val="000000"/>
                      <w:szCs w:val="21"/>
                    </w:rPr>
                  </w:pPr>
                  <w:r>
                    <w:rPr>
                      <w:rFonts w:hint="eastAsia" w:hAnsi="宋体"/>
                      <w:color w:val="000000"/>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int="eastAsia" w:hAnsi="宋体"/>
                      <w:color w:val="000000"/>
                      <w:szCs w:val="21"/>
                    </w:rPr>
                    <w:t>2</w:t>
                  </w:r>
                </w:p>
              </w:tc>
              <w:tc>
                <w:tcPr>
                  <w:tcW w:w="572" w:type="dxa"/>
                  <w:vMerge w:val="continue"/>
                  <w:vAlign w:val="center"/>
                </w:tcPr>
                <w:p>
                  <w:pPr>
                    <w:jc w:val="center"/>
                  </w:pPr>
                </w:p>
              </w:tc>
              <w:tc>
                <w:tcPr>
                  <w:tcW w:w="1521" w:type="dxa"/>
                  <w:vAlign w:val="center"/>
                </w:tcPr>
                <w:p>
                  <w:pPr>
                    <w:jc w:val="center"/>
                  </w:pPr>
                  <w:r>
                    <w:rPr>
                      <w:rFonts w:hint="eastAsia"/>
                    </w:rPr>
                    <w:t>装载机</w:t>
                  </w:r>
                </w:p>
              </w:tc>
              <w:tc>
                <w:tcPr>
                  <w:tcW w:w="1772" w:type="dxa"/>
                  <w:vAlign w:val="center"/>
                </w:tcPr>
                <w:p>
                  <w:pPr>
                    <w:jc w:val="center"/>
                  </w:pPr>
                  <w:r>
                    <w:rPr>
                      <w:rFonts w:hint="eastAsia"/>
                    </w:rPr>
                    <w:t>/</w:t>
                  </w:r>
                </w:p>
              </w:tc>
              <w:tc>
                <w:tcPr>
                  <w:tcW w:w="1014" w:type="dxa"/>
                  <w:vAlign w:val="center"/>
                </w:tcPr>
                <w:p>
                  <w:pPr>
                    <w:jc w:val="center"/>
                  </w:pPr>
                  <w:r>
                    <w:rPr>
                      <w:rFonts w:hint="eastAsia"/>
                    </w:rPr>
                    <w:t>1</w:t>
                  </w:r>
                  <w:r>
                    <w:rPr>
                      <w:rFonts w:hint="eastAsia" w:hAnsi="宋体"/>
                      <w:color w:val="000000"/>
                      <w:szCs w:val="21"/>
                    </w:rPr>
                    <w:t>台</w:t>
                  </w:r>
                </w:p>
              </w:tc>
              <w:tc>
                <w:tcPr>
                  <w:tcW w:w="2146" w:type="dxa"/>
                  <w:vAlign w:val="center"/>
                </w:tcPr>
                <w:p>
                  <w:pPr>
                    <w:widowControl/>
                    <w:jc w:val="center"/>
                    <w:rPr>
                      <w:rFonts w:hAnsi="宋体"/>
                      <w:color w:val="000000"/>
                      <w:szCs w:val="21"/>
                    </w:rPr>
                  </w:pPr>
                  <w:r>
                    <w:rPr>
                      <w:rFonts w:hint="eastAsia" w:hAnsi="宋体"/>
                      <w:color w:val="000000"/>
                      <w:szCs w:val="21"/>
                    </w:rPr>
                    <w:t>利旧</w:t>
                  </w:r>
                </w:p>
              </w:tc>
              <w:tc>
                <w:tcPr>
                  <w:tcW w:w="2146" w:type="dxa"/>
                </w:tcPr>
                <w:p>
                  <w:pPr>
                    <w:widowControl/>
                    <w:jc w:val="center"/>
                    <w:rPr>
                      <w:rFonts w:hAnsi="宋体"/>
                      <w:color w:val="000000"/>
                      <w:szCs w:val="21"/>
                    </w:rPr>
                  </w:pPr>
                  <w:r>
                    <w:rPr>
                      <w:rFonts w:hint="eastAsia" w:hAnsi="宋体"/>
                      <w:color w:val="000000"/>
                      <w:szCs w:val="21"/>
                    </w:rPr>
                    <w:t>3台（变化内容）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3</w:t>
                  </w:r>
                </w:p>
              </w:tc>
              <w:tc>
                <w:tcPr>
                  <w:tcW w:w="572" w:type="dxa"/>
                  <w:vMerge w:val="continue"/>
                  <w:vAlign w:val="center"/>
                </w:tcPr>
                <w:p>
                  <w:pPr>
                    <w:jc w:val="center"/>
                  </w:pPr>
                </w:p>
              </w:tc>
              <w:tc>
                <w:tcPr>
                  <w:tcW w:w="1521" w:type="dxa"/>
                  <w:vAlign w:val="center"/>
                </w:tcPr>
                <w:p>
                  <w:pPr>
                    <w:jc w:val="center"/>
                  </w:pPr>
                  <w:r>
                    <w:rPr>
                      <w:rFonts w:hint="eastAsia"/>
                    </w:rPr>
                    <w:t>抛丸机</w:t>
                  </w:r>
                </w:p>
              </w:tc>
              <w:tc>
                <w:tcPr>
                  <w:tcW w:w="1772" w:type="dxa"/>
                  <w:vAlign w:val="center"/>
                </w:tcPr>
                <w:p>
                  <w:pPr>
                    <w:jc w:val="center"/>
                  </w:pPr>
                  <w:r>
                    <w:rPr>
                      <w:rFonts w:hint="eastAsia"/>
                    </w:rPr>
                    <w:t>QR3210</w:t>
                  </w:r>
                </w:p>
              </w:tc>
              <w:tc>
                <w:tcPr>
                  <w:tcW w:w="1014" w:type="dxa"/>
                  <w:vAlign w:val="center"/>
                </w:tcPr>
                <w:p>
                  <w:pPr>
                    <w:jc w:val="center"/>
                  </w:pPr>
                  <w:r>
                    <w:rPr>
                      <w:rFonts w:hint="eastAsia"/>
                    </w:rPr>
                    <w:t>3</w:t>
                  </w:r>
                  <w:r>
                    <w:rPr>
                      <w:rFonts w:hint="eastAsia" w:hAnsi="宋体"/>
                      <w:color w:val="000000"/>
                      <w:szCs w:val="21"/>
                    </w:rPr>
                    <w:t>台</w:t>
                  </w:r>
                </w:p>
              </w:tc>
              <w:tc>
                <w:tcPr>
                  <w:tcW w:w="2146" w:type="dxa"/>
                  <w:vAlign w:val="center"/>
                </w:tcPr>
                <w:p>
                  <w:pPr>
                    <w:widowControl/>
                    <w:jc w:val="center"/>
                    <w:rPr>
                      <w:rFonts w:hAnsi="宋体"/>
                      <w:color w:val="000000"/>
                      <w:szCs w:val="21"/>
                    </w:rPr>
                  </w:pPr>
                  <w:r>
                    <w:rPr>
                      <w:rFonts w:hint="eastAsia" w:hAnsi="宋体"/>
                      <w:color w:val="000000"/>
                      <w:szCs w:val="21"/>
                    </w:rPr>
                    <w:t>2台为利旧，新增</w:t>
                  </w:r>
                  <w:r>
                    <w:rPr>
                      <w:rFonts w:hAnsi="宋体"/>
                      <w:color w:val="000000"/>
                      <w:szCs w:val="21"/>
                    </w:rPr>
                    <w:t>1</w:t>
                  </w:r>
                  <w:r>
                    <w:rPr>
                      <w:rFonts w:hint="eastAsia" w:hAnsi="宋体"/>
                      <w:color w:val="000000"/>
                      <w:szCs w:val="21"/>
                    </w:rPr>
                    <w:t>台，2备1用</w:t>
                  </w:r>
                </w:p>
              </w:tc>
              <w:tc>
                <w:tcPr>
                  <w:tcW w:w="2146" w:type="dxa"/>
                </w:tcPr>
                <w:p>
                  <w:pPr>
                    <w:widowControl/>
                    <w:jc w:val="center"/>
                    <w:rPr>
                      <w:rFonts w:hAnsi="宋体"/>
                      <w:color w:val="000000"/>
                      <w:szCs w:val="21"/>
                    </w:rPr>
                  </w:pPr>
                  <w:r>
                    <w:rPr>
                      <w:rFonts w:hint="eastAsia" w:hAnsi="宋体"/>
                      <w:color w:val="000000"/>
                      <w:szCs w:val="21"/>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int="eastAsia" w:hAnsi="宋体"/>
                      <w:color w:val="000000"/>
                      <w:szCs w:val="21"/>
                    </w:rPr>
                    <w:t>4</w:t>
                  </w:r>
                </w:p>
              </w:tc>
              <w:tc>
                <w:tcPr>
                  <w:tcW w:w="572" w:type="dxa"/>
                  <w:vMerge w:val="continue"/>
                  <w:vAlign w:val="center"/>
                </w:tcPr>
                <w:p>
                  <w:pPr>
                    <w:jc w:val="center"/>
                  </w:pPr>
                </w:p>
              </w:tc>
              <w:tc>
                <w:tcPr>
                  <w:tcW w:w="1521" w:type="dxa"/>
                  <w:vAlign w:val="center"/>
                </w:tcPr>
                <w:p>
                  <w:pPr>
                    <w:jc w:val="center"/>
                  </w:pPr>
                  <w:r>
                    <w:rPr>
                      <w:rFonts w:hint="eastAsia"/>
                    </w:rPr>
                    <w:t>造型机</w:t>
                  </w:r>
                </w:p>
              </w:tc>
              <w:tc>
                <w:tcPr>
                  <w:tcW w:w="1772" w:type="dxa"/>
                  <w:vAlign w:val="center"/>
                </w:tcPr>
                <w:p>
                  <w:pPr>
                    <w:jc w:val="center"/>
                  </w:pPr>
                  <w:r>
                    <w:rPr>
                      <w:rFonts w:hint="eastAsia"/>
                    </w:rPr>
                    <w:t>/</w:t>
                  </w:r>
                </w:p>
              </w:tc>
              <w:tc>
                <w:tcPr>
                  <w:tcW w:w="1014" w:type="dxa"/>
                  <w:vAlign w:val="center"/>
                </w:tcPr>
                <w:p>
                  <w:pPr>
                    <w:jc w:val="center"/>
                  </w:pPr>
                  <w:r>
                    <w:rPr>
                      <w:rFonts w:hint="eastAsia"/>
                    </w:rPr>
                    <w:t>6</w:t>
                  </w:r>
                  <w:r>
                    <w:rPr>
                      <w:rFonts w:hint="eastAsia" w:hAnsi="宋体"/>
                      <w:color w:val="000000"/>
                      <w:szCs w:val="21"/>
                    </w:rPr>
                    <w:t>台</w:t>
                  </w:r>
                </w:p>
              </w:tc>
              <w:tc>
                <w:tcPr>
                  <w:tcW w:w="2146" w:type="dxa"/>
                  <w:vAlign w:val="center"/>
                </w:tcPr>
                <w:p>
                  <w:pPr>
                    <w:widowControl/>
                    <w:jc w:val="center"/>
                    <w:rPr>
                      <w:rFonts w:hAnsi="宋体"/>
                      <w:color w:val="000000"/>
                      <w:szCs w:val="21"/>
                    </w:rPr>
                  </w:pPr>
                  <w:r>
                    <w:rPr>
                      <w:rFonts w:hint="eastAsia" w:hAnsi="宋体"/>
                      <w:color w:val="000000"/>
                      <w:szCs w:val="21"/>
                    </w:rPr>
                    <w:t>利旧</w:t>
                  </w:r>
                </w:p>
              </w:tc>
              <w:tc>
                <w:tcPr>
                  <w:tcW w:w="2146" w:type="dxa"/>
                </w:tcPr>
                <w:p>
                  <w:pPr>
                    <w:widowControl/>
                    <w:jc w:val="center"/>
                    <w:rPr>
                      <w:rFonts w:hAnsi="宋体"/>
                      <w:color w:val="000000"/>
                      <w:szCs w:val="21"/>
                    </w:rPr>
                  </w:pPr>
                  <w:r>
                    <w:rPr>
                      <w:rFonts w:hint="eastAsia" w:hAnsi="宋体"/>
                      <w:color w:val="000000"/>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5</w:t>
                  </w:r>
                </w:p>
              </w:tc>
              <w:tc>
                <w:tcPr>
                  <w:tcW w:w="572" w:type="dxa"/>
                  <w:vMerge w:val="continue"/>
                  <w:vAlign w:val="center"/>
                </w:tcPr>
                <w:p>
                  <w:pPr>
                    <w:widowControl/>
                    <w:jc w:val="center"/>
                    <w:rPr>
                      <w:rFonts w:hAnsi="宋体"/>
                      <w:color w:val="000000"/>
                      <w:szCs w:val="21"/>
                    </w:rPr>
                  </w:pPr>
                </w:p>
              </w:tc>
              <w:tc>
                <w:tcPr>
                  <w:tcW w:w="1521" w:type="dxa"/>
                  <w:vMerge w:val="restart"/>
                  <w:vAlign w:val="center"/>
                </w:tcPr>
                <w:p>
                  <w:pPr>
                    <w:jc w:val="center"/>
                    <w:rPr>
                      <w:rFonts w:hAnsi="宋体"/>
                      <w:color w:val="000000"/>
                      <w:szCs w:val="21"/>
                    </w:rPr>
                  </w:pPr>
                  <w:r>
                    <w:rPr>
                      <w:rFonts w:hint="eastAsia" w:hAnsi="宋体"/>
                      <w:color w:val="000000"/>
                      <w:szCs w:val="21"/>
                    </w:rPr>
                    <w:t>撞箱</w:t>
                  </w:r>
                </w:p>
              </w:tc>
              <w:tc>
                <w:tcPr>
                  <w:tcW w:w="1772" w:type="dxa"/>
                  <w:vAlign w:val="center"/>
                </w:tcPr>
                <w:p>
                  <w:pPr>
                    <w:widowControl/>
                    <w:jc w:val="center"/>
                    <w:rPr>
                      <w:rFonts w:hAnsi="宋体"/>
                      <w:color w:val="000000"/>
                      <w:szCs w:val="21"/>
                    </w:rPr>
                  </w:pPr>
                  <w:r>
                    <w:rPr>
                      <w:rFonts w:hint="eastAsia" w:hAnsi="宋体"/>
                      <w:color w:val="000000"/>
                      <w:szCs w:val="21"/>
                    </w:rPr>
                    <w:t>Φ1</w:t>
                  </w:r>
                  <w:r>
                    <w:rPr>
                      <w:rFonts w:hAnsi="宋体"/>
                      <w:color w:val="000000"/>
                      <w:szCs w:val="21"/>
                    </w:rPr>
                    <w:t>.1m</w:t>
                  </w:r>
                  <w:r>
                    <w:rPr>
                      <w:rFonts w:hint="eastAsia" w:hAnsi="宋体"/>
                      <w:color w:val="000000"/>
                      <w:szCs w:val="21"/>
                    </w:rPr>
                    <w:t>×</w:t>
                  </w:r>
                  <w:r>
                    <w:rPr>
                      <w:rFonts w:hAnsi="宋体"/>
                      <w:color w:val="000000"/>
                      <w:szCs w:val="21"/>
                    </w:rPr>
                    <w:t>1.9m</w:t>
                  </w:r>
                </w:p>
              </w:tc>
              <w:tc>
                <w:tcPr>
                  <w:tcW w:w="1014" w:type="dxa"/>
                  <w:vAlign w:val="center"/>
                </w:tcPr>
                <w:p>
                  <w:pPr>
                    <w:widowControl/>
                    <w:jc w:val="center"/>
                    <w:rPr>
                      <w:rFonts w:hAnsi="宋体"/>
                      <w:color w:val="000000"/>
                      <w:szCs w:val="21"/>
                    </w:rPr>
                  </w:pPr>
                  <w:r>
                    <w:rPr>
                      <w:rFonts w:hAnsi="宋体"/>
                      <w:color w:val="000000"/>
                      <w:szCs w:val="21"/>
                    </w:rPr>
                    <w:t>1</w:t>
                  </w:r>
                  <w:r>
                    <w:rPr>
                      <w:rFonts w:hint="eastAsia" w:hAnsi="宋体"/>
                      <w:color w:val="000000"/>
                      <w:szCs w:val="21"/>
                    </w:rPr>
                    <w:t>台</w:t>
                  </w:r>
                </w:p>
              </w:tc>
              <w:tc>
                <w:tcPr>
                  <w:tcW w:w="2146" w:type="dxa"/>
                  <w:vMerge w:val="restart"/>
                  <w:vAlign w:val="center"/>
                </w:tcPr>
                <w:p>
                  <w:pPr>
                    <w:widowControl/>
                    <w:jc w:val="center"/>
                    <w:rPr>
                      <w:rFonts w:hAnsi="宋体"/>
                      <w:color w:val="000000"/>
                      <w:szCs w:val="21"/>
                    </w:rPr>
                  </w:pPr>
                  <w:r>
                    <w:rPr>
                      <w:rFonts w:hint="eastAsia" w:hAnsi="宋体"/>
                      <w:color w:val="000000"/>
                      <w:szCs w:val="21"/>
                    </w:rPr>
                    <w:t>新增，1备1用</w:t>
                  </w:r>
                </w:p>
              </w:tc>
              <w:tc>
                <w:tcPr>
                  <w:tcW w:w="2146" w:type="dxa"/>
                </w:tcPr>
                <w:p>
                  <w:pPr>
                    <w:widowControl/>
                    <w:jc w:val="center"/>
                    <w:rPr>
                      <w:rFonts w:hAnsi="宋体"/>
                      <w:color w:val="000000"/>
                      <w:szCs w:val="21"/>
                    </w:rPr>
                  </w:pPr>
                  <w:r>
                    <w:rPr>
                      <w:rFonts w:hint="eastAsia" w:hAnsi="宋体"/>
                      <w:color w:val="000000"/>
                      <w:szCs w:val="21"/>
                    </w:rPr>
                    <w:t>0（变化内容）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6</w:t>
                  </w:r>
                </w:p>
              </w:tc>
              <w:tc>
                <w:tcPr>
                  <w:tcW w:w="572" w:type="dxa"/>
                  <w:vMerge w:val="continue"/>
                  <w:vAlign w:val="center"/>
                </w:tcPr>
                <w:p>
                  <w:pPr>
                    <w:widowControl/>
                    <w:jc w:val="center"/>
                    <w:rPr>
                      <w:rFonts w:hAnsi="宋体"/>
                      <w:color w:val="000000"/>
                      <w:szCs w:val="21"/>
                    </w:rPr>
                  </w:pPr>
                </w:p>
              </w:tc>
              <w:tc>
                <w:tcPr>
                  <w:tcW w:w="1521" w:type="dxa"/>
                  <w:vMerge w:val="continue"/>
                  <w:vAlign w:val="center"/>
                </w:tcPr>
                <w:p>
                  <w:pPr>
                    <w:widowControl/>
                    <w:jc w:val="center"/>
                    <w:rPr>
                      <w:rFonts w:hAnsi="宋体"/>
                      <w:color w:val="000000"/>
                      <w:szCs w:val="21"/>
                    </w:rPr>
                  </w:pPr>
                </w:p>
              </w:tc>
              <w:tc>
                <w:tcPr>
                  <w:tcW w:w="1772" w:type="dxa"/>
                  <w:vAlign w:val="center"/>
                </w:tcPr>
                <w:p>
                  <w:pPr>
                    <w:widowControl/>
                    <w:jc w:val="center"/>
                    <w:rPr>
                      <w:rFonts w:hAnsi="宋体"/>
                      <w:color w:val="000000"/>
                      <w:szCs w:val="21"/>
                    </w:rPr>
                  </w:pPr>
                  <w:r>
                    <w:rPr>
                      <w:rFonts w:hint="eastAsia" w:hAnsi="宋体"/>
                      <w:color w:val="000000"/>
                      <w:szCs w:val="21"/>
                    </w:rPr>
                    <w:t>Φ</w:t>
                  </w:r>
                  <w:r>
                    <w:rPr>
                      <w:rFonts w:hAnsi="宋体"/>
                      <w:color w:val="000000"/>
                      <w:szCs w:val="21"/>
                    </w:rPr>
                    <w:t>2.1m</w:t>
                  </w:r>
                  <w:r>
                    <w:rPr>
                      <w:rFonts w:hint="eastAsia" w:hAnsi="宋体"/>
                      <w:color w:val="000000"/>
                      <w:szCs w:val="21"/>
                    </w:rPr>
                    <w:t>×</w:t>
                  </w:r>
                  <w:r>
                    <w:rPr>
                      <w:rFonts w:hAnsi="宋体"/>
                      <w:color w:val="000000"/>
                      <w:szCs w:val="21"/>
                    </w:rPr>
                    <w:t>1.3m</w:t>
                  </w:r>
                </w:p>
              </w:tc>
              <w:tc>
                <w:tcPr>
                  <w:tcW w:w="1014" w:type="dxa"/>
                  <w:vAlign w:val="center"/>
                </w:tcPr>
                <w:p>
                  <w:pPr>
                    <w:widowControl/>
                    <w:jc w:val="center"/>
                    <w:rPr>
                      <w:rFonts w:hAnsi="宋体"/>
                      <w:color w:val="000000"/>
                      <w:szCs w:val="21"/>
                    </w:rPr>
                  </w:pPr>
                  <w:r>
                    <w:rPr>
                      <w:rFonts w:hint="eastAsia" w:hAnsi="宋体"/>
                      <w:color w:val="000000"/>
                      <w:szCs w:val="21"/>
                    </w:rPr>
                    <w:t>1台</w:t>
                  </w:r>
                </w:p>
              </w:tc>
              <w:tc>
                <w:tcPr>
                  <w:tcW w:w="2146" w:type="dxa"/>
                  <w:vMerge w:val="continue"/>
                  <w:vAlign w:val="center"/>
                </w:tcPr>
                <w:p>
                  <w:pPr>
                    <w:widowControl/>
                    <w:jc w:val="center"/>
                    <w:rPr>
                      <w:rFonts w:hAnsi="宋体"/>
                      <w:color w:val="000000"/>
                      <w:szCs w:val="21"/>
                    </w:rPr>
                  </w:pPr>
                </w:p>
              </w:tc>
              <w:tc>
                <w:tcPr>
                  <w:tcW w:w="2146" w:type="dxa"/>
                </w:tcPr>
                <w:p>
                  <w:pPr>
                    <w:widowControl/>
                    <w:jc w:val="center"/>
                    <w:rPr>
                      <w:rFonts w:hAnsi="宋体"/>
                      <w:color w:val="000000"/>
                      <w:szCs w:val="21"/>
                    </w:rPr>
                  </w:pPr>
                  <w:r>
                    <w:rPr>
                      <w:rFonts w:hint="eastAsia" w:hAnsi="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7</w:t>
                  </w:r>
                </w:p>
              </w:tc>
              <w:tc>
                <w:tcPr>
                  <w:tcW w:w="572" w:type="dxa"/>
                  <w:vMerge w:val="continue"/>
                  <w:vAlign w:val="center"/>
                </w:tcPr>
                <w:p>
                  <w:pPr>
                    <w:widowControl/>
                    <w:jc w:val="center"/>
                    <w:rPr>
                      <w:rFonts w:hAnsi="宋体"/>
                      <w:color w:val="000000"/>
                      <w:szCs w:val="21"/>
                    </w:rPr>
                  </w:pPr>
                </w:p>
              </w:tc>
              <w:tc>
                <w:tcPr>
                  <w:tcW w:w="1521" w:type="dxa"/>
                  <w:vAlign w:val="center"/>
                </w:tcPr>
                <w:p>
                  <w:pPr>
                    <w:widowControl/>
                    <w:jc w:val="center"/>
                    <w:rPr>
                      <w:rFonts w:hAnsi="宋体"/>
                      <w:color w:val="000000"/>
                      <w:szCs w:val="21"/>
                    </w:rPr>
                  </w:pPr>
                  <w:r>
                    <w:rPr>
                      <w:rFonts w:hint="eastAsia" w:hAnsi="宋体"/>
                      <w:color w:val="000000"/>
                      <w:szCs w:val="21"/>
                    </w:rPr>
                    <w:t>井式电加热炉</w:t>
                  </w:r>
                </w:p>
              </w:tc>
              <w:tc>
                <w:tcPr>
                  <w:tcW w:w="1772" w:type="dxa"/>
                  <w:vAlign w:val="center"/>
                </w:tcPr>
                <w:p>
                  <w:pPr>
                    <w:widowControl/>
                    <w:jc w:val="center"/>
                    <w:rPr>
                      <w:rFonts w:hAnsi="宋体"/>
                      <w:color w:val="000000"/>
                      <w:szCs w:val="21"/>
                    </w:rPr>
                  </w:pPr>
                  <w:r>
                    <w:rPr>
                      <w:rFonts w:hint="eastAsia" w:hAnsi="宋体"/>
                      <w:color w:val="000000"/>
                      <w:szCs w:val="21"/>
                    </w:rPr>
                    <w:t>Φ</w:t>
                  </w:r>
                  <w:r>
                    <w:rPr>
                      <w:rFonts w:hAnsi="宋体"/>
                      <w:color w:val="000000"/>
                      <w:szCs w:val="21"/>
                    </w:rPr>
                    <w:t>1.8m</w:t>
                  </w:r>
                  <w:r>
                    <w:rPr>
                      <w:rFonts w:hint="eastAsia" w:hAnsi="宋体"/>
                      <w:color w:val="000000"/>
                      <w:szCs w:val="21"/>
                    </w:rPr>
                    <w:t>×</w:t>
                  </w:r>
                  <w:r>
                    <w:rPr>
                      <w:rFonts w:hAnsi="宋体"/>
                      <w:color w:val="000000"/>
                      <w:szCs w:val="21"/>
                    </w:rPr>
                    <w:t>2.4m</w:t>
                  </w:r>
                </w:p>
              </w:tc>
              <w:tc>
                <w:tcPr>
                  <w:tcW w:w="1014" w:type="dxa"/>
                  <w:vAlign w:val="center"/>
                </w:tcPr>
                <w:p>
                  <w:pPr>
                    <w:widowControl/>
                    <w:jc w:val="center"/>
                    <w:rPr>
                      <w:rFonts w:hAnsi="宋体"/>
                      <w:color w:val="000000"/>
                      <w:szCs w:val="21"/>
                    </w:rPr>
                  </w:pPr>
                  <w:r>
                    <w:rPr>
                      <w:rFonts w:hint="eastAsia" w:hAnsi="宋体"/>
                      <w:color w:val="000000"/>
                      <w:szCs w:val="21"/>
                    </w:rPr>
                    <w:t>2台</w:t>
                  </w:r>
                </w:p>
              </w:tc>
              <w:tc>
                <w:tcPr>
                  <w:tcW w:w="2146" w:type="dxa"/>
                  <w:vAlign w:val="center"/>
                </w:tcPr>
                <w:p>
                  <w:pPr>
                    <w:widowControl/>
                    <w:jc w:val="center"/>
                    <w:rPr>
                      <w:rFonts w:hAnsi="宋体"/>
                      <w:color w:val="000000"/>
                      <w:szCs w:val="21"/>
                    </w:rPr>
                  </w:pPr>
                  <w:r>
                    <w:rPr>
                      <w:rFonts w:hint="eastAsia" w:hAnsi="宋体"/>
                      <w:color w:val="000000"/>
                      <w:szCs w:val="21"/>
                    </w:rPr>
                    <w:t>新增</w:t>
                  </w:r>
                </w:p>
              </w:tc>
              <w:tc>
                <w:tcPr>
                  <w:tcW w:w="2146" w:type="dxa"/>
                </w:tcPr>
                <w:p>
                  <w:pPr>
                    <w:widowControl/>
                    <w:jc w:val="center"/>
                    <w:rPr>
                      <w:rFonts w:hAnsi="宋体"/>
                      <w:color w:val="000000"/>
                      <w:szCs w:val="21"/>
                    </w:rPr>
                  </w:pPr>
                  <w:r>
                    <w:rPr>
                      <w:rFonts w:hint="eastAsia" w:hAnsi="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8</w:t>
                  </w:r>
                </w:p>
              </w:tc>
              <w:tc>
                <w:tcPr>
                  <w:tcW w:w="572" w:type="dxa"/>
                  <w:vMerge w:val="continue"/>
                  <w:vAlign w:val="center"/>
                </w:tcPr>
                <w:p>
                  <w:pPr>
                    <w:widowControl/>
                    <w:jc w:val="center"/>
                    <w:rPr>
                      <w:rFonts w:hAnsi="宋体"/>
                      <w:color w:val="000000"/>
                      <w:szCs w:val="21"/>
                    </w:rPr>
                  </w:pPr>
                </w:p>
              </w:tc>
              <w:tc>
                <w:tcPr>
                  <w:tcW w:w="1521" w:type="dxa"/>
                  <w:vAlign w:val="center"/>
                </w:tcPr>
                <w:p>
                  <w:pPr>
                    <w:widowControl/>
                    <w:jc w:val="center"/>
                    <w:rPr>
                      <w:rFonts w:hAnsi="宋体"/>
                      <w:color w:val="000000"/>
                      <w:szCs w:val="21"/>
                    </w:rPr>
                  </w:pPr>
                  <w:r>
                    <w:rPr>
                      <w:rFonts w:hint="eastAsia" w:hAnsi="宋体"/>
                      <w:color w:val="000000"/>
                      <w:szCs w:val="21"/>
                    </w:rPr>
                    <w:t>台式电加热炉</w:t>
                  </w:r>
                </w:p>
              </w:tc>
              <w:tc>
                <w:tcPr>
                  <w:tcW w:w="1772" w:type="dxa"/>
                  <w:vAlign w:val="center"/>
                </w:tcPr>
                <w:p>
                  <w:pPr>
                    <w:widowControl/>
                    <w:jc w:val="center"/>
                    <w:rPr>
                      <w:rFonts w:hAnsi="宋体"/>
                      <w:color w:val="000000"/>
                      <w:szCs w:val="21"/>
                    </w:rPr>
                  </w:pPr>
                  <w:r>
                    <w:rPr>
                      <w:rFonts w:hAnsi="宋体"/>
                      <w:color w:val="000000"/>
                      <w:szCs w:val="21"/>
                    </w:rPr>
                    <w:t>3m</w:t>
                  </w:r>
                  <w:r>
                    <w:rPr>
                      <w:rFonts w:hint="eastAsia" w:hAnsi="宋体"/>
                      <w:color w:val="000000"/>
                      <w:szCs w:val="21"/>
                    </w:rPr>
                    <w:t>×</w:t>
                  </w:r>
                  <w:r>
                    <w:rPr>
                      <w:rFonts w:hAnsi="宋体"/>
                      <w:color w:val="000000"/>
                      <w:szCs w:val="21"/>
                    </w:rPr>
                    <w:t>1.5m</w:t>
                  </w:r>
                  <w:r>
                    <w:rPr>
                      <w:rFonts w:hint="eastAsia" w:hAnsi="宋体"/>
                      <w:color w:val="000000"/>
                      <w:szCs w:val="21"/>
                    </w:rPr>
                    <w:t>×</w:t>
                  </w:r>
                  <w:r>
                    <w:rPr>
                      <w:rFonts w:hAnsi="宋体"/>
                      <w:color w:val="000000"/>
                      <w:szCs w:val="21"/>
                    </w:rPr>
                    <w:t>1.1m</w:t>
                  </w:r>
                </w:p>
              </w:tc>
              <w:tc>
                <w:tcPr>
                  <w:tcW w:w="1014" w:type="dxa"/>
                  <w:vAlign w:val="center"/>
                </w:tcPr>
                <w:p>
                  <w:pPr>
                    <w:widowControl/>
                    <w:jc w:val="center"/>
                    <w:rPr>
                      <w:rFonts w:hAnsi="宋体"/>
                      <w:color w:val="000000"/>
                      <w:szCs w:val="21"/>
                    </w:rPr>
                  </w:pPr>
                  <w:r>
                    <w:rPr>
                      <w:rFonts w:hAnsi="宋体"/>
                      <w:color w:val="000000"/>
                      <w:szCs w:val="21"/>
                    </w:rPr>
                    <w:t>1</w:t>
                  </w:r>
                  <w:r>
                    <w:rPr>
                      <w:rFonts w:hint="eastAsia" w:hAnsi="宋体"/>
                      <w:color w:val="000000"/>
                      <w:szCs w:val="21"/>
                    </w:rPr>
                    <w:t>台</w:t>
                  </w:r>
                </w:p>
              </w:tc>
              <w:tc>
                <w:tcPr>
                  <w:tcW w:w="2146" w:type="dxa"/>
                  <w:vAlign w:val="center"/>
                </w:tcPr>
                <w:p>
                  <w:pPr>
                    <w:widowControl/>
                    <w:jc w:val="center"/>
                    <w:rPr>
                      <w:rFonts w:hAnsi="宋体"/>
                      <w:color w:val="000000"/>
                      <w:szCs w:val="21"/>
                    </w:rPr>
                  </w:pPr>
                  <w:r>
                    <w:rPr>
                      <w:rFonts w:hint="eastAsia" w:hAnsi="宋体"/>
                      <w:color w:val="000000"/>
                      <w:szCs w:val="21"/>
                    </w:rPr>
                    <w:t>新增</w:t>
                  </w:r>
                </w:p>
              </w:tc>
              <w:tc>
                <w:tcPr>
                  <w:tcW w:w="2146" w:type="dxa"/>
                </w:tcPr>
                <w:p>
                  <w:pPr>
                    <w:widowControl/>
                    <w:jc w:val="center"/>
                    <w:rPr>
                      <w:rFonts w:hAnsi="宋体"/>
                      <w:color w:val="000000"/>
                      <w:szCs w:val="21"/>
                    </w:rPr>
                  </w:pPr>
                  <w:r>
                    <w:rPr>
                      <w:rFonts w:hint="eastAsia" w:hAnsi="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1</w:t>
                  </w:r>
                </w:p>
              </w:tc>
              <w:tc>
                <w:tcPr>
                  <w:tcW w:w="572" w:type="dxa"/>
                  <w:vMerge w:val="restart"/>
                  <w:vAlign w:val="center"/>
                </w:tcPr>
                <w:p>
                  <w:pPr>
                    <w:widowControl/>
                    <w:jc w:val="center"/>
                    <w:rPr>
                      <w:rFonts w:hAnsi="宋体"/>
                      <w:color w:val="000000"/>
                      <w:szCs w:val="21"/>
                    </w:rPr>
                  </w:pPr>
                  <w:r>
                    <w:rPr>
                      <w:rFonts w:hint="eastAsia" w:hAnsi="宋体"/>
                      <w:color w:val="000000"/>
                      <w:szCs w:val="21"/>
                    </w:rPr>
                    <w:t>公用设备</w:t>
                  </w:r>
                </w:p>
              </w:tc>
              <w:tc>
                <w:tcPr>
                  <w:tcW w:w="1521" w:type="dxa"/>
                  <w:vMerge w:val="restart"/>
                  <w:vAlign w:val="center"/>
                </w:tcPr>
                <w:p>
                  <w:pPr>
                    <w:widowControl/>
                    <w:jc w:val="center"/>
                    <w:rPr>
                      <w:rFonts w:hAnsi="宋体"/>
                      <w:color w:val="000000"/>
                      <w:szCs w:val="21"/>
                    </w:rPr>
                  </w:pPr>
                  <w:r>
                    <w:rPr>
                      <w:rFonts w:hint="eastAsia" w:hAnsi="宋体"/>
                      <w:color w:val="000000"/>
                      <w:szCs w:val="21"/>
                    </w:rPr>
                    <w:t>变压器</w:t>
                  </w:r>
                </w:p>
              </w:tc>
              <w:tc>
                <w:tcPr>
                  <w:tcW w:w="1772" w:type="dxa"/>
                  <w:vAlign w:val="center"/>
                </w:tcPr>
                <w:p>
                  <w:pPr>
                    <w:widowControl/>
                    <w:jc w:val="center"/>
                    <w:rPr>
                      <w:rFonts w:hAnsi="宋体"/>
                      <w:color w:val="000000"/>
                      <w:szCs w:val="21"/>
                    </w:rPr>
                  </w:pPr>
                  <w:r>
                    <w:rPr>
                      <w:rFonts w:hint="eastAsia" w:hAnsi="宋体"/>
                      <w:color w:val="000000"/>
                      <w:szCs w:val="21"/>
                    </w:rPr>
                    <w:t>4</w:t>
                  </w:r>
                  <w:r>
                    <w:rPr>
                      <w:rFonts w:hAnsi="宋体"/>
                      <w:color w:val="000000"/>
                      <w:szCs w:val="21"/>
                    </w:rPr>
                    <w:t>00KVA</w:t>
                  </w:r>
                </w:p>
              </w:tc>
              <w:tc>
                <w:tcPr>
                  <w:tcW w:w="1014" w:type="dxa"/>
                  <w:vAlign w:val="center"/>
                </w:tcPr>
                <w:p>
                  <w:pPr>
                    <w:widowControl/>
                    <w:jc w:val="center"/>
                    <w:rPr>
                      <w:rFonts w:hAnsi="宋体"/>
                      <w:color w:val="000000"/>
                      <w:szCs w:val="21"/>
                    </w:rPr>
                  </w:pPr>
                  <w:r>
                    <w:rPr>
                      <w:rFonts w:hint="eastAsia" w:hAnsi="宋体"/>
                      <w:color w:val="000000"/>
                      <w:szCs w:val="21"/>
                    </w:rPr>
                    <w:t>2台</w:t>
                  </w:r>
                </w:p>
              </w:tc>
              <w:tc>
                <w:tcPr>
                  <w:tcW w:w="2146" w:type="dxa"/>
                  <w:vAlign w:val="center"/>
                </w:tcPr>
                <w:p>
                  <w:pPr>
                    <w:widowControl/>
                    <w:jc w:val="center"/>
                    <w:rPr>
                      <w:rFonts w:hAnsi="宋体"/>
                      <w:color w:val="000000"/>
                      <w:szCs w:val="21"/>
                    </w:rPr>
                  </w:pPr>
                  <w:r>
                    <w:rPr>
                      <w:rFonts w:hint="eastAsia" w:hAnsi="宋体"/>
                      <w:color w:val="000000"/>
                      <w:szCs w:val="21"/>
                    </w:rPr>
                    <w:t>利旧</w:t>
                  </w:r>
                </w:p>
              </w:tc>
              <w:tc>
                <w:tcPr>
                  <w:tcW w:w="2146" w:type="dxa"/>
                </w:tcPr>
                <w:p>
                  <w:pPr>
                    <w:widowControl/>
                    <w:jc w:val="center"/>
                    <w:rPr>
                      <w:rFonts w:hAnsi="宋体"/>
                      <w:color w:val="000000"/>
                      <w:szCs w:val="21"/>
                    </w:rPr>
                  </w:pPr>
                  <w:r>
                    <w:rPr>
                      <w:rFonts w:hint="eastAsia" w:hAnsi="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2</w:t>
                  </w:r>
                </w:p>
              </w:tc>
              <w:tc>
                <w:tcPr>
                  <w:tcW w:w="572" w:type="dxa"/>
                  <w:vMerge w:val="continue"/>
                  <w:vAlign w:val="center"/>
                </w:tcPr>
                <w:p>
                  <w:pPr>
                    <w:widowControl/>
                    <w:jc w:val="center"/>
                    <w:rPr>
                      <w:rFonts w:hAnsi="宋体"/>
                      <w:color w:val="000000"/>
                      <w:szCs w:val="21"/>
                    </w:rPr>
                  </w:pPr>
                </w:p>
              </w:tc>
              <w:tc>
                <w:tcPr>
                  <w:tcW w:w="1521" w:type="dxa"/>
                  <w:vMerge w:val="continue"/>
                  <w:vAlign w:val="center"/>
                </w:tcPr>
                <w:p>
                  <w:pPr>
                    <w:widowControl/>
                    <w:jc w:val="center"/>
                    <w:rPr>
                      <w:rFonts w:hAnsi="宋体"/>
                      <w:color w:val="000000"/>
                      <w:szCs w:val="21"/>
                    </w:rPr>
                  </w:pPr>
                </w:p>
              </w:tc>
              <w:tc>
                <w:tcPr>
                  <w:tcW w:w="1772" w:type="dxa"/>
                  <w:vAlign w:val="center"/>
                </w:tcPr>
                <w:p>
                  <w:pPr>
                    <w:widowControl/>
                    <w:jc w:val="center"/>
                    <w:rPr>
                      <w:rFonts w:hAnsi="宋体"/>
                      <w:color w:val="000000"/>
                      <w:szCs w:val="21"/>
                    </w:rPr>
                  </w:pPr>
                  <w:r>
                    <w:rPr>
                      <w:rFonts w:hint="eastAsia" w:hAnsi="宋体"/>
                      <w:color w:val="000000"/>
                      <w:szCs w:val="21"/>
                    </w:rPr>
                    <w:t>2</w:t>
                  </w:r>
                  <w:r>
                    <w:rPr>
                      <w:rFonts w:hAnsi="宋体"/>
                      <w:color w:val="000000"/>
                      <w:szCs w:val="21"/>
                    </w:rPr>
                    <w:t>50KVA</w:t>
                  </w:r>
                </w:p>
              </w:tc>
              <w:tc>
                <w:tcPr>
                  <w:tcW w:w="1014" w:type="dxa"/>
                  <w:vAlign w:val="center"/>
                </w:tcPr>
                <w:p>
                  <w:pPr>
                    <w:widowControl/>
                    <w:jc w:val="center"/>
                    <w:rPr>
                      <w:rFonts w:hAnsi="宋体"/>
                      <w:color w:val="000000"/>
                      <w:szCs w:val="21"/>
                    </w:rPr>
                  </w:pPr>
                  <w:r>
                    <w:rPr>
                      <w:rFonts w:hAnsi="宋体"/>
                      <w:color w:val="000000"/>
                      <w:szCs w:val="21"/>
                    </w:rPr>
                    <w:t>1</w:t>
                  </w:r>
                  <w:r>
                    <w:rPr>
                      <w:rFonts w:hint="eastAsia" w:hAnsi="宋体"/>
                      <w:color w:val="000000"/>
                      <w:szCs w:val="21"/>
                    </w:rPr>
                    <w:t>台</w:t>
                  </w:r>
                </w:p>
              </w:tc>
              <w:tc>
                <w:tcPr>
                  <w:tcW w:w="2146" w:type="dxa"/>
                  <w:vAlign w:val="center"/>
                </w:tcPr>
                <w:p>
                  <w:pPr>
                    <w:widowControl/>
                    <w:jc w:val="center"/>
                    <w:rPr>
                      <w:rFonts w:hAnsi="宋体"/>
                      <w:color w:val="000000"/>
                      <w:szCs w:val="21"/>
                    </w:rPr>
                  </w:pPr>
                  <w:r>
                    <w:rPr>
                      <w:rFonts w:hint="eastAsia" w:hAnsi="宋体"/>
                      <w:color w:val="000000"/>
                      <w:szCs w:val="21"/>
                    </w:rPr>
                    <w:t>新增</w:t>
                  </w:r>
                </w:p>
              </w:tc>
              <w:tc>
                <w:tcPr>
                  <w:tcW w:w="2146" w:type="dxa"/>
                </w:tcPr>
                <w:p>
                  <w:pPr>
                    <w:widowControl/>
                    <w:jc w:val="center"/>
                    <w:rPr>
                      <w:rFonts w:hAnsi="宋体"/>
                      <w:color w:val="000000"/>
                      <w:szCs w:val="21"/>
                    </w:rPr>
                  </w:pPr>
                  <w:r>
                    <w:rPr>
                      <w:rFonts w:hint="eastAsia" w:hAnsi="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1</w:t>
                  </w:r>
                </w:p>
              </w:tc>
              <w:tc>
                <w:tcPr>
                  <w:tcW w:w="572" w:type="dxa"/>
                  <w:vMerge w:val="restart"/>
                  <w:vAlign w:val="center"/>
                </w:tcPr>
                <w:p>
                  <w:pPr>
                    <w:widowControl/>
                    <w:jc w:val="center"/>
                    <w:rPr>
                      <w:rFonts w:hAnsi="宋体"/>
                      <w:color w:val="000000"/>
                      <w:szCs w:val="21"/>
                    </w:rPr>
                  </w:pPr>
                  <w:r>
                    <w:rPr>
                      <w:rFonts w:hint="eastAsia" w:hAnsi="宋体"/>
                      <w:color w:val="000000"/>
                      <w:szCs w:val="21"/>
                    </w:rPr>
                    <w:t>环保设备</w:t>
                  </w:r>
                </w:p>
              </w:tc>
              <w:tc>
                <w:tcPr>
                  <w:tcW w:w="1521" w:type="dxa"/>
                  <w:vAlign w:val="center"/>
                </w:tcPr>
                <w:p>
                  <w:pPr>
                    <w:jc w:val="center"/>
                  </w:pPr>
                  <w:r>
                    <w:rPr>
                      <w:rFonts w:hint="eastAsia"/>
                    </w:rPr>
                    <w:t>中频电炉除尘器</w:t>
                  </w:r>
                </w:p>
              </w:tc>
              <w:tc>
                <w:tcPr>
                  <w:tcW w:w="1772" w:type="dxa"/>
                  <w:vAlign w:val="center"/>
                </w:tcPr>
                <w:p>
                  <w:pPr>
                    <w:jc w:val="center"/>
                  </w:pPr>
                  <w:r>
                    <w:rPr>
                      <w:rFonts w:hint="eastAsia"/>
                    </w:rPr>
                    <w:t>/</w:t>
                  </w:r>
                </w:p>
              </w:tc>
              <w:tc>
                <w:tcPr>
                  <w:tcW w:w="1014" w:type="dxa"/>
                  <w:vAlign w:val="center"/>
                </w:tcPr>
                <w:p>
                  <w:pPr>
                    <w:jc w:val="center"/>
                  </w:pPr>
                  <w:r>
                    <w:t>1</w:t>
                  </w:r>
                </w:p>
              </w:tc>
              <w:tc>
                <w:tcPr>
                  <w:tcW w:w="2146" w:type="dxa"/>
                  <w:vAlign w:val="center"/>
                </w:tcPr>
                <w:p>
                  <w:pPr>
                    <w:widowControl/>
                    <w:jc w:val="center"/>
                    <w:rPr>
                      <w:rFonts w:hAnsi="宋体"/>
                      <w:color w:val="000000"/>
                      <w:szCs w:val="21"/>
                    </w:rPr>
                  </w:pPr>
                  <w:r>
                    <w:rPr>
                      <w:rFonts w:hint="eastAsia" w:hAnsi="宋体"/>
                      <w:color w:val="000000"/>
                      <w:szCs w:val="21"/>
                    </w:rPr>
                    <w:t>利旧</w:t>
                  </w:r>
                </w:p>
              </w:tc>
              <w:tc>
                <w:tcPr>
                  <w:tcW w:w="2146" w:type="dxa"/>
                </w:tcPr>
                <w:p>
                  <w:pPr>
                    <w:widowControl/>
                    <w:jc w:val="center"/>
                    <w:rPr>
                      <w:rFonts w:hAnsi="宋体"/>
                      <w:color w:val="000000"/>
                      <w:szCs w:val="21"/>
                    </w:rPr>
                  </w:pPr>
                  <w:r>
                    <w:rPr>
                      <w:rFonts w:hint="eastAsia" w:hAnsi="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2</w:t>
                  </w:r>
                </w:p>
              </w:tc>
              <w:tc>
                <w:tcPr>
                  <w:tcW w:w="572" w:type="dxa"/>
                  <w:vMerge w:val="continue"/>
                  <w:vAlign w:val="center"/>
                </w:tcPr>
                <w:p>
                  <w:pPr>
                    <w:widowControl/>
                    <w:jc w:val="center"/>
                    <w:rPr>
                      <w:rFonts w:hAnsi="宋体"/>
                      <w:color w:val="000000"/>
                      <w:szCs w:val="21"/>
                    </w:rPr>
                  </w:pPr>
                </w:p>
              </w:tc>
              <w:tc>
                <w:tcPr>
                  <w:tcW w:w="1521" w:type="dxa"/>
                  <w:vAlign w:val="center"/>
                </w:tcPr>
                <w:p>
                  <w:pPr>
                    <w:jc w:val="center"/>
                  </w:pPr>
                  <w:r>
                    <w:rPr>
                      <w:rFonts w:hint="eastAsia"/>
                    </w:rPr>
                    <w:t>抛丸机除尘器</w:t>
                  </w:r>
                </w:p>
              </w:tc>
              <w:tc>
                <w:tcPr>
                  <w:tcW w:w="1772" w:type="dxa"/>
                  <w:vAlign w:val="center"/>
                </w:tcPr>
                <w:p>
                  <w:pPr>
                    <w:jc w:val="center"/>
                  </w:pPr>
                  <w:r>
                    <w:rPr>
                      <w:rFonts w:hint="eastAsia"/>
                    </w:rPr>
                    <w:t>/</w:t>
                  </w:r>
                </w:p>
              </w:tc>
              <w:tc>
                <w:tcPr>
                  <w:tcW w:w="1014" w:type="dxa"/>
                  <w:vAlign w:val="center"/>
                </w:tcPr>
                <w:p>
                  <w:pPr>
                    <w:jc w:val="center"/>
                  </w:pPr>
                  <w:r>
                    <w:rPr>
                      <w:rFonts w:hint="eastAsia"/>
                    </w:rPr>
                    <w:t>3</w:t>
                  </w:r>
                </w:p>
              </w:tc>
              <w:tc>
                <w:tcPr>
                  <w:tcW w:w="2146" w:type="dxa"/>
                  <w:vAlign w:val="center"/>
                </w:tcPr>
                <w:p>
                  <w:pPr>
                    <w:widowControl/>
                    <w:jc w:val="center"/>
                    <w:rPr>
                      <w:rFonts w:hAnsi="宋体"/>
                      <w:color w:val="000000"/>
                      <w:szCs w:val="21"/>
                    </w:rPr>
                  </w:pPr>
                  <w:r>
                    <w:rPr>
                      <w:rFonts w:hint="eastAsia" w:hAnsi="宋体"/>
                      <w:color w:val="000000"/>
                      <w:szCs w:val="21"/>
                    </w:rPr>
                    <w:t>2台利旧，新增</w:t>
                  </w:r>
                  <w:r>
                    <w:rPr>
                      <w:rFonts w:hAnsi="宋体"/>
                      <w:color w:val="000000"/>
                      <w:szCs w:val="21"/>
                    </w:rPr>
                    <w:t>1</w:t>
                  </w:r>
                  <w:r>
                    <w:rPr>
                      <w:rFonts w:hint="eastAsia" w:hAnsi="宋体"/>
                      <w:color w:val="000000"/>
                      <w:szCs w:val="21"/>
                    </w:rPr>
                    <w:t>台（均为设备自带）</w:t>
                  </w:r>
                </w:p>
              </w:tc>
              <w:tc>
                <w:tcPr>
                  <w:tcW w:w="2146" w:type="dxa"/>
                </w:tcPr>
                <w:p>
                  <w:pPr>
                    <w:widowControl/>
                    <w:jc w:val="center"/>
                    <w:rPr>
                      <w:rFonts w:hAnsi="宋体"/>
                      <w:color w:val="000000"/>
                      <w:szCs w:val="21"/>
                    </w:rPr>
                  </w:pPr>
                  <w:r>
                    <w:rPr>
                      <w:rFonts w:hint="eastAsia" w:hAnsi="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3</w:t>
                  </w:r>
                </w:p>
              </w:tc>
              <w:tc>
                <w:tcPr>
                  <w:tcW w:w="572" w:type="dxa"/>
                  <w:vMerge w:val="continue"/>
                  <w:vAlign w:val="center"/>
                </w:tcPr>
                <w:p>
                  <w:pPr>
                    <w:widowControl/>
                    <w:jc w:val="center"/>
                    <w:rPr>
                      <w:rFonts w:hAnsi="宋体"/>
                      <w:color w:val="000000"/>
                      <w:szCs w:val="21"/>
                    </w:rPr>
                  </w:pPr>
                </w:p>
              </w:tc>
              <w:tc>
                <w:tcPr>
                  <w:tcW w:w="1521" w:type="dxa"/>
                  <w:vAlign w:val="center"/>
                </w:tcPr>
                <w:p>
                  <w:pPr>
                    <w:jc w:val="center"/>
                    <w:rPr>
                      <w:rFonts w:hAnsi="宋体"/>
                      <w:color w:val="000000"/>
                      <w:szCs w:val="21"/>
                    </w:rPr>
                  </w:pPr>
                  <w:r>
                    <w:rPr>
                      <w:rFonts w:hint="eastAsia" w:hAnsi="宋体"/>
                      <w:color w:val="000000"/>
                      <w:szCs w:val="21"/>
                    </w:rPr>
                    <w:t>撞箱除尘器</w:t>
                  </w:r>
                </w:p>
              </w:tc>
              <w:tc>
                <w:tcPr>
                  <w:tcW w:w="1772" w:type="dxa"/>
                  <w:vAlign w:val="center"/>
                </w:tcPr>
                <w:p>
                  <w:pPr>
                    <w:widowControl/>
                    <w:jc w:val="center"/>
                    <w:rPr>
                      <w:rFonts w:hAnsi="宋体"/>
                      <w:color w:val="000000"/>
                      <w:szCs w:val="21"/>
                    </w:rPr>
                  </w:pPr>
                  <w:r>
                    <w:rPr>
                      <w:rFonts w:hint="eastAsia" w:hAnsi="宋体"/>
                      <w:color w:val="000000"/>
                      <w:szCs w:val="21"/>
                    </w:rPr>
                    <w:t>/</w:t>
                  </w:r>
                </w:p>
              </w:tc>
              <w:tc>
                <w:tcPr>
                  <w:tcW w:w="1014" w:type="dxa"/>
                  <w:vAlign w:val="center"/>
                </w:tcPr>
                <w:p>
                  <w:pPr>
                    <w:widowControl/>
                    <w:jc w:val="center"/>
                    <w:rPr>
                      <w:rFonts w:hAnsi="宋体"/>
                      <w:color w:val="000000"/>
                      <w:szCs w:val="21"/>
                    </w:rPr>
                  </w:pPr>
                  <w:r>
                    <w:rPr>
                      <w:rFonts w:hint="eastAsia" w:hAnsi="宋体"/>
                      <w:color w:val="000000"/>
                      <w:szCs w:val="21"/>
                    </w:rPr>
                    <w:t>2</w:t>
                  </w:r>
                </w:p>
              </w:tc>
              <w:tc>
                <w:tcPr>
                  <w:tcW w:w="2146" w:type="dxa"/>
                  <w:vAlign w:val="center"/>
                </w:tcPr>
                <w:p>
                  <w:pPr>
                    <w:widowControl/>
                    <w:jc w:val="center"/>
                    <w:rPr>
                      <w:rFonts w:hAnsi="宋体"/>
                      <w:color w:val="000000"/>
                      <w:szCs w:val="21"/>
                    </w:rPr>
                  </w:pPr>
                  <w:r>
                    <w:rPr>
                      <w:rFonts w:hint="eastAsia" w:hAnsi="宋体"/>
                      <w:color w:val="000000"/>
                      <w:szCs w:val="21"/>
                    </w:rPr>
                    <w:t>新增，1备1用</w:t>
                  </w:r>
                </w:p>
              </w:tc>
              <w:tc>
                <w:tcPr>
                  <w:tcW w:w="2146" w:type="dxa"/>
                </w:tcPr>
                <w:p>
                  <w:pPr>
                    <w:widowControl/>
                    <w:jc w:val="center"/>
                    <w:rPr>
                      <w:rFonts w:hAnsi="宋体"/>
                      <w:color w:val="000000"/>
                      <w:szCs w:val="21"/>
                    </w:rPr>
                  </w:pPr>
                  <w:r>
                    <w:rPr>
                      <w:rFonts w:hint="eastAsia" w:hAnsi="宋体"/>
                      <w:color w:val="000000"/>
                      <w:szCs w:val="21"/>
                    </w:rPr>
                    <w:t>1（变化内容）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5" w:type="dxa"/>
                  <w:vAlign w:val="center"/>
                </w:tcPr>
                <w:p>
                  <w:pPr>
                    <w:widowControl/>
                    <w:jc w:val="center"/>
                    <w:rPr>
                      <w:rFonts w:hAnsi="宋体"/>
                      <w:color w:val="000000"/>
                      <w:szCs w:val="21"/>
                    </w:rPr>
                  </w:pPr>
                  <w:r>
                    <w:rPr>
                      <w:rFonts w:hAnsi="宋体"/>
                      <w:color w:val="000000"/>
                      <w:szCs w:val="21"/>
                    </w:rPr>
                    <w:t>4</w:t>
                  </w:r>
                </w:p>
              </w:tc>
              <w:tc>
                <w:tcPr>
                  <w:tcW w:w="572" w:type="dxa"/>
                  <w:vMerge w:val="continue"/>
                  <w:vAlign w:val="center"/>
                </w:tcPr>
                <w:p>
                  <w:pPr>
                    <w:widowControl/>
                    <w:jc w:val="center"/>
                    <w:rPr>
                      <w:rFonts w:hAnsi="宋体"/>
                      <w:color w:val="000000"/>
                      <w:szCs w:val="21"/>
                    </w:rPr>
                  </w:pPr>
                </w:p>
              </w:tc>
              <w:tc>
                <w:tcPr>
                  <w:tcW w:w="1521" w:type="dxa"/>
                  <w:vAlign w:val="center"/>
                </w:tcPr>
                <w:p>
                  <w:pPr>
                    <w:jc w:val="center"/>
                    <w:rPr>
                      <w:rFonts w:hAnsi="宋体"/>
                      <w:color w:val="000000"/>
                      <w:szCs w:val="21"/>
                    </w:rPr>
                  </w:pPr>
                  <w:r>
                    <w:rPr>
                      <w:rFonts w:hint="eastAsia" w:hAnsi="宋体"/>
                      <w:color w:val="000000"/>
                      <w:szCs w:val="21"/>
                    </w:rPr>
                    <w:t>过滤棉+U</w:t>
                  </w:r>
                  <w:r>
                    <w:rPr>
                      <w:rFonts w:hAnsi="宋体"/>
                      <w:color w:val="000000"/>
                      <w:szCs w:val="21"/>
                    </w:rPr>
                    <w:t>V</w:t>
                  </w:r>
                  <w:r>
                    <w:rPr>
                      <w:rFonts w:hint="eastAsia" w:hAnsi="宋体"/>
                      <w:color w:val="000000"/>
                      <w:szCs w:val="21"/>
                    </w:rPr>
                    <w:t>光氧催化装置置+活性炭吸附系统</w:t>
                  </w:r>
                </w:p>
              </w:tc>
              <w:tc>
                <w:tcPr>
                  <w:tcW w:w="1772" w:type="dxa"/>
                  <w:vAlign w:val="center"/>
                </w:tcPr>
                <w:p>
                  <w:pPr>
                    <w:widowControl/>
                    <w:jc w:val="center"/>
                    <w:rPr>
                      <w:rFonts w:hAnsi="宋体"/>
                      <w:color w:val="000000"/>
                      <w:szCs w:val="21"/>
                    </w:rPr>
                  </w:pPr>
                  <w:r>
                    <w:rPr>
                      <w:rFonts w:hint="eastAsia" w:hAnsi="宋体"/>
                      <w:color w:val="000000"/>
                      <w:szCs w:val="21"/>
                    </w:rPr>
                    <w:t>/</w:t>
                  </w:r>
                </w:p>
              </w:tc>
              <w:tc>
                <w:tcPr>
                  <w:tcW w:w="1014" w:type="dxa"/>
                  <w:vAlign w:val="center"/>
                </w:tcPr>
                <w:p>
                  <w:pPr>
                    <w:widowControl/>
                    <w:jc w:val="center"/>
                    <w:rPr>
                      <w:rFonts w:hAnsi="宋体"/>
                      <w:color w:val="000000"/>
                      <w:szCs w:val="21"/>
                    </w:rPr>
                  </w:pPr>
                  <w:r>
                    <w:rPr>
                      <w:rFonts w:hAnsi="宋体"/>
                      <w:color w:val="000000"/>
                      <w:szCs w:val="21"/>
                    </w:rPr>
                    <w:t>1</w:t>
                  </w:r>
                  <w:r>
                    <w:rPr>
                      <w:rFonts w:hint="eastAsia" w:hAnsi="宋体"/>
                      <w:color w:val="000000"/>
                      <w:szCs w:val="21"/>
                    </w:rPr>
                    <w:t>套</w:t>
                  </w:r>
                </w:p>
              </w:tc>
              <w:tc>
                <w:tcPr>
                  <w:tcW w:w="2146" w:type="dxa"/>
                  <w:vAlign w:val="center"/>
                </w:tcPr>
                <w:p>
                  <w:pPr>
                    <w:widowControl/>
                    <w:jc w:val="center"/>
                    <w:rPr>
                      <w:rFonts w:hAnsi="宋体"/>
                      <w:color w:val="000000"/>
                      <w:szCs w:val="21"/>
                    </w:rPr>
                  </w:pPr>
                  <w:r>
                    <w:rPr>
                      <w:rFonts w:hint="eastAsia" w:hAnsi="宋体"/>
                      <w:color w:val="000000"/>
                      <w:szCs w:val="21"/>
                    </w:rPr>
                    <w:t>新增</w:t>
                  </w:r>
                </w:p>
              </w:tc>
              <w:tc>
                <w:tcPr>
                  <w:tcW w:w="2146" w:type="dxa"/>
                </w:tcPr>
                <w:p>
                  <w:pPr>
                    <w:widowControl/>
                    <w:jc w:val="center"/>
                    <w:rPr>
                      <w:rFonts w:hAnsi="宋体"/>
                      <w:color w:val="000000"/>
                      <w:szCs w:val="21"/>
                    </w:rPr>
                  </w:pPr>
                  <w:r>
                    <w:rPr>
                      <w:rFonts w:hint="eastAsia" w:hAnsi="宋体"/>
                      <w:color w:val="000000"/>
                      <w:szCs w:val="21"/>
                    </w:rPr>
                    <w:t>1</w:t>
                  </w:r>
                </w:p>
              </w:tc>
            </w:tr>
          </w:tbl>
          <w:p>
            <w:pPr>
              <w:pStyle w:val="3"/>
              <w:tabs>
                <w:tab w:val="left" w:pos="3465"/>
              </w:tabs>
              <w:adjustRightInd/>
              <w:spacing w:line="360" w:lineRule="auto"/>
              <w:ind w:left="395" w:firstLine="0"/>
              <w:jc w:val="both"/>
              <w:rPr>
                <w:rFonts w:ascii="宋体" w:hAnsi="宋体"/>
                <w:kern w:val="2"/>
                <w:szCs w:val="24"/>
              </w:rPr>
            </w:pPr>
            <w:r>
              <w:rPr>
                <w:rFonts w:hint="eastAsia" w:ascii="宋体" w:hAnsi="宋体"/>
                <w:kern w:val="2"/>
                <w:szCs w:val="24"/>
              </w:rPr>
              <w:t>6、公用工程</w:t>
            </w:r>
          </w:p>
          <w:p>
            <w:pPr>
              <w:widowControl/>
              <w:spacing w:line="360" w:lineRule="auto"/>
              <w:ind w:firstLine="480" w:firstLineChars="200"/>
              <w:jc w:val="left"/>
              <w:rPr>
                <w:rFonts w:hAnsi="宋体"/>
                <w:color w:val="000000"/>
                <w:sz w:val="24"/>
              </w:rPr>
            </w:pPr>
            <w:r>
              <w:rPr>
                <w:rFonts w:hAnsi="宋体"/>
                <w:color w:val="000000"/>
                <w:sz w:val="24"/>
              </w:rPr>
              <w:t>供电：</w:t>
            </w:r>
            <w:r>
              <w:rPr>
                <w:rFonts w:hint="eastAsia" w:hAnsi="宋体"/>
                <w:color w:val="000000"/>
                <w:sz w:val="24"/>
              </w:rPr>
              <w:t>技改后现有工程</w:t>
            </w:r>
            <w:r>
              <w:rPr>
                <w:rFonts w:hAnsi="宋体"/>
                <w:color w:val="000000"/>
                <w:sz w:val="24"/>
              </w:rPr>
              <w:t>供电引自卢龙县</w:t>
            </w:r>
            <w:r>
              <w:rPr>
                <w:rFonts w:hint="eastAsia" w:hAnsi="宋体"/>
                <w:color w:val="000000"/>
                <w:sz w:val="24"/>
              </w:rPr>
              <w:t>双望镇</w:t>
            </w:r>
            <w:r>
              <w:rPr>
                <w:rFonts w:hAnsi="宋体"/>
                <w:color w:val="000000"/>
                <w:sz w:val="24"/>
              </w:rPr>
              <w:t>电网</w:t>
            </w:r>
            <w:r>
              <w:rPr>
                <w:rFonts w:hint="eastAsia" w:hAnsi="宋体"/>
                <w:color w:val="000000"/>
                <w:sz w:val="24"/>
              </w:rPr>
              <w:t>，厂区设有2台4</w:t>
            </w:r>
            <w:r>
              <w:rPr>
                <w:rFonts w:hAnsi="宋体"/>
                <w:color w:val="000000"/>
                <w:sz w:val="24"/>
              </w:rPr>
              <w:t>00KVA</w:t>
            </w:r>
            <w:r>
              <w:rPr>
                <w:rFonts w:hint="eastAsia" w:hAnsi="宋体"/>
                <w:color w:val="000000"/>
                <w:sz w:val="24"/>
              </w:rPr>
              <w:t>变压器，</w:t>
            </w:r>
            <w:r>
              <w:rPr>
                <w:rFonts w:hAnsi="宋体"/>
                <w:color w:val="000000"/>
                <w:sz w:val="24"/>
              </w:rPr>
              <w:t>1</w:t>
            </w:r>
            <w:r>
              <w:rPr>
                <w:rFonts w:hint="eastAsia" w:hAnsi="宋体"/>
                <w:color w:val="000000"/>
                <w:sz w:val="24"/>
              </w:rPr>
              <w:t>台2</w:t>
            </w:r>
            <w:r>
              <w:rPr>
                <w:rFonts w:hAnsi="宋体"/>
                <w:color w:val="000000"/>
                <w:sz w:val="24"/>
              </w:rPr>
              <w:t>50KVA</w:t>
            </w:r>
            <w:r>
              <w:rPr>
                <w:rFonts w:hint="eastAsia" w:hAnsi="宋体"/>
                <w:color w:val="000000"/>
                <w:sz w:val="24"/>
              </w:rPr>
              <w:t>变压器，年耗电量</w:t>
            </w:r>
            <w:r>
              <w:rPr>
                <w:color w:val="000000"/>
                <w:sz w:val="24"/>
              </w:rPr>
              <w:t>4.12</w:t>
            </w:r>
            <w:r>
              <w:rPr>
                <w:rFonts w:hint="eastAsia"/>
                <w:color w:val="000000"/>
                <w:sz w:val="24"/>
              </w:rPr>
              <w:t>×1</w:t>
            </w:r>
            <w:r>
              <w:rPr>
                <w:color w:val="000000"/>
                <w:sz w:val="24"/>
              </w:rPr>
              <w:t>0</w:t>
            </w:r>
            <w:r>
              <w:rPr>
                <w:color w:val="000000"/>
                <w:sz w:val="24"/>
                <w:vertAlign w:val="superscript"/>
              </w:rPr>
              <w:t>6</w:t>
            </w:r>
            <w:r>
              <w:rPr>
                <w:rFonts w:hint="eastAsia"/>
                <w:color w:val="000000"/>
                <w:sz w:val="24"/>
              </w:rPr>
              <w:t>kwh</w:t>
            </w:r>
            <w:r>
              <w:rPr>
                <w:rFonts w:hint="eastAsia" w:hAnsi="宋体"/>
                <w:color w:val="000000"/>
                <w:sz w:val="24"/>
              </w:rPr>
              <w:t>。</w:t>
            </w:r>
          </w:p>
          <w:p>
            <w:pPr>
              <w:widowControl/>
              <w:spacing w:line="360" w:lineRule="auto"/>
              <w:ind w:firstLine="480" w:firstLineChars="200"/>
              <w:jc w:val="left"/>
              <w:rPr>
                <w:rFonts w:hAnsi="宋体"/>
                <w:color w:val="000000"/>
                <w:sz w:val="24"/>
              </w:rPr>
            </w:pPr>
            <w:r>
              <w:rPr>
                <w:rFonts w:hAnsi="宋体"/>
                <w:color w:val="000000"/>
                <w:sz w:val="24"/>
              </w:rPr>
              <w:t>供暖：</w:t>
            </w:r>
            <w:r>
              <w:rPr>
                <w:rFonts w:hint="eastAsia" w:hAnsi="宋体"/>
                <w:color w:val="000000"/>
                <w:sz w:val="24"/>
              </w:rPr>
              <w:t>技改后供暖措施不发生变化，生产区不采暖，办公区采用电采暖</w:t>
            </w:r>
            <w:r>
              <w:rPr>
                <w:rFonts w:hAnsi="宋体"/>
                <w:color w:val="000000"/>
                <w:sz w:val="24"/>
              </w:rPr>
              <w:t xml:space="preserve">。 </w:t>
            </w:r>
          </w:p>
          <w:p>
            <w:pPr>
              <w:widowControl/>
              <w:spacing w:line="360" w:lineRule="auto"/>
              <w:ind w:firstLine="480" w:firstLineChars="200"/>
              <w:jc w:val="left"/>
              <w:rPr>
                <w:rFonts w:hAnsi="宋体"/>
                <w:color w:val="000000"/>
                <w:sz w:val="24"/>
              </w:rPr>
            </w:pPr>
            <w:r>
              <w:rPr>
                <w:rFonts w:hAnsi="宋体"/>
                <w:color w:val="000000"/>
                <w:sz w:val="24"/>
              </w:rPr>
              <w:t>供水：</w:t>
            </w:r>
            <w:r>
              <w:rPr>
                <w:rFonts w:hint="eastAsia" w:hAnsi="宋体"/>
                <w:color w:val="000000"/>
                <w:sz w:val="24"/>
              </w:rPr>
              <w:t>技改后</w:t>
            </w:r>
            <w:r>
              <w:rPr>
                <w:rFonts w:hAnsi="宋体"/>
                <w:color w:val="000000"/>
                <w:sz w:val="24"/>
              </w:rPr>
              <w:t>供水水源</w:t>
            </w:r>
            <w:r>
              <w:rPr>
                <w:rFonts w:hint="eastAsia" w:hAnsi="宋体"/>
                <w:color w:val="000000"/>
                <w:sz w:val="24"/>
              </w:rPr>
              <w:t>仍为</w:t>
            </w:r>
            <w:r>
              <w:rPr>
                <w:rFonts w:hAnsi="宋体"/>
                <w:color w:val="000000"/>
                <w:sz w:val="24"/>
              </w:rPr>
              <w:t>厂内自备</w:t>
            </w:r>
            <w:r>
              <w:rPr>
                <w:rFonts w:hint="eastAsia" w:hAnsi="宋体"/>
                <w:color w:val="000000"/>
                <w:sz w:val="24"/>
              </w:rPr>
              <w:t>水</w:t>
            </w:r>
            <w:r>
              <w:rPr>
                <w:rFonts w:hAnsi="宋体"/>
                <w:color w:val="000000"/>
                <w:sz w:val="24"/>
              </w:rPr>
              <w:t>井。项目</w:t>
            </w:r>
            <w:r>
              <w:rPr>
                <w:rFonts w:hint="eastAsia" w:hAnsi="宋体"/>
                <w:color w:val="000000"/>
                <w:sz w:val="24"/>
              </w:rPr>
              <w:t>总</w:t>
            </w:r>
            <w:r>
              <w:rPr>
                <w:rFonts w:hAnsi="宋体"/>
                <w:color w:val="000000"/>
                <w:sz w:val="24"/>
              </w:rPr>
              <w:t>用水量为43m</w:t>
            </w:r>
            <w:r>
              <w:rPr>
                <w:rFonts w:hAnsi="宋体"/>
                <w:color w:val="000000"/>
                <w:sz w:val="24"/>
                <w:vertAlign w:val="superscript"/>
              </w:rPr>
              <w:t>3</w:t>
            </w:r>
            <w:r>
              <w:rPr>
                <w:rFonts w:hAnsi="宋体"/>
                <w:color w:val="000000"/>
                <w:sz w:val="24"/>
              </w:rPr>
              <w:t>/d</w:t>
            </w:r>
            <w:r>
              <w:rPr>
                <w:rFonts w:hint="eastAsia" w:hAnsi="宋体"/>
                <w:color w:val="000000"/>
                <w:sz w:val="24"/>
              </w:rPr>
              <w:t>，</w:t>
            </w:r>
            <w:r>
              <w:rPr>
                <w:rFonts w:hAnsi="宋体"/>
                <w:color w:val="000000"/>
                <w:sz w:val="24"/>
              </w:rPr>
              <w:t>主要用于设备冷却</w:t>
            </w:r>
            <w:r>
              <w:rPr>
                <w:rFonts w:hint="eastAsia" w:hAnsi="宋体"/>
                <w:color w:val="000000"/>
                <w:sz w:val="24"/>
              </w:rPr>
              <w:t>、喷淋抑尘及员工生活用水</w:t>
            </w:r>
            <w:r>
              <w:rPr>
                <w:rFonts w:hAnsi="宋体"/>
                <w:color w:val="000000"/>
                <w:sz w:val="24"/>
              </w:rPr>
              <w:t>。</w:t>
            </w:r>
            <w:r>
              <w:rPr>
                <w:rFonts w:hint="eastAsia" w:hAnsi="宋体"/>
                <w:color w:val="000000"/>
                <w:sz w:val="24"/>
              </w:rPr>
              <w:t>其中生活用水量</w:t>
            </w:r>
            <w:r>
              <w:rPr>
                <w:rFonts w:hAnsi="宋体"/>
                <w:color w:val="000000"/>
                <w:sz w:val="24"/>
              </w:rPr>
              <w:t>1.0m</w:t>
            </w:r>
            <w:r>
              <w:rPr>
                <w:rFonts w:hAnsi="宋体"/>
                <w:color w:val="000000"/>
                <w:sz w:val="24"/>
                <w:vertAlign w:val="superscript"/>
              </w:rPr>
              <w:t>3</w:t>
            </w:r>
            <w:r>
              <w:rPr>
                <w:rFonts w:hAnsi="宋体"/>
                <w:color w:val="000000"/>
                <w:sz w:val="24"/>
              </w:rPr>
              <w:t>/d</w:t>
            </w:r>
            <w:r>
              <w:rPr>
                <w:rFonts w:hint="eastAsia" w:hAnsi="宋体"/>
                <w:color w:val="000000"/>
                <w:sz w:val="24"/>
              </w:rPr>
              <w:t>；中频电炉补充用水量</w:t>
            </w:r>
            <w:r>
              <w:rPr>
                <w:rFonts w:hAnsi="宋体"/>
                <w:color w:val="000000"/>
                <w:sz w:val="24"/>
              </w:rPr>
              <w:t>0.5m</w:t>
            </w:r>
            <w:r>
              <w:rPr>
                <w:rFonts w:hAnsi="宋体"/>
                <w:color w:val="000000"/>
                <w:sz w:val="24"/>
                <w:vertAlign w:val="superscript"/>
              </w:rPr>
              <w:t>3</w:t>
            </w:r>
            <w:r>
              <w:rPr>
                <w:rFonts w:hAnsi="宋体"/>
                <w:color w:val="000000"/>
                <w:sz w:val="24"/>
              </w:rPr>
              <w:t>/d</w:t>
            </w:r>
            <w:r>
              <w:rPr>
                <w:rFonts w:hint="eastAsia" w:hAnsi="宋体"/>
                <w:color w:val="000000"/>
                <w:sz w:val="24"/>
              </w:rPr>
              <w:t>，循环用水量</w:t>
            </w:r>
            <w:r>
              <w:rPr>
                <w:rFonts w:hAnsi="宋体"/>
                <w:color w:val="000000"/>
                <w:sz w:val="24"/>
              </w:rPr>
              <w:t>39.5m</w:t>
            </w:r>
            <w:r>
              <w:rPr>
                <w:rFonts w:hAnsi="宋体"/>
                <w:color w:val="000000"/>
                <w:sz w:val="24"/>
                <w:vertAlign w:val="superscript"/>
              </w:rPr>
              <w:t>3</w:t>
            </w:r>
            <w:r>
              <w:rPr>
                <w:rFonts w:hAnsi="宋体"/>
                <w:color w:val="000000"/>
                <w:sz w:val="24"/>
              </w:rPr>
              <w:t>/d</w:t>
            </w:r>
            <w:r>
              <w:rPr>
                <w:rFonts w:hint="eastAsia" w:hAnsi="宋体"/>
                <w:color w:val="000000"/>
                <w:sz w:val="24"/>
              </w:rPr>
              <w:t>；喷淋用水</w:t>
            </w:r>
            <w:r>
              <w:rPr>
                <w:rFonts w:hAnsi="宋体"/>
                <w:color w:val="000000"/>
                <w:sz w:val="24"/>
              </w:rPr>
              <w:t>2.0m</w:t>
            </w:r>
            <w:r>
              <w:rPr>
                <w:rFonts w:hAnsi="宋体"/>
                <w:color w:val="000000"/>
                <w:sz w:val="24"/>
                <w:vertAlign w:val="superscript"/>
              </w:rPr>
              <w:t>3</w:t>
            </w:r>
            <w:r>
              <w:rPr>
                <w:rFonts w:hint="eastAsia" w:hAnsi="宋体"/>
                <w:color w:val="000000"/>
                <w:sz w:val="24"/>
              </w:rPr>
              <w:t>/</w:t>
            </w:r>
            <w:r>
              <w:rPr>
                <w:rFonts w:hAnsi="宋体"/>
                <w:color w:val="000000"/>
                <w:sz w:val="24"/>
              </w:rPr>
              <w:t>d</w:t>
            </w:r>
            <w:r>
              <w:rPr>
                <w:rFonts w:hint="eastAsia" w:hAnsi="宋体"/>
                <w:color w:val="000000"/>
                <w:sz w:val="24"/>
              </w:rPr>
              <w:t>。</w:t>
            </w:r>
          </w:p>
          <w:p>
            <w:pPr>
              <w:widowControl/>
              <w:spacing w:line="360" w:lineRule="auto"/>
              <w:ind w:firstLine="480" w:firstLineChars="200"/>
              <w:jc w:val="left"/>
              <w:rPr>
                <w:rFonts w:hAnsi="宋体"/>
                <w:color w:val="000000"/>
                <w:sz w:val="24"/>
              </w:rPr>
            </w:pPr>
            <w:r>
              <w:rPr>
                <w:rFonts w:hAnsi="宋体"/>
                <w:color w:val="000000"/>
                <w:sz w:val="24"/>
              </w:rPr>
              <w:t>排水：</w:t>
            </w:r>
            <w:r>
              <w:rPr>
                <w:rFonts w:hint="eastAsia" w:hAnsi="宋体"/>
                <w:color w:val="000000"/>
                <w:sz w:val="24"/>
              </w:rPr>
              <w:t>技改后废水不外排</w:t>
            </w:r>
            <w:r>
              <w:rPr>
                <w:rFonts w:hAnsi="宋体"/>
                <w:color w:val="000000"/>
                <w:sz w:val="24"/>
              </w:rPr>
              <w:t>，</w:t>
            </w:r>
            <w:r>
              <w:rPr>
                <w:rFonts w:hint="eastAsia" w:hAnsi="宋体"/>
                <w:color w:val="000000"/>
                <w:sz w:val="24"/>
              </w:rPr>
              <w:t>冷却水循环使用；生活污水主要为职工盥洗水，水质简单，直接用于厂区泼洒抑尘，不外排；喷淋用水自然蒸发，不外排</w:t>
            </w:r>
            <w:r>
              <w:rPr>
                <w:rFonts w:hAnsi="宋体"/>
                <w:color w:val="000000"/>
                <w:sz w:val="24"/>
              </w:rPr>
              <w:t>。</w:t>
            </w:r>
          </w:p>
          <w:p>
            <w:pPr>
              <w:widowControl/>
              <w:spacing w:line="360" w:lineRule="auto"/>
              <w:ind w:firstLine="480" w:firstLineChars="200"/>
              <w:jc w:val="left"/>
              <w:rPr>
                <w:rFonts w:hAnsi="宋体"/>
                <w:color w:val="000000"/>
                <w:sz w:val="24"/>
              </w:rPr>
            </w:pPr>
            <w:r>
              <w:rPr>
                <w:rFonts w:hAnsi="宋体"/>
                <w:color w:val="000000"/>
                <w:sz w:val="24"/>
              </w:rPr>
              <w:drawing>
                <wp:anchor distT="0" distB="0" distL="114300" distR="114300" simplePos="0" relativeHeight="251659264" behindDoc="0" locked="0" layoutInCell="1" allowOverlap="1">
                  <wp:simplePos x="0" y="0"/>
                  <wp:positionH relativeFrom="column">
                    <wp:posOffset>875665</wp:posOffset>
                  </wp:positionH>
                  <wp:positionV relativeFrom="paragraph">
                    <wp:posOffset>241935</wp:posOffset>
                  </wp:positionV>
                  <wp:extent cx="4137660" cy="2743200"/>
                  <wp:effectExtent l="19050" t="0" r="0" b="0"/>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5"/>
                          <a:srcRect/>
                          <a:stretch>
                            <a:fillRect/>
                          </a:stretch>
                        </pic:blipFill>
                        <pic:spPr>
                          <a:xfrm>
                            <a:off x="0" y="0"/>
                            <a:ext cx="4137660" cy="2743200"/>
                          </a:xfrm>
                          <a:prstGeom prst="rect">
                            <a:avLst/>
                          </a:prstGeom>
                          <a:noFill/>
                          <a:ln w="9525">
                            <a:noFill/>
                            <a:miter lim="800000"/>
                            <a:headEnd/>
                            <a:tailEnd/>
                          </a:ln>
                        </pic:spPr>
                      </pic:pic>
                    </a:graphicData>
                  </a:graphic>
                </wp:anchor>
              </w:drawing>
            </w:r>
          </w:p>
          <w:p>
            <w:pPr>
              <w:widowControl/>
              <w:spacing w:line="360" w:lineRule="auto"/>
              <w:ind w:firstLine="480" w:firstLineChars="200"/>
              <w:jc w:val="left"/>
              <w:rPr>
                <w:rFonts w:hAnsi="宋体"/>
                <w:color w:val="000000"/>
                <w:sz w:val="24"/>
              </w:rPr>
            </w:pPr>
          </w:p>
          <w:p>
            <w:pPr>
              <w:widowControl/>
              <w:spacing w:line="480" w:lineRule="exact"/>
              <w:ind w:firstLine="480" w:firstLineChars="200"/>
              <w:jc w:val="left"/>
              <w:rPr>
                <w:rFonts w:hAnsi="宋体"/>
                <w:color w:val="000000"/>
                <w:sz w:val="24"/>
              </w:rPr>
            </w:pPr>
          </w:p>
          <w:p>
            <w:pPr>
              <w:widowControl/>
              <w:spacing w:line="480" w:lineRule="exact"/>
              <w:ind w:firstLine="480" w:firstLineChars="200"/>
              <w:jc w:val="left"/>
              <w:rPr>
                <w:rFonts w:hAnsi="宋体"/>
                <w:color w:val="000000"/>
                <w:sz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pStyle w:val="3"/>
              <w:tabs>
                <w:tab w:val="left" w:pos="3465"/>
              </w:tabs>
              <w:adjustRightInd/>
              <w:spacing w:line="360" w:lineRule="auto"/>
              <w:ind w:left="395" w:firstLine="0"/>
              <w:jc w:val="both"/>
              <w:rPr>
                <w:rFonts w:ascii="宋体" w:hAnsi="宋体"/>
                <w:kern w:val="2"/>
                <w:szCs w:val="24"/>
              </w:rPr>
            </w:pPr>
          </w:p>
          <w:p>
            <w:pPr>
              <w:jc w:val="center"/>
              <w:rPr>
                <w:b/>
                <w:sz w:val="24"/>
              </w:rPr>
            </w:pPr>
            <w:r>
              <w:rPr>
                <w:rFonts w:hint="eastAsia" w:ascii="宋体" w:hAnsi="宋体"/>
                <w:sz w:val="24"/>
              </w:rPr>
              <w:t>图1</w:t>
            </w:r>
            <w:r>
              <w:rPr>
                <w:rFonts w:hint="eastAsia"/>
                <w:b/>
                <w:sz w:val="24"/>
              </w:rPr>
              <w:t>技改后全厂水平衡图 单位：m</w:t>
            </w:r>
            <w:r>
              <w:rPr>
                <w:b/>
                <w:sz w:val="24"/>
                <w:vertAlign w:val="superscript"/>
              </w:rPr>
              <w:t>3</w:t>
            </w:r>
            <w:r>
              <w:rPr>
                <w:b/>
                <w:sz w:val="24"/>
              </w:rPr>
              <w:t>/d</w:t>
            </w:r>
          </w:p>
          <w:p>
            <w:pPr>
              <w:pStyle w:val="17"/>
              <w:jc w:val="center"/>
              <w:rPr>
                <w:rFonts w:ascii="宋体" w:hAnsi="宋体" w:eastAsia="宋体"/>
              </w:rPr>
            </w:pPr>
          </w:p>
          <w:p>
            <w:pPr>
              <w:pStyle w:val="17"/>
              <w:jc w:val="center"/>
              <w:rPr>
                <w:rFonts w:ascii="宋体" w:hAnsi="宋体" w:eastAsia="宋体"/>
              </w:rPr>
            </w:pPr>
          </w:p>
          <w:p>
            <w:pPr>
              <w:pStyle w:val="17"/>
              <w:jc w:val="center"/>
              <w:rPr>
                <w:rFonts w:ascii="宋体" w:hAnsi="宋体" w:eastAsia="宋体"/>
              </w:rPr>
            </w:pPr>
          </w:p>
          <w:p>
            <w:pPr>
              <w:pStyle w:val="17"/>
              <w:snapToGrid w:val="0"/>
              <w:spacing w:line="360" w:lineRule="auto"/>
              <w:ind w:firstLine="480" w:firstLineChars="200"/>
              <w:rPr>
                <w:rFonts w:ascii="宋体" w:hAnsi="宋体" w:eastAsia="宋体"/>
              </w:rPr>
            </w:pPr>
            <w:r>
              <w:rPr>
                <w:rFonts w:hint="eastAsia" w:ascii="宋体" w:hAnsi="宋体" w:eastAsia="宋体"/>
              </w:rPr>
              <w:t>7、本项目变化情况</w:t>
            </w:r>
          </w:p>
          <w:p>
            <w:pPr>
              <w:pStyle w:val="17"/>
              <w:snapToGrid w:val="0"/>
              <w:spacing w:line="360" w:lineRule="auto"/>
              <w:ind w:firstLine="480" w:firstLineChars="200"/>
              <w:rPr>
                <w:rFonts w:ascii="宋体" w:hAnsi="宋体" w:eastAsia="宋体" w:cs="宋体"/>
              </w:rPr>
            </w:pPr>
            <w:r>
              <w:rPr>
                <w:rFonts w:hint="eastAsia" w:ascii="宋体" w:hAnsi="宋体" w:eastAsia="宋体" w:cs="宋体"/>
              </w:rPr>
              <w:t>根据现场核实，变更内容如下：</w:t>
            </w:r>
          </w:p>
          <w:p>
            <w:pPr>
              <w:pStyle w:val="17"/>
              <w:snapToGrid w:val="0"/>
              <w:spacing w:line="360" w:lineRule="auto"/>
              <w:ind w:firstLine="480" w:firstLineChars="200"/>
              <w:rPr>
                <w:rFonts w:ascii="宋体" w:hAnsi="宋体" w:eastAsia="宋体" w:cs="宋体"/>
              </w:rPr>
            </w:pPr>
            <w:r>
              <w:rPr>
                <w:rFonts w:hint="eastAsia" w:ascii="宋体" w:hAnsi="宋体" w:eastAsia="宋体" w:cs="宋体"/>
              </w:rPr>
              <w:t>装载机由1台变更为3台，撞箱由2台变更为1台，撞箱除尘器由2台变更为1台，有机废气超标报警传感装置由企业厂界四角安装变更为车间口安装1台。</w:t>
            </w:r>
          </w:p>
          <w:p>
            <w:pPr>
              <w:pStyle w:val="17"/>
              <w:snapToGrid w:val="0"/>
              <w:spacing w:line="360" w:lineRule="auto"/>
              <w:ind w:firstLine="480" w:firstLineChars="200"/>
              <w:rPr>
                <w:rFonts w:ascii="宋体" w:hAnsi="宋体" w:eastAsia="宋体" w:cs="宋体"/>
              </w:rPr>
            </w:pPr>
            <w:r>
              <w:rPr>
                <w:rFonts w:hint="eastAsia" w:ascii="宋体" w:hAnsi="宋体" w:eastAsia="宋体" w:cs="宋体"/>
              </w:rPr>
              <w:t>以上变更不属于重大变更，其余建设内容均与环评及批复一致。</w:t>
            </w:r>
          </w:p>
          <w:p>
            <w:pPr>
              <w:pStyle w:val="17"/>
              <w:snapToGrid w:val="0"/>
              <w:spacing w:line="360" w:lineRule="auto"/>
              <w:rPr>
                <w:rFonts w:hint="eastAsia" w:ascii="宋体" w:hAnsi="宋体" w:eastAsia="宋体"/>
              </w:rPr>
            </w:pPr>
          </w:p>
          <w:p>
            <w:pPr>
              <w:pStyle w:val="17"/>
              <w:snapToGrid w:val="0"/>
              <w:spacing w:line="360" w:lineRule="auto"/>
              <w:rPr>
                <w:rFonts w:hint="eastAsia" w:ascii="宋体" w:hAnsi="宋体" w:eastAsia="宋体"/>
              </w:rPr>
            </w:pPr>
          </w:p>
          <w:p>
            <w:pPr>
              <w:pStyle w:val="17"/>
              <w:snapToGrid w:val="0"/>
              <w:spacing w:line="360" w:lineRule="auto"/>
              <w:rPr>
                <w:rFonts w:hint="eastAsia" w:ascii="宋体" w:hAnsi="宋体" w:eastAsia="宋体"/>
              </w:rPr>
            </w:pPr>
          </w:p>
          <w:p>
            <w:pPr>
              <w:pStyle w:val="17"/>
              <w:snapToGrid w:val="0"/>
              <w:spacing w:line="360" w:lineRule="auto"/>
              <w:rPr>
                <w:rFonts w:hint="eastAsia" w:ascii="宋体" w:hAnsi="宋体" w:eastAsia="宋体"/>
              </w:rPr>
            </w:pPr>
          </w:p>
          <w:p>
            <w:pPr>
              <w:pStyle w:val="17"/>
              <w:snapToGrid w:val="0"/>
              <w:spacing w:line="360" w:lineRule="auto"/>
              <w:rPr>
                <w:rFonts w:hint="eastAsia" w:ascii="宋体" w:hAnsi="宋体" w:eastAsia="宋体"/>
              </w:rPr>
            </w:pPr>
          </w:p>
          <w:p>
            <w:pPr>
              <w:pStyle w:val="17"/>
              <w:snapToGrid w:val="0"/>
              <w:spacing w:line="360" w:lineRule="auto"/>
              <w:rPr>
                <w:rFonts w:hint="eastAsia" w:ascii="宋体" w:hAnsi="宋体" w:eastAsia="宋体"/>
              </w:rPr>
            </w:pPr>
          </w:p>
          <w:p>
            <w:pPr>
              <w:pStyle w:val="17"/>
              <w:snapToGrid w:val="0"/>
              <w:spacing w:line="360" w:lineRule="auto"/>
              <w:rPr>
                <w:rFonts w:ascii="宋体" w:hAnsi="宋体" w:eastAsia="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1" w:hRule="atLeast"/>
          <w:jc w:val="center"/>
        </w:trPr>
        <w:tc>
          <w:tcPr>
            <w:tcW w:w="9962" w:type="dxa"/>
            <w:vAlign w:val="center"/>
          </w:tcPr>
          <w:p>
            <w:pPr>
              <w:spacing w:line="360" w:lineRule="auto"/>
              <w:rPr>
                <w:rFonts w:ascii="宋体" w:hAnsi="宋体"/>
                <w:b/>
                <w:bCs/>
                <w:color w:val="000000"/>
                <w:sz w:val="24"/>
              </w:rPr>
            </w:pPr>
            <w:r>
              <w:rPr>
                <w:rFonts w:ascii="宋体" w:hAnsi="宋体"/>
                <w:b/>
                <w:bCs/>
                <w:color w:val="000000"/>
                <w:sz w:val="24"/>
              </w:rPr>
              <w:t>原辅材料消耗：</w:t>
            </w:r>
          </w:p>
          <w:p>
            <w:pPr>
              <w:widowControl/>
              <w:adjustRightInd w:val="0"/>
              <w:snapToGri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技改工程完成后产能不变，维持原有的5</w:t>
            </w:r>
            <w:r>
              <w:rPr>
                <w:rFonts w:asciiTheme="minorEastAsia" w:hAnsiTheme="minorEastAsia" w:eastAsiaTheme="minorEastAsia"/>
                <w:color w:val="000000"/>
                <w:sz w:val="24"/>
              </w:rPr>
              <w:t>400t/a</w:t>
            </w:r>
            <w:r>
              <w:rPr>
                <w:rFonts w:hint="eastAsia" w:asciiTheme="minorEastAsia" w:hAnsiTheme="minorEastAsia" w:eastAsiaTheme="minorEastAsia"/>
                <w:color w:val="000000"/>
                <w:sz w:val="24"/>
              </w:rPr>
              <w:t>铸件产品，原辅材料主要有废钢铁（企业所用原料废钢铁不沾染任何油污及油漆）、覆膜砂、石英砂等；能源消耗仍为水和电。主要原辅材料及能源消耗见表4。</w:t>
            </w:r>
          </w:p>
          <w:p>
            <w:pPr>
              <w:adjustRightInd w:val="0"/>
              <w:snapToGrid w:val="0"/>
              <w:spacing w:line="360" w:lineRule="auto"/>
              <w:jc w:val="center"/>
              <w:rPr>
                <w:rFonts w:asciiTheme="minorEastAsia" w:hAnsiTheme="minorEastAsia" w:eastAsiaTheme="minorEastAsia"/>
                <w:bCs/>
                <w:sz w:val="24"/>
              </w:rPr>
            </w:pPr>
            <w:r>
              <w:rPr>
                <w:rFonts w:asciiTheme="minorEastAsia" w:hAnsiTheme="minorEastAsia" w:eastAsiaTheme="minorEastAsia"/>
                <w:bCs/>
                <w:sz w:val="24"/>
              </w:rPr>
              <w:t>表</w:t>
            </w:r>
            <w:r>
              <w:rPr>
                <w:rFonts w:hint="eastAsia" w:asciiTheme="minorEastAsia" w:hAnsiTheme="minorEastAsia" w:eastAsiaTheme="minorEastAsia"/>
                <w:bCs/>
                <w:sz w:val="24"/>
              </w:rPr>
              <w:t>4</w:t>
            </w:r>
            <w:r>
              <w:rPr>
                <w:rFonts w:asciiTheme="minorEastAsia" w:hAnsiTheme="minorEastAsia" w:eastAsiaTheme="minorEastAsia"/>
                <w:bCs/>
                <w:sz w:val="24"/>
              </w:rPr>
              <w:t xml:space="preserve"> 项目主要原辅材料及能源消耗一览表</w:t>
            </w:r>
          </w:p>
          <w:p>
            <w:pPr>
              <w:pStyle w:val="17"/>
              <w:rPr>
                <w:rFonts w:ascii="宋体" w:hAnsi="宋体" w:eastAsia="宋体"/>
              </w:rPr>
            </w:pPr>
          </w:p>
          <w:tbl>
            <w:tblPr>
              <w:tblStyle w:val="12"/>
              <w:tblW w:w="9736"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189"/>
              <w:gridCol w:w="1190"/>
              <w:gridCol w:w="1564"/>
              <w:gridCol w:w="1739"/>
              <w:gridCol w:w="405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b/>
                      <w:szCs w:val="21"/>
                    </w:rPr>
                  </w:pPr>
                  <w:r>
                    <w:rPr>
                      <w:b/>
                      <w:szCs w:val="21"/>
                    </w:rPr>
                    <w:t>序号</w:t>
                  </w:r>
                </w:p>
              </w:tc>
              <w:tc>
                <w:tcPr>
                  <w:tcW w:w="1190" w:type="dxa"/>
                  <w:tcBorders>
                    <w:right w:val="single" w:color="auto" w:sz="4" w:space="0"/>
                  </w:tcBorders>
                  <w:vAlign w:val="center"/>
                </w:tcPr>
                <w:p>
                  <w:pPr>
                    <w:jc w:val="center"/>
                    <w:rPr>
                      <w:b/>
                      <w:szCs w:val="21"/>
                    </w:rPr>
                  </w:pPr>
                  <w:r>
                    <w:rPr>
                      <w:rFonts w:hint="eastAsia"/>
                      <w:b/>
                      <w:szCs w:val="21"/>
                    </w:rPr>
                    <w:t>类别</w:t>
                  </w:r>
                </w:p>
              </w:tc>
              <w:tc>
                <w:tcPr>
                  <w:tcW w:w="1564" w:type="dxa"/>
                  <w:tcBorders>
                    <w:left w:val="single" w:color="auto" w:sz="4" w:space="0"/>
                  </w:tcBorders>
                  <w:vAlign w:val="center"/>
                </w:tcPr>
                <w:p>
                  <w:pPr>
                    <w:jc w:val="center"/>
                    <w:rPr>
                      <w:b/>
                      <w:szCs w:val="21"/>
                    </w:rPr>
                  </w:pPr>
                  <w:r>
                    <w:rPr>
                      <w:b/>
                      <w:szCs w:val="21"/>
                    </w:rPr>
                    <w:t>名称</w:t>
                  </w:r>
                </w:p>
              </w:tc>
              <w:tc>
                <w:tcPr>
                  <w:tcW w:w="1739" w:type="dxa"/>
                  <w:vAlign w:val="center"/>
                </w:tcPr>
                <w:p>
                  <w:pPr>
                    <w:jc w:val="center"/>
                    <w:rPr>
                      <w:b/>
                      <w:szCs w:val="21"/>
                    </w:rPr>
                  </w:pPr>
                  <w:r>
                    <w:rPr>
                      <w:rFonts w:hint="eastAsia"/>
                      <w:b/>
                      <w:szCs w:val="21"/>
                    </w:rPr>
                    <w:t>消耗</w:t>
                  </w:r>
                  <w:r>
                    <w:rPr>
                      <w:b/>
                      <w:szCs w:val="21"/>
                    </w:rPr>
                    <w:t>量</w:t>
                  </w:r>
                </w:p>
              </w:tc>
              <w:tc>
                <w:tcPr>
                  <w:tcW w:w="4054" w:type="dxa"/>
                  <w:vAlign w:val="center"/>
                </w:tcPr>
                <w:p>
                  <w:pPr>
                    <w:jc w:val="center"/>
                    <w:rPr>
                      <w:b/>
                      <w:szCs w:val="21"/>
                    </w:rPr>
                  </w:pPr>
                  <w:r>
                    <w:rPr>
                      <w:rFonts w:hint="eastAsia"/>
                      <w:b/>
                      <w:szCs w:val="21"/>
                    </w:rPr>
                    <w:t>备注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szCs w:val="21"/>
                    </w:rPr>
                  </w:pPr>
                  <w:r>
                    <w:rPr>
                      <w:szCs w:val="21"/>
                    </w:rPr>
                    <w:t>1</w:t>
                  </w:r>
                </w:p>
              </w:tc>
              <w:tc>
                <w:tcPr>
                  <w:tcW w:w="1190" w:type="dxa"/>
                  <w:vMerge w:val="restart"/>
                  <w:tcBorders>
                    <w:right w:val="single" w:color="auto" w:sz="4" w:space="0"/>
                  </w:tcBorders>
                  <w:vAlign w:val="center"/>
                </w:tcPr>
                <w:p>
                  <w:pPr>
                    <w:jc w:val="center"/>
                  </w:pPr>
                  <w:r>
                    <w:rPr>
                      <w:rFonts w:hint="eastAsia"/>
                    </w:rPr>
                    <w:t>原辅</w:t>
                  </w:r>
                </w:p>
                <w:p>
                  <w:pPr>
                    <w:jc w:val="center"/>
                  </w:pPr>
                  <w:r>
                    <w:rPr>
                      <w:rFonts w:hint="eastAsia"/>
                    </w:rPr>
                    <w:t>材料</w:t>
                  </w:r>
                </w:p>
              </w:tc>
              <w:tc>
                <w:tcPr>
                  <w:tcW w:w="1564" w:type="dxa"/>
                  <w:tcBorders>
                    <w:left w:val="single" w:color="auto" w:sz="4" w:space="0"/>
                  </w:tcBorders>
                  <w:vAlign w:val="center"/>
                </w:tcPr>
                <w:p>
                  <w:pPr>
                    <w:jc w:val="center"/>
                  </w:pPr>
                  <w:r>
                    <w:rPr>
                      <w:rFonts w:hint="eastAsia"/>
                    </w:rPr>
                    <w:t>废钢铁</w:t>
                  </w:r>
                </w:p>
              </w:tc>
              <w:tc>
                <w:tcPr>
                  <w:tcW w:w="1739" w:type="dxa"/>
                  <w:vAlign w:val="center"/>
                </w:tcPr>
                <w:p>
                  <w:pPr>
                    <w:jc w:val="center"/>
                  </w:pPr>
                  <w:r>
                    <w:t>5475</w:t>
                  </w:r>
                  <w:r>
                    <w:rPr>
                      <w:rFonts w:hint="eastAsia"/>
                    </w:rPr>
                    <w:t>t</w:t>
                  </w:r>
                  <w:r>
                    <w:t>/a</w:t>
                  </w:r>
                </w:p>
              </w:tc>
              <w:tc>
                <w:tcPr>
                  <w:tcW w:w="4054" w:type="dxa"/>
                  <w:vAlign w:val="center"/>
                </w:tcPr>
                <w:p>
                  <w:pPr>
                    <w:jc w:val="center"/>
                    <w:rPr>
                      <w:szCs w:val="21"/>
                    </w:rPr>
                  </w:pPr>
                  <w:r>
                    <w:rPr>
                      <w:rFonts w:hint="eastAsia"/>
                      <w:szCs w:val="21"/>
                    </w:rPr>
                    <w:t>技改后不变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szCs w:val="21"/>
                    </w:rPr>
                  </w:pPr>
                  <w:r>
                    <w:rPr>
                      <w:szCs w:val="21"/>
                    </w:rPr>
                    <w:t>2</w:t>
                  </w:r>
                </w:p>
              </w:tc>
              <w:tc>
                <w:tcPr>
                  <w:tcW w:w="1190" w:type="dxa"/>
                  <w:vMerge w:val="continue"/>
                  <w:tcBorders>
                    <w:right w:val="single" w:color="auto" w:sz="4" w:space="0"/>
                  </w:tcBorders>
                  <w:vAlign w:val="center"/>
                </w:tcPr>
                <w:p>
                  <w:pPr>
                    <w:jc w:val="center"/>
                  </w:pPr>
                </w:p>
              </w:tc>
              <w:tc>
                <w:tcPr>
                  <w:tcW w:w="1564" w:type="dxa"/>
                  <w:tcBorders>
                    <w:left w:val="single" w:color="auto" w:sz="4" w:space="0"/>
                  </w:tcBorders>
                  <w:vAlign w:val="center"/>
                </w:tcPr>
                <w:p>
                  <w:pPr>
                    <w:jc w:val="center"/>
                  </w:pPr>
                  <w:r>
                    <w:rPr>
                      <w:rFonts w:hint="eastAsia"/>
                    </w:rPr>
                    <w:t>覆膜砂</w:t>
                  </w:r>
                </w:p>
              </w:tc>
              <w:tc>
                <w:tcPr>
                  <w:tcW w:w="1739" w:type="dxa"/>
                  <w:vAlign w:val="center"/>
                </w:tcPr>
                <w:p>
                  <w:pPr>
                    <w:jc w:val="center"/>
                  </w:pPr>
                  <w:r>
                    <w:t>4770</w:t>
                  </w:r>
                  <w:r>
                    <w:rPr>
                      <w:rFonts w:hint="eastAsia"/>
                    </w:rPr>
                    <w:t>t</w:t>
                  </w:r>
                  <w:r>
                    <w:t>/a</w:t>
                  </w:r>
                </w:p>
              </w:tc>
              <w:tc>
                <w:tcPr>
                  <w:tcW w:w="4054" w:type="dxa"/>
                  <w:vAlign w:val="center"/>
                </w:tcPr>
                <w:p>
                  <w:pPr>
                    <w:jc w:val="center"/>
                    <w:rPr>
                      <w:szCs w:val="21"/>
                    </w:rPr>
                  </w:pPr>
                  <w:r>
                    <w:rPr>
                      <w:rFonts w:hint="eastAsia"/>
                      <w:szCs w:val="21"/>
                    </w:rPr>
                    <w:t>技改后不变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szCs w:val="21"/>
                    </w:rPr>
                  </w:pPr>
                  <w:r>
                    <w:rPr>
                      <w:szCs w:val="21"/>
                    </w:rPr>
                    <w:t>3</w:t>
                  </w:r>
                </w:p>
              </w:tc>
              <w:tc>
                <w:tcPr>
                  <w:tcW w:w="1190" w:type="dxa"/>
                  <w:vMerge w:val="continue"/>
                  <w:tcBorders>
                    <w:right w:val="single" w:color="auto" w:sz="4" w:space="0"/>
                  </w:tcBorders>
                  <w:vAlign w:val="center"/>
                </w:tcPr>
                <w:p>
                  <w:pPr>
                    <w:jc w:val="center"/>
                  </w:pPr>
                </w:p>
              </w:tc>
              <w:tc>
                <w:tcPr>
                  <w:tcW w:w="1564" w:type="dxa"/>
                  <w:tcBorders>
                    <w:left w:val="single" w:color="auto" w:sz="4" w:space="0"/>
                  </w:tcBorders>
                  <w:vAlign w:val="center"/>
                </w:tcPr>
                <w:p>
                  <w:pPr>
                    <w:jc w:val="center"/>
                  </w:pPr>
                  <w:r>
                    <w:rPr>
                      <w:rFonts w:hint="eastAsia"/>
                    </w:rPr>
                    <w:t>石英砂</w:t>
                  </w:r>
                </w:p>
              </w:tc>
              <w:tc>
                <w:tcPr>
                  <w:tcW w:w="1739" w:type="dxa"/>
                  <w:vAlign w:val="center"/>
                </w:tcPr>
                <w:p>
                  <w:pPr>
                    <w:jc w:val="center"/>
                  </w:pPr>
                  <w:r>
                    <w:t>100</w:t>
                  </w:r>
                  <w:r>
                    <w:rPr>
                      <w:rFonts w:hint="eastAsia"/>
                    </w:rPr>
                    <w:t>t</w:t>
                  </w:r>
                  <w:r>
                    <w:t>/a</w:t>
                  </w:r>
                </w:p>
              </w:tc>
              <w:tc>
                <w:tcPr>
                  <w:tcW w:w="4054" w:type="dxa"/>
                  <w:vAlign w:val="center"/>
                </w:tcPr>
                <w:p>
                  <w:pPr>
                    <w:jc w:val="center"/>
                  </w:pPr>
                  <w:r>
                    <w:rPr>
                      <w:rFonts w:hint="eastAsia"/>
                      <w:szCs w:val="21"/>
                    </w:rPr>
                    <w:t>技改后不变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szCs w:val="21"/>
                    </w:rPr>
                  </w:pPr>
                  <w:r>
                    <w:rPr>
                      <w:rFonts w:hint="eastAsia"/>
                      <w:szCs w:val="21"/>
                    </w:rPr>
                    <w:t>4</w:t>
                  </w:r>
                </w:p>
              </w:tc>
              <w:tc>
                <w:tcPr>
                  <w:tcW w:w="1190" w:type="dxa"/>
                  <w:vMerge w:val="continue"/>
                  <w:tcBorders>
                    <w:right w:val="single" w:color="auto" w:sz="4" w:space="0"/>
                  </w:tcBorders>
                  <w:vAlign w:val="center"/>
                </w:tcPr>
                <w:p>
                  <w:pPr>
                    <w:jc w:val="center"/>
                  </w:pPr>
                </w:p>
              </w:tc>
              <w:tc>
                <w:tcPr>
                  <w:tcW w:w="1564" w:type="dxa"/>
                  <w:tcBorders>
                    <w:left w:val="single" w:color="auto" w:sz="4" w:space="0"/>
                  </w:tcBorders>
                  <w:vAlign w:val="center"/>
                </w:tcPr>
                <w:p>
                  <w:pPr>
                    <w:jc w:val="center"/>
                  </w:pPr>
                  <w:r>
                    <w:rPr>
                      <w:rFonts w:hint="eastAsia"/>
                    </w:rPr>
                    <w:t>抛丸铁砂</w:t>
                  </w:r>
                </w:p>
              </w:tc>
              <w:tc>
                <w:tcPr>
                  <w:tcW w:w="1739" w:type="dxa"/>
                  <w:vAlign w:val="center"/>
                </w:tcPr>
                <w:p>
                  <w:pPr>
                    <w:jc w:val="center"/>
                  </w:pPr>
                  <w:r>
                    <w:rPr>
                      <w:rFonts w:hint="eastAsia"/>
                    </w:rPr>
                    <w:t>1</w:t>
                  </w:r>
                  <w:r>
                    <w:t>8t/a</w:t>
                  </w:r>
                </w:p>
              </w:tc>
              <w:tc>
                <w:tcPr>
                  <w:tcW w:w="4054" w:type="dxa"/>
                  <w:vAlign w:val="center"/>
                </w:tcPr>
                <w:p>
                  <w:pPr>
                    <w:jc w:val="center"/>
                  </w:pPr>
                  <w:r>
                    <w:rPr>
                      <w:rFonts w:hint="eastAsia"/>
                      <w:szCs w:val="21"/>
                    </w:rPr>
                    <w:t>技改后不变</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szCs w:val="21"/>
                    </w:rPr>
                  </w:pPr>
                  <w:r>
                    <w:rPr>
                      <w:szCs w:val="21"/>
                    </w:rPr>
                    <w:t>1</w:t>
                  </w:r>
                </w:p>
              </w:tc>
              <w:tc>
                <w:tcPr>
                  <w:tcW w:w="1190" w:type="dxa"/>
                  <w:vMerge w:val="restart"/>
                  <w:tcBorders>
                    <w:right w:val="single" w:color="auto" w:sz="4" w:space="0"/>
                  </w:tcBorders>
                  <w:vAlign w:val="center"/>
                </w:tcPr>
                <w:p>
                  <w:pPr>
                    <w:jc w:val="center"/>
                  </w:pPr>
                  <w:r>
                    <w:rPr>
                      <w:rFonts w:hint="eastAsia"/>
                    </w:rPr>
                    <w:t>能源</w:t>
                  </w:r>
                </w:p>
                <w:p>
                  <w:pPr>
                    <w:jc w:val="center"/>
                  </w:pPr>
                  <w:r>
                    <w:rPr>
                      <w:rFonts w:hint="eastAsia"/>
                    </w:rPr>
                    <w:t>消耗</w:t>
                  </w:r>
                </w:p>
              </w:tc>
              <w:tc>
                <w:tcPr>
                  <w:tcW w:w="1564" w:type="dxa"/>
                  <w:tcBorders>
                    <w:left w:val="single" w:color="auto" w:sz="4" w:space="0"/>
                  </w:tcBorders>
                  <w:vAlign w:val="center"/>
                </w:tcPr>
                <w:p>
                  <w:pPr>
                    <w:jc w:val="center"/>
                  </w:pPr>
                  <w:r>
                    <w:rPr>
                      <w:rFonts w:hint="eastAsia"/>
                    </w:rPr>
                    <w:t>电</w:t>
                  </w:r>
                </w:p>
              </w:tc>
              <w:tc>
                <w:tcPr>
                  <w:tcW w:w="1739" w:type="dxa"/>
                  <w:vAlign w:val="center"/>
                </w:tcPr>
                <w:p>
                  <w:pPr>
                    <w:jc w:val="center"/>
                  </w:pPr>
                  <w:r>
                    <w:rPr>
                      <w:color w:val="000000"/>
                      <w:szCs w:val="21"/>
                    </w:rPr>
                    <w:t>4.12</w:t>
                  </w:r>
                  <w:r>
                    <w:rPr>
                      <w:rFonts w:hint="eastAsia"/>
                      <w:color w:val="000000"/>
                      <w:szCs w:val="21"/>
                    </w:rPr>
                    <w:t>×1</w:t>
                  </w:r>
                  <w:r>
                    <w:rPr>
                      <w:color w:val="000000"/>
                      <w:szCs w:val="21"/>
                    </w:rPr>
                    <w:t>0</w:t>
                  </w:r>
                  <w:r>
                    <w:rPr>
                      <w:color w:val="000000"/>
                      <w:szCs w:val="21"/>
                      <w:vertAlign w:val="superscript"/>
                    </w:rPr>
                    <w:t>6</w:t>
                  </w:r>
                  <w:r>
                    <w:rPr>
                      <w:rFonts w:hint="eastAsia"/>
                      <w:color w:val="000000"/>
                      <w:szCs w:val="21"/>
                    </w:rPr>
                    <w:t>kwh</w:t>
                  </w:r>
                  <w:r>
                    <w:rPr>
                      <w:color w:val="000000"/>
                      <w:szCs w:val="21"/>
                    </w:rPr>
                    <w:t>/</w:t>
                  </w:r>
                  <w:r>
                    <w:rPr>
                      <w:rFonts w:hint="eastAsia"/>
                      <w:color w:val="000000"/>
                      <w:szCs w:val="21"/>
                    </w:rPr>
                    <w:t>a</w:t>
                  </w:r>
                </w:p>
              </w:tc>
              <w:tc>
                <w:tcPr>
                  <w:tcW w:w="4054" w:type="dxa"/>
                  <w:vAlign w:val="center"/>
                </w:tcPr>
                <w:p>
                  <w:pPr>
                    <w:jc w:val="center"/>
                    <w:rPr>
                      <w:szCs w:val="21"/>
                    </w:rPr>
                  </w:pPr>
                  <w:r>
                    <w:rPr>
                      <w:rFonts w:hint="eastAsia"/>
                      <w:szCs w:val="21"/>
                    </w:rPr>
                    <w:t>技改后增加用电量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1189" w:type="dxa"/>
                  <w:vAlign w:val="center"/>
                </w:tcPr>
                <w:p>
                  <w:pPr>
                    <w:jc w:val="center"/>
                    <w:rPr>
                      <w:szCs w:val="21"/>
                    </w:rPr>
                  </w:pPr>
                  <w:r>
                    <w:rPr>
                      <w:szCs w:val="21"/>
                    </w:rPr>
                    <w:t>2</w:t>
                  </w:r>
                </w:p>
              </w:tc>
              <w:tc>
                <w:tcPr>
                  <w:tcW w:w="1190" w:type="dxa"/>
                  <w:vMerge w:val="continue"/>
                  <w:tcBorders>
                    <w:right w:val="single" w:color="auto" w:sz="4" w:space="0"/>
                  </w:tcBorders>
                  <w:vAlign w:val="center"/>
                </w:tcPr>
                <w:p>
                  <w:pPr>
                    <w:jc w:val="center"/>
                  </w:pPr>
                </w:p>
              </w:tc>
              <w:tc>
                <w:tcPr>
                  <w:tcW w:w="1564" w:type="dxa"/>
                  <w:tcBorders>
                    <w:left w:val="single" w:color="auto" w:sz="4" w:space="0"/>
                  </w:tcBorders>
                  <w:vAlign w:val="center"/>
                </w:tcPr>
                <w:p>
                  <w:pPr>
                    <w:jc w:val="center"/>
                    <w:rPr>
                      <w:color w:val="000000"/>
                    </w:rPr>
                  </w:pPr>
                  <w:r>
                    <w:rPr>
                      <w:rFonts w:hint="eastAsia"/>
                      <w:color w:val="000000"/>
                    </w:rPr>
                    <w:t>水</w:t>
                  </w:r>
                </w:p>
              </w:tc>
              <w:tc>
                <w:tcPr>
                  <w:tcW w:w="1739" w:type="dxa"/>
                  <w:vAlign w:val="center"/>
                </w:tcPr>
                <w:p>
                  <w:pPr>
                    <w:jc w:val="center"/>
                    <w:rPr>
                      <w:color w:val="000000"/>
                    </w:rPr>
                  </w:pPr>
                  <w:r>
                    <w:rPr>
                      <w:color w:val="000000"/>
                    </w:rPr>
                    <w:t>43m</w:t>
                  </w:r>
                  <w:r>
                    <w:rPr>
                      <w:color w:val="000000"/>
                      <w:vertAlign w:val="superscript"/>
                    </w:rPr>
                    <w:t>3</w:t>
                  </w:r>
                  <w:r>
                    <w:rPr>
                      <w:color w:val="000000"/>
                    </w:rPr>
                    <w:t>/</w:t>
                  </w:r>
                  <w:r>
                    <w:rPr>
                      <w:rFonts w:hint="eastAsia"/>
                      <w:color w:val="000000"/>
                    </w:rPr>
                    <w:t>d</w:t>
                  </w:r>
                </w:p>
              </w:tc>
              <w:tc>
                <w:tcPr>
                  <w:tcW w:w="4054" w:type="dxa"/>
                  <w:vAlign w:val="center"/>
                </w:tcPr>
                <w:p>
                  <w:pPr>
                    <w:jc w:val="center"/>
                    <w:rPr>
                      <w:color w:val="000000"/>
                      <w:szCs w:val="21"/>
                    </w:rPr>
                  </w:pPr>
                  <w:r>
                    <w:rPr>
                      <w:rFonts w:hint="eastAsia"/>
                      <w:color w:val="000000"/>
                      <w:szCs w:val="21"/>
                    </w:rPr>
                    <w:t>技改后增加用水量</w:t>
                  </w:r>
                </w:p>
              </w:tc>
            </w:tr>
          </w:tbl>
          <w:p>
            <w:pPr>
              <w:pStyle w:val="17"/>
              <w:snapToGrid w:val="0"/>
              <w:spacing w:line="480" w:lineRule="exact"/>
              <w:rPr>
                <w:rFonts w:asciiTheme="minorEastAsia" w:hAnsiTheme="minorEastAsia" w:eastAsiaTheme="minorEastAsia"/>
              </w:rPr>
            </w:pPr>
          </w:p>
          <w:p>
            <w:pPr>
              <w:widowControl/>
              <w:adjustRightInd w:val="0"/>
              <w:snapToGri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主要原辅材料理化性质：</w:t>
            </w:r>
          </w:p>
          <w:p>
            <w:pPr>
              <w:widowControl/>
              <w:adjustRightInd w:val="0"/>
              <w:snapToGri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覆膜砂</w:t>
            </w:r>
            <w:r>
              <w:rPr>
                <w:rFonts w:asciiTheme="minorEastAsia" w:hAnsiTheme="minorEastAsia" w:eastAsiaTheme="minorEastAsia"/>
                <w:color w:val="000000"/>
                <w:sz w:val="24"/>
              </w:rPr>
              <w:t>为外购成品砂</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直径</w:t>
            </w:r>
            <w:r>
              <w:rPr>
                <w:rFonts w:hint="eastAsia" w:asciiTheme="minorEastAsia" w:hAnsiTheme="minorEastAsia" w:eastAsiaTheme="minorEastAsia"/>
                <w:color w:val="000000"/>
                <w:sz w:val="24"/>
              </w:rPr>
              <w:t>7</w:t>
            </w:r>
            <w:r>
              <w:rPr>
                <w:rFonts w:asciiTheme="minorEastAsia" w:hAnsiTheme="minorEastAsia" w:eastAsiaTheme="minorEastAsia"/>
                <w:color w:val="000000"/>
                <w:sz w:val="24"/>
              </w:rPr>
              <w:t>0</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140目</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表面有</w:t>
            </w:r>
            <w:r>
              <w:rPr>
                <w:rFonts w:hint="eastAsia" w:asciiTheme="minorEastAsia" w:hAnsiTheme="minorEastAsia" w:eastAsiaTheme="minorEastAsia"/>
                <w:color w:val="000000"/>
                <w:sz w:val="24"/>
              </w:rPr>
              <w:t>酚醛树脂涂层（含量1</w:t>
            </w:r>
            <w:r>
              <w:rPr>
                <w:rFonts w:asciiTheme="minorEastAsia" w:hAnsiTheme="minorEastAsia" w:eastAsiaTheme="minorEastAsia"/>
                <w:color w:val="000000"/>
                <w:sz w:val="24"/>
              </w:rPr>
              <w:t>.8</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起到粘合作用</w:t>
            </w:r>
            <w:r>
              <w:rPr>
                <w:rFonts w:hint="eastAsia" w:asciiTheme="minorEastAsia" w:hAnsiTheme="minorEastAsia" w:eastAsiaTheme="minorEastAsia"/>
                <w:color w:val="000000"/>
                <w:sz w:val="24"/>
              </w:rPr>
              <w:t>。</w:t>
            </w:r>
          </w:p>
          <w:p>
            <w:pPr>
              <w:adjustRightInd w:val="0"/>
              <w:snapToGrid w:val="0"/>
              <w:spacing w:line="360" w:lineRule="auto"/>
              <w:ind w:firstLine="480" w:firstLineChars="200"/>
              <w:rPr>
                <w:rFonts w:asciiTheme="minorEastAsia" w:hAnsiTheme="minorEastAsia" w:eastAsiaTheme="minorEastAsia"/>
                <w:bCs/>
                <w:color w:val="000000"/>
                <w:sz w:val="24"/>
              </w:rPr>
            </w:pPr>
            <w:r>
              <w:rPr>
                <w:rFonts w:hint="eastAsia" w:asciiTheme="minorEastAsia" w:hAnsiTheme="minorEastAsia" w:eastAsiaTheme="minorEastAsia"/>
                <w:bCs/>
                <w:color w:val="000000"/>
                <w:sz w:val="24"/>
              </w:rPr>
              <w:t>酚醛树脂：也叫电木，又称电木粉，原为无色或黄褐色透明物，市场销售往往加着色剂而成红、黄、黑、绿、棕、蓝等颜色，有颗粒、粉末状；引燃温度（℃）：42</w:t>
            </w:r>
            <w:r>
              <w:rPr>
                <w:rFonts w:asciiTheme="minorEastAsia" w:hAnsiTheme="minorEastAsia" w:eastAsiaTheme="minorEastAsia"/>
                <w:bCs/>
                <w:color w:val="000000"/>
                <w:sz w:val="24"/>
              </w:rPr>
              <w:t>0</w:t>
            </w:r>
            <w:r>
              <w:rPr>
                <w:rFonts w:hint="eastAsia" w:asciiTheme="minorEastAsia" w:hAnsiTheme="minorEastAsia" w:eastAsiaTheme="minorEastAsia"/>
                <w:bCs/>
                <w:color w:val="000000"/>
                <w:sz w:val="24"/>
              </w:rPr>
              <w:t>℃，分解温度不低于200℃。耐弱酸和弱碱，遇强酸发生分解，遇强碱发生腐蚀；不溶于水，溶于丙酮、酒精等有机溶剂中，易燃，遇明火或高温能燃烧，燃烧分解物为一氧化碳、二氧化碳。</w:t>
            </w:r>
          </w:p>
          <w:p>
            <w:pPr>
              <w:pStyle w:val="17"/>
              <w:snapToGrid w:val="0"/>
              <w:spacing w:line="360" w:lineRule="auto"/>
              <w:rPr>
                <w:rFonts w:asciiTheme="minorEastAsia" w:hAnsiTheme="minorEastAsia" w:eastAsiaTheme="minorEastAsia"/>
              </w:rPr>
            </w:pPr>
          </w:p>
          <w:p>
            <w:pPr>
              <w:pStyle w:val="17"/>
              <w:snapToGrid w:val="0"/>
              <w:spacing w:line="480" w:lineRule="exact"/>
              <w:rPr>
                <w:rFonts w:asciiTheme="minorEastAsia" w:hAnsiTheme="minorEastAsia" w:eastAsiaTheme="minorEastAsia"/>
              </w:rPr>
            </w:pPr>
          </w:p>
          <w:p>
            <w:pPr>
              <w:pStyle w:val="17"/>
              <w:rPr>
                <w:rFonts w:ascii="宋体" w:hAnsi="宋体" w:eastAsia="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vAlign w:val="center"/>
          </w:tcPr>
          <w:p>
            <w:pPr>
              <w:adjustRightInd w:val="0"/>
              <w:snapToGrid w:val="0"/>
              <w:spacing w:line="360" w:lineRule="auto"/>
              <w:rPr>
                <w:rFonts w:asciiTheme="minorEastAsia" w:hAnsiTheme="minorEastAsia" w:eastAsiaTheme="minorEastAsia"/>
                <w:color w:val="000000"/>
                <w:sz w:val="28"/>
                <w:szCs w:val="28"/>
              </w:rPr>
            </w:pPr>
            <w:r>
              <w:rPr>
                <w:rFonts w:asciiTheme="minorEastAsia" w:hAnsiTheme="minorEastAsia" w:eastAsiaTheme="minorEastAsia"/>
                <w:b/>
                <w:bCs/>
                <w:color w:val="000000"/>
                <w:sz w:val="28"/>
                <w:szCs w:val="28"/>
              </w:rPr>
              <w:t>主要工艺流程及产物</w:t>
            </w:r>
            <w:r>
              <w:rPr>
                <w:rFonts w:hint="eastAsia" w:asciiTheme="minorEastAsia" w:hAnsiTheme="minorEastAsia" w:eastAsiaTheme="minorEastAsia"/>
                <w:b/>
                <w:bCs/>
                <w:color w:val="000000"/>
                <w:sz w:val="28"/>
                <w:szCs w:val="28"/>
              </w:rPr>
              <w:t>分析</w:t>
            </w:r>
            <w:r>
              <w:rPr>
                <w:rFonts w:asciiTheme="minorEastAsia" w:hAnsiTheme="minorEastAsia" w:eastAsiaTheme="minorEastAsia"/>
                <w:b/>
                <w:bCs/>
                <w:color w:val="000000"/>
                <w:sz w:val="28"/>
                <w:szCs w:val="28"/>
              </w:rPr>
              <w:t>环节</w:t>
            </w:r>
            <w:r>
              <w:rPr>
                <w:rFonts w:hint="eastAsia" w:asciiTheme="minorEastAsia" w:hAnsiTheme="minorEastAsia" w:eastAsiaTheme="minorEastAsia"/>
                <w:b/>
                <w:bCs/>
                <w:color w:val="000000"/>
                <w:sz w:val="28"/>
                <w:szCs w:val="28"/>
              </w:rPr>
              <w:t>：</w:t>
            </w:r>
            <w:bookmarkStart w:id="1" w:name="_Toc22311"/>
            <w:bookmarkStart w:id="2" w:name="_Toc10926"/>
          </w:p>
          <w:p>
            <w:pPr>
              <w:adjustRightInd w:val="0"/>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主要工艺环节说明:</w:t>
            </w:r>
          </w:p>
          <w:bookmarkEnd w:id="1"/>
          <w:bookmarkEnd w:id="2"/>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（1）中频电炉熔化</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设备：本项目熔化工序主要设备为两台0</w:t>
            </w:r>
            <w:r>
              <w:rPr>
                <w:rFonts w:asciiTheme="minorEastAsia" w:hAnsiTheme="minorEastAsia" w:eastAsiaTheme="minorEastAsia"/>
                <w:color w:val="000000"/>
                <w:sz w:val="24"/>
                <w:szCs w:val="24"/>
              </w:rPr>
              <w:t>.5t</w:t>
            </w:r>
            <w:r>
              <w:rPr>
                <w:rFonts w:hint="eastAsia" w:asciiTheme="minorEastAsia" w:hAnsiTheme="minorEastAsia" w:eastAsiaTheme="minorEastAsia"/>
                <w:color w:val="000000"/>
                <w:sz w:val="24"/>
                <w:szCs w:val="24"/>
              </w:rPr>
              <w:t>中频电炉（一备一用），熔化工序会产生废气颗粒物（G</w:t>
            </w:r>
            <w:r>
              <w:rPr>
                <w:rFonts w:asciiTheme="minorEastAsia" w:hAnsiTheme="minorEastAsia" w:eastAsiaTheme="minorEastAsia"/>
                <w:color w:val="000000"/>
                <w:sz w:val="24"/>
                <w:szCs w:val="24"/>
              </w:rPr>
              <w:t>1</w:t>
            </w:r>
            <w:r>
              <w:rPr>
                <w:rFonts w:hint="eastAsia" w:asciiTheme="minorEastAsia" w:hAnsiTheme="minorEastAsia" w:eastAsiaTheme="minorEastAsia"/>
                <w:color w:val="000000"/>
                <w:sz w:val="24"/>
                <w:szCs w:val="24"/>
              </w:rPr>
              <w:t>）、固体废物废石英砂；熔化工序配套的环保设施为顶吸式集气罩+布袋除尘器+</w:t>
            </w:r>
            <w:r>
              <w:rPr>
                <w:rFonts w:asciiTheme="minorEastAsia" w:hAnsiTheme="minorEastAsia" w:eastAsiaTheme="minorEastAsia"/>
                <w:color w:val="000000"/>
                <w:sz w:val="24"/>
                <w:szCs w:val="24"/>
              </w:rPr>
              <w:t>15m</w:t>
            </w:r>
            <w:r>
              <w:rPr>
                <w:rFonts w:hint="eastAsia" w:asciiTheme="minorEastAsia" w:hAnsiTheme="minorEastAsia" w:eastAsiaTheme="minorEastAsia"/>
                <w:color w:val="000000"/>
                <w:sz w:val="24"/>
                <w:szCs w:val="24"/>
              </w:rPr>
              <w:t>高排气筒（</w:t>
            </w:r>
            <w:r>
              <w:rPr>
                <w:rFonts w:asciiTheme="minorEastAsia" w:hAnsiTheme="minorEastAsia" w:eastAsiaTheme="minorEastAsia"/>
                <w:color w:val="000000"/>
                <w:sz w:val="24"/>
                <w:szCs w:val="24"/>
              </w:rPr>
              <w:t>P1</w:t>
            </w:r>
            <w:r>
              <w:rPr>
                <w:rFonts w:hint="eastAsia" w:asciiTheme="minorEastAsia" w:hAnsiTheme="minorEastAsia" w:eastAsiaTheme="minorEastAsia"/>
                <w:color w:val="000000"/>
                <w:sz w:val="24"/>
                <w:szCs w:val="24"/>
              </w:rPr>
              <w:t>）排放，废石英砂冷却区内袋装暂存，交由生产厂家回收。</w:t>
            </w:r>
          </w:p>
          <w:p>
            <w:pPr>
              <w:pStyle w:val="17"/>
              <w:snapToGrid w:val="0"/>
              <w:spacing w:line="480" w:lineRule="exact"/>
              <w:rPr>
                <w:rFonts w:cs="Times New Roman" w:asciiTheme="minorEastAsia" w:hAnsiTheme="minorEastAsia" w:eastAsiaTheme="minorEastAsia"/>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jc w:val="center"/>
              <w:rPr>
                <w:rFonts w:ascii="宋体" w:hAnsi="宋体" w:eastAsia="宋体" w:cs="Times New Roman"/>
              </w:rPr>
            </w:pPr>
            <w:r>
              <w:rPr>
                <w:rFonts w:hint="eastAsia" w:ascii="宋体" w:hAnsi="宋体"/>
              </w:rPr>
              <w:drawing>
                <wp:inline distT="0" distB="0" distL="0" distR="0">
                  <wp:extent cx="5167630" cy="786765"/>
                  <wp:effectExtent l="19050" t="0" r="0"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noChangeArrowheads="1"/>
                          </pic:cNvPicPr>
                        </pic:nvPicPr>
                        <pic:blipFill>
                          <a:blip r:embed="rId6"/>
                          <a:srcRect/>
                          <a:stretch>
                            <a:fillRect/>
                          </a:stretch>
                        </pic:blipFill>
                        <pic:spPr>
                          <a:xfrm>
                            <a:off x="0" y="0"/>
                            <a:ext cx="5167630" cy="786765"/>
                          </a:xfrm>
                          <a:prstGeom prst="rect">
                            <a:avLst/>
                          </a:prstGeom>
                          <a:noFill/>
                          <a:ln w="9525">
                            <a:noFill/>
                            <a:miter lim="800000"/>
                            <a:headEnd/>
                            <a:tailEnd/>
                          </a:ln>
                        </pic:spPr>
                      </pic:pic>
                    </a:graphicData>
                  </a:graphic>
                </wp:inline>
              </w:drawing>
            </w:r>
          </w:p>
          <w:p>
            <w:pPr>
              <w:pStyle w:val="17"/>
              <w:snapToGrid w:val="0"/>
              <w:spacing w:line="480" w:lineRule="exact"/>
              <w:rPr>
                <w:rFonts w:cs="Times New Roman" w:asciiTheme="minorEastAsia" w:hAnsiTheme="minorEastAsia" w:eastAsiaTheme="minorEastAsia"/>
              </w:rPr>
            </w:pPr>
          </w:p>
          <w:p>
            <w:pPr>
              <w:pStyle w:val="17"/>
              <w:snapToGrid w:val="0"/>
              <w:spacing w:line="360" w:lineRule="auto"/>
              <w:jc w:val="center"/>
              <w:rPr>
                <w:rFonts w:cs="Times New Roman" w:asciiTheme="minorEastAsia" w:hAnsiTheme="minorEastAsia" w:eastAsiaTheme="minorEastAsia"/>
              </w:rPr>
            </w:pPr>
            <w:r>
              <w:rPr>
                <w:rFonts w:hint="eastAsia" w:cs="Times New Roman" w:asciiTheme="minorEastAsia" w:hAnsiTheme="minorEastAsia" w:eastAsiaTheme="minorEastAsia"/>
              </w:rPr>
              <w:t>图2 中频电炉废气处理工艺流程图</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金属料：本项目以废钢铁为生产铸件的主要原材料，废钢铁不沾染油污及油漆，利用废钢铁铁可节约生铁用量，降低铸件成本；废钢铁可降低铁水碳含量，提高铸件的力学性能，增加铸件的精密度。</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中频电炉的熔化原理及工艺流程：中频电炉工作原理是利用中频电源建立中频磁场，使铁磁材料内部产生感应涡流并发热，达到加热材料的目的。中频加热炉采用 200-2500Hz中频电源进行感应加热，熔炼保温。将投入到中频电炉中的废钢铁熔化1</w:t>
            </w:r>
            <w:r>
              <w:rPr>
                <w:rFonts w:asciiTheme="minorEastAsia" w:hAnsiTheme="minorEastAsia" w:eastAsiaTheme="minorEastAsia"/>
                <w:color w:val="000000"/>
                <w:sz w:val="24"/>
                <w:szCs w:val="24"/>
              </w:rPr>
              <w:t>570</w:t>
            </w:r>
            <w:r>
              <w:rPr>
                <w:rFonts w:hint="eastAsia" w:asciiTheme="minorEastAsia" w:hAnsiTheme="minorEastAsia" w:eastAsiaTheme="minorEastAsia"/>
                <w:color w:val="000000"/>
                <w:sz w:val="24"/>
                <w:szCs w:val="24"/>
              </w:rPr>
              <w:t>℃左右成为钢液，将熔化好的钢液倒入浇铸专用的钢包里，用测温枪测温降到1380℃时再进行浇铸。</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（2）造型、成型码垛</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本项目购入覆膜砂，将覆膜砂通过气管吹射到加热温度为2</w:t>
            </w:r>
            <w:r>
              <w:rPr>
                <w:rFonts w:asciiTheme="minorEastAsia" w:hAnsiTheme="minorEastAsia" w:eastAsiaTheme="minorEastAsia"/>
                <w:color w:val="000000"/>
                <w:sz w:val="24"/>
                <w:szCs w:val="24"/>
              </w:rPr>
              <w:t>10-300</w:t>
            </w:r>
            <w:r>
              <w:rPr>
                <w:rFonts w:hint="eastAsia" w:asciiTheme="minorEastAsia" w:hAnsiTheme="minorEastAsia" w:eastAsiaTheme="minorEastAsia"/>
                <w:color w:val="000000"/>
                <w:sz w:val="24"/>
                <w:szCs w:val="24"/>
              </w:rPr>
              <w:t>℃的芯盒内，不同的产品选择对应的芯盒，贴近芯盒表面的砂芯受热，其粘结剂在3</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秒左右即可缩聚并硬化，酚醛树脂发生固化反应，形成热固性材料。固化成型后，取出砂壳，码放到浇铸用的托盘上，每盘三垛，完成后</w:t>
            </w:r>
            <w:r>
              <w:rPr>
                <w:rFonts w:hint="eastAsia" w:asciiTheme="minorEastAsia" w:hAnsiTheme="minorEastAsia" w:eastAsiaTheme="minorEastAsia"/>
                <w:sz w:val="24"/>
              </w:rPr>
              <w:t>用装载车搬运到浇铸区，等待浇铸。造型产出的砂壳有边角破损的不合格品，不合格品人工碾碎后，返回生产工艺再利用。</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在固化温度下，酚醛树脂不会发生降解，但由于覆膜砂中含有一定量的酚、甲醛等单体，在固化过程中产生一定量的V</w:t>
            </w:r>
            <w:r>
              <w:rPr>
                <w:rFonts w:asciiTheme="minorEastAsia" w:hAnsiTheme="minorEastAsia" w:eastAsiaTheme="minorEastAsia"/>
                <w:color w:val="000000"/>
                <w:sz w:val="24"/>
                <w:szCs w:val="24"/>
              </w:rPr>
              <w:t>OCs</w:t>
            </w:r>
            <w:r>
              <w:rPr>
                <w:rFonts w:hint="eastAsia" w:asciiTheme="minorEastAsia" w:hAnsiTheme="minorEastAsia" w:eastAsiaTheme="minorEastAsia"/>
                <w:color w:val="000000"/>
                <w:sz w:val="24"/>
                <w:szCs w:val="24"/>
              </w:rPr>
              <w:t>，以非甲烷总烃计（G</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（3）浇铸、冷却脱壳</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中频电炉熔化好的钢液由出液口排入浇铸专用的钢包里，由工人用手推车送到浇铸工序，用测温枪对钢液测温到1380℃时，由浇铸工人将钢液注入码垛好的砂壳，浇铸过程中会有少量颗粒物及V</w:t>
            </w:r>
            <w:r>
              <w:rPr>
                <w:rFonts w:asciiTheme="minorEastAsia" w:hAnsiTheme="minorEastAsia" w:eastAsiaTheme="minorEastAsia"/>
                <w:color w:val="000000"/>
                <w:sz w:val="24"/>
                <w:szCs w:val="24"/>
              </w:rPr>
              <w:t>OCs</w:t>
            </w:r>
            <w:r>
              <w:rPr>
                <w:rFonts w:hint="eastAsia" w:asciiTheme="minorEastAsia" w:hAnsiTheme="minorEastAsia" w:eastAsiaTheme="minorEastAsia"/>
                <w:color w:val="000000"/>
                <w:sz w:val="24"/>
                <w:szCs w:val="24"/>
              </w:rPr>
              <w:t>产生，V</w:t>
            </w:r>
            <w:r>
              <w:rPr>
                <w:rFonts w:asciiTheme="minorEastAsia" w:hAnsiTheme="minorEastAsia" w:eastAsiaTheme="minorEastAsia"/>
                <w:color w:val="000000"/>
                <w:sz w:val="24"/>
                <w:szCs w:val="24"/>
              </w:rPr>
              <w:t>OCs</w:t>
            </w:r>
            <w:r>
              <w:rPr>
                <w:rFonts w:hint="eastAsia" w:asciiTheme="minorEastAsia" w:hAnsiTheme="minorEastAsia" w:eastAsiaTheme="minorEastAsia"/>
                <w:color w:val="000000"/>
                <w:sz w:val="24"/>
                <w:szCs w:val="24"/>
              </w:rPr>
              <w:t>以非甲烷总烃计（G</w:t>
            </w:r>
            <w:r>
              <w:rPr>
                <w:rFonts w:asciiTheme="minorEastAsia" w:hAnsiTheme="minorEastAsia" w:eastAsiaTheme="minorEastAsia"/>
                <w:color w:val="000000"/>
                <w:sz w:val="24"/>
                <w:szCs w:val="24"/>
              </w:rPr>
              <w:t>3</w:t>
            </w:r>
            <w:r>
              <w:rPr>
                <w:rFonts w:hint="eastAsia" w:asciiTheme="minorEastAsia" w:hAnsiTheme="minorEastAsia" w:eastAsiaTheme="minorEastAsia"/>
                <w:color w:val="000000"/>
                <w:sz w:val="24"/>
                <w:szCs w:val="24"/>
              </w:rPr>
              <w:t>），待铸件凝固成型，用装载机搬运到自然冷却区进行自然冷却。冷却2个小时左右，铸件冷却到7</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80</w:t>
            </w:r>
            <w:r>
              <w:rPr>
                <w:rFonts w:hint="eastAsia" w:asciiTheme="minorEastAsia" w:hAnsiTheme="minorEastAsia" w:eastAsiaTheme="minorEastAsia"/>
                <w:color w:val="000000"/>
                <w:sz w:val="24"/>
                <w:szCs w:val="24"/>
              </w:rPr>
              <w:t>℃左右。</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装载机将浇铸好的铸件放落到冷却区过程中，废砂受重力作用，大部分砂从铸件上自然脱落，脱落的废砂袋装后，再经苫布覆盖暂存在冷却区内，冷却区三面围挡，进出口设置苫布围挡，并设有雾炮喷淋设施。在自然脱落、废砂装袋及转运过程中会有少量无组织颗粒物产生（G</w:t>
            </w:r>
            <w:r>
              <w:rPr>
                <w:rFonts w:asciiTheme="minorEastAsia" w:hAnsiTheme="minorEastAsia" w:eastAsiaTheme="minorEastAsia"/>
                <w:color w:val="000000"/>
                <w:sz w:val="24"/>
                <w:szCs w:val="24"/>
              </w:rPr>
              <w:t>4</w:t>
            </w:r>
            <w:r>
              <w:rPr>
                <w:rFonts w:hint="eastAsia" w:asciiTheme="minorEastAsia" w:hAnsiTheme="minorEastAsia" w:eastAsiaTheme="minorEastAsia"/>
                <w:color w:val="000000"/>
                <w:sz w:val="24"/>
                <w:szCs w:val="24"/>
              </w:rPr>
              <w:t>）。</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本项目在造型机及浇铸工序上方设置顶吸式集气罩，在引风机的作用下，含有颗粒物、V</w:t>
            </w:r>
            <w:r>
              <w:rPr>
                <w:rFonts w:asciiTheme="minorEastAsia" w:hAnsiTheme="minorEastAsia" w:eastAsiaTheme="minorEastAsia"/>
                <w:color w:val="000000"/>
                <w:sz w:val="24"/>
                <w:szCs w:val="24"/>
              </w:rPr>
              <w:t>OCs</w:t>
            </w:r>
            <w:r>
              <w:rPr>
                <w:rFonts w:hint="eastAsia" w:asciiTheme="minorEastAsia" w:hAnsiTheme="minorEastAsia" w:eastAsiaTheme="minorEastAsia"/>
                <w:color w:val="000000"/>
                <w:sz w:val="24"/>
                <w:szCs w:val="24"/>
              </w:rPr>
              <w:t>的气体进入“过滤棉+U</w:t>
            </w:r>
            <w:r>
              <w:rPr>
                <w:rFonts w:asciiTheme="minorEastAsia" w:hAnsiTheme="minorEastAsia" w:eastAsiaTheme="minorEastAsia"/>
                <w:color w:val="000000"/>
                <w:sz w:val="24"/>
                <w:szCs w:val="24"/>
              </w:rPr>
              <w:t>V</w:t>
            </w:r>
            <w:r>
              <w:rPr>
                <w:rFonts w:hint="eastAsia" w:asciiTheme="minorEastAsia" w:hAnsiTheme="minorEastAsia" w:eastAsiaTheme="minorEastAsia"/>
                <w:color w:val="000000"/>
                <w:sz w:val="24"/>
                <w:szCs w:val="24"/>
              </w:rPr>
              <w:t>光氧催化装置+活性炭吸附装置”对产生的废气进行处理，颗粒物经处理后，在U</w:t>
            </w:r>
            <w:r>
              <w:rPr>
                <w:rFonts w:asciiTheme="minorEastAsia" w:hAnsiTheme="minorEastAsia" w:eastAsiaTheme="minorEastAsia"/>
                <w:color w:val="000000"/>
                <w:sz w:val="24"/>
                <w:szCs w:val="24"/>
              </w:rPr>
              <w:t>V</w:t>
            </w:r>
            <w:r>
              <w:rPr>
                <w:rFonts w:hint="eastAsia" w:asciiTheme="minorEastAsia" w:hAnsiTheme="minorEastAsia" w:eastAsiaTheme="minorEastAsia"/>
                <w:color w:val="000000"/>
                <w:sz w:val="24"/>
                <w:szCs w:val="24"/>
              </w:rPr>
              <w:t>光氧催化装置内自然沉降，V</w:t>
            </w:r>
            <w:r>
              <w:rPr>
                <w:rFonts w:asciiTheme="minorEastAsia" w:hAnsiTheme="minorEastAsia" w:eastAsiaTheme="minorEastAsia"/>
                <w:color w:val="000000"/>
                <w:sz w:val="24"/>
                <w:szCs w:val="24"/>
              </w:rPr>
              <w:t>OCs</w:t>
            </w:r>
            <w:r>
              <w:rPr>
                <w:rFonts w:hint="eastAsia" w:asciiTheme="minorEastAsia" w:hAnsiTheme="minorEastAsia" w:eastAsiaTheme="minorEastAsia"/>
                <w:color w:val="000000"/>
                <w:sz w:val="24"/>
                <w:szCs w:val="24"/>
              </w:rPr>
              <w:t>气体处理后则经1根1</w:t>
            </w:r>
            <w:r>
              <w:rPr>
                <w:rFonts w:asciiTheme="minorEastAsia" w:hAnsiTheme="minorEastAsia" w:eastAsiaTheme="minorEastAsia"/>
                <w:color w:val="000000"/>
                <w:sz w:val="24"/>
                <w:szCs w:val="24"/>
              </w:rPr>
              <w:t>5m</w:t>
            </w:r>
            <w:r>
              <w:rPr>
                <w:rFonts w:hint="eastAsia" w:asciiTheme="minorEastAsia" w:hAnsiTheme="minorEastAsia" w:eastAsiaTheme="minorEastAsia"/>
                <w:color w:val="000000"/>
                <w:sz w:val="24"/>
                <w:szCs w:val="24"/>
              </w:rPr>
              <w:t>高排气筒（P</w:t>
            </w:r>
            <w:r>
              <w:rPr>
                <w:rFonts w:asciiTheme="minorEastAsia" w:hAnsiTheme="minorEastAsia" w:eastAsiaTheme="minorEastAsia"/>
                <w:color w:val="000000"/>
                <w:sz w:val="24"/>
                <w:szCs w:val="24"/>
              </w:rPr>
              <w:t>2</w:t>
            </w:r>
            <w:r>
              <w:rPr>
                <w:rFonts w:hint="eastAsia" w:asciiTheme="minorEastAsia" w:hAnsiTheme="minorEastAsia" w:eastAsiaTheme="minorEastAsia"/>
                <w:color w:val="000000"/>
                <w:sz w:val="24"/>
                <w:szCs w:val="24"/>
              </w:rPr>
              <w:t>）排放。</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冷热温差大时，高温液体与散状料触碰时会产生大量粉尘。本项目浇铸过程中，钢液接触的砂壳为成型质地坚硬的固体，不是散状料，虽然有冷热温差存在，但产生的粉尘颗粒物量很少。U</w:t>
            </w:r>
            <w:r>
              <w:rPr>
                <w:rFonts w:asciiTheme="minorEastAsia" w:hAnsiTheme="minorEastAsia" w:eastAsiaTheme="minorEastAsia"/>
                <w:color w:val="000000"/>
                <w:sz w:val="24"/>
                <w:szCs w:val="24"/>
              </w:rPr>
              <w:t>V</w:t>
            </w:r>
            <w:r>
              <w:rPr>
                <w:rFonts w:hint="eastAsia" w:asciiTheme="minorEastAsia" w:hAnsiTheme="minorEastAsia" w:eastAsiaTheme="minorEastAsia"/>
                <w:color w:val="000000"/>
                <w:sz w:val="24"/>
                <w:szCs w:val="24"/>
              </w:rPr>
              <w:t>光氧催化装置对废气颗粒物进入浓度无要求，但颗粒物浓度越小，对有机废气处理效果越好，并可减少活性炭处置装置中活性炭使用量，减少危险废物量。因此本项目浇铸产生的废气颗粒物先经过滤棉过滤后再进行有机废气处理，浇铸后的废气温度为5</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℃左右，本项目所选用过滤棉耐热温度在3</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℃，因此废气不会对过滤棉造成损坏，废气颗粒物可有效被处理。</w:t>
            </w: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jc w:val="center"/>
              <w:rPr>
                <w:rFonts w:ascii="宋体" w:hAnsi="宋体" w:eastAsia="宋体" w:cs="Times New Roman"/>
              </w:rPr>
            </w:pPr>
            <w:r>
              <w:rPr>
                <w:rFonts w:hint="eastAsia" w:ascii="宋体" w:hAnsi="宋体"/>
              </w:rPr>
              <w:drawing>
                <wp:inline distT="0" distB="0" distL="0" distR="0">
                  <wp:extent cx="3242945" cy="29241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srcRect/>
                          <a:stretch>
                            <a:fillRect/>
                          </a:stretch>
                        </pic:blipFill>
                        <pic:spPr>
                          <a:xfrm>
                            <a:off x="0" y="0"/>
                            <a:ext cx="3242945" cy="2924175"/>
                          </a:xfrm>
                          <a:prstGeom prst="rect">
                            <a:avLst/>
                          </a:prstGeom>
                          <a:noFill/>
                          <a:ln w="9525">
                            <a:noFill/>
                            <a:miter lim="800000"/>
                            <a:headEnd/>
                            <a:tailEnd/>
                          </a:ln>
                        </pic:spPr>
                      </pic:pic>
                    </a:graphicData>
                  </a:graphic>
                </wp:inline>
              </w:drawing>
            </w:r>
          </w:p>
          <w:p>
            <w:pPr>
              <w:pStyle w:val="17"/>
              <w:spacing w:line="360" w:lineRule="auto"/>
              <w:jc w:val="center"/>
              <w:rPr>
                <w:rFonts w:cs="Times New Roman" w:asciiTheme="minorEastAsia" w:hAnsiTheme="minorEastAsia" w:eastAsiaTheme="minorEastAsia"/>
              </w:rPr>
            </w:pPr>
            <w:r>
              <w:rPr>
                <w:rFonts w:hint="eastAsia" w:cs="Times New Roman" w:asciiTheme="minorEastAsia" w:hAnsiTheme="minorEastAsia" w:eastAsiaTheme="minorEastAsia"/>
              </w:rPr>
              <w:t xml:space="preserve">图3 </w:t>
            </w:r>
            <w:r>
              <w:rPr>
                <w:rFonts w:hint="eastAsia" w:asciiTheme="minorEastAsia" w:hAnsiTheme="minorEastAsia" w:eastAsiaTheme="minorEastAsia"/>
              </w:rPr>
              <w:t>造型、浇铸工序废气处理工艺流程图</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（4）铸件脱离、人工分选、高温理化</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铸件冷却完成后，用装载机将铸件毛坯送至铸件脱离工序，采用撞箱将铸件和铸件连接杆分离，撞箱是一种分离铸件等多功能于一体的高效率铸造设备。该设备生产过程是铸件毛坯在撞箱中柔和翻转2</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30</w:t>
            </w:r>
            <w:r>
              <w:rPr>
                <w:rFonts w:hint="eastAsia" w:asciiTheme="minorEastAsia" w:hAnsiTheme="minorEastAsia" w:eastAsiaTheme="minorEastAsia"/>
                <w:color w:val="000000"/>
                <w:sz w:val="24"/>
                <w:szCs w:val="24"/>
              </w:rPr>
              <w:t>分钟，每天运行1</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小时，使铸件与铸件连接杆分离，此过程产生颗粒物（G</w:t>
            </w:r>
            <w:r>
              <w:rPr>
                <w:rFonts w:asciiTheme="minorEastAsia" w:hAnsiTheme="minorEastAsia" w:eastAsiaTheme="minorEastAsia"/>
                <w:color w:val="000000"/>
                <w:sz w:val="24"/>
                <w:szCs w:val="24"/>
              </w:rPr>
              <w:t>5</w:t>
            </w:r>
            <w:r>
              <w:rPr>
                <w:rFonts w:hint="eastAsia" w:asciiTheme="minorEastAsia" w:hAnsiTheme="minorEastAsia" w:eastAsiaTheme="minorEastAsia"/>
                <w:color w:val="000000"/>
                <w:sz w:val="24"/>
                <w:szCs w:val="24"/>
              </w:rPr>
              <w:t>），分离后的铸件连接杆作为原料回用到中频电炉再利用。</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与连接杆脱离后的铸件经人工分选，检验不合格的铸件返回熔化工段重复利用，不合格的铸件不再作为固废考虑。检验合格铸件放入电加热炉进行热处理，在加热炉中加热3</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度，保温2小时，其目的是降低产品硬度，消除残余应力，稳定尺寸，减少变形与裂纹倾向，使铸件更加精密。</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（5）抛丸</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将热处理好的铸件送入到抛丸机内，抛丸用铁砂洒至铸件表面，利用铁砂与铸件表面的摩擦，将铸件表面毛刺磨除，完成对铸件表面的清理，提高铸件表面清洁度，此过程会产生废气颗粒物（G</w:t>
            </w:r>
            <w:r>
              <w:rPr>
                <w:rFonts w:asciiTheme="minorEastAsia" w:hAnsiTheme="minorEastAsia" w:eastAsiaTheme="minorEastAsia"/>
                <w:color w:val="000000"/>
                <w:sz w:val="24"/>
                <w:szCs w:val="24"/>
              </w:rPr>
              <w:t>6</w:t>
            </w:r>
            <w:r>
              <w:rPr>
                <w:rFonts w:hint="eastAsia" w:asciiTheme="minorEastAsia" w:hAnsiTheme="minorEastAsia" w:eastAsiaTheme="minorEastAsia"/>
                <w:color w:val="000000"/>
                <w:sz w:val="24"/>
                <w:szCs w:val="24"/>
              </w:rPr>
              <w:t>）及固体废物铁砂混合物。企业设有三台抛丸机，抛丸机两备一用，每天运行1</w:t>
            </w:r>
            <w:r>
              <w:rPr>
                <w:rFonts w:asciiTheme="minorEastAsia" w:hAnsiTheme="minorEastAsia" w:eastAsiaTheme="minorEastAsia"/>
                <w:color w:val="000000"/>
                <w:sz w:val="24"/>
                <w:szCs w:val="24"/>
              </w:rPr>
              <w:t>0</w:t>
            </w:r>
            <w:r>
              <w:rPr>
                <w:rFonts w:hint="eastAsia" w:asciiTheme="minorEastAsia" w:hAnsiTheme="minorEastAsia" w:eastAsiaTheme="minorEastAsia"/>
                <w:color w:val="000000"/>
                <w:sz w:val="24"/>
                <w:szCs w:val="24"/>
              </w:rPr>
              <w:t>小时。</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抛丸过程中产生的粉尘经自带布袋除尘器后再经铸件脱离工序布袋除尘器处理，共用1根1</w:t>
            </w:r>
            <w:r>
              <w:rPr>
                <w:rFonts w:asciiTheme="minorEastAsia" w:hAnsiTheme="minorEastAsia" w:eastAsiaTheme="minorEastAsia"/>
                <w:color w:val="000000"/>
                <w:sz w:val="24"/>
                <w:szCs w:val="24"/>
              </w:rPr>
              <w:t>5m</w:t>
            </w:r>
            <w:r>
              <w:rPr>
                <w:rFonts w:hint="eastAsia" w:asciiTheme="minorEastAsia" w:hAnsiTheme="minorEastAsia" w:eastAsiaTheme="minorEastAsia"/>
                <w:color w:val="000000"/>
                <w:sz w:val="24"/>
                <w:szCs w:val="24"/>
              </w:rPr>
              <w:t>高排气筒（P</w:t>
            </w:r>
            <w:r>
              <w:rPr>
                <w:rFonts w:asciiTheme="minorEastAsia" w:hAnsiTheme="minorEastAsia" w:eastAsiaTheme="minorEastAsia"/>
                <w:color w:val="000000"/>
                <w:sz w:val="24"/>
                <w:szCs w:val="24"/>
              </w:rPr>
              <w:t>3</w:t>
            </w:r>
            <w:r>
              <w:rPr>
                <w:rFonts w:hint="eastAsia" w:asciiTheme="minorEastAsia" w:hAnsiTheme="minorEastAsia" w:eastAsiaTheme="minorEastAsia"/>
                <w:color w:val="000000"/>
                <w:sz w:val="24"/>
                <w:szCs w:val="24"/>
              </w:rPr>
              <w:t>）排放。</w:t>
            </w:r>
          </w:p>
          <w:p>
            <w:pPr>
              <w:pStyle w:val="33"/>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铁砂混合物收集后外售废铁收购站。</w:t>
            </w:r>
          </w:p>
          <w:p>
            <w:pPr>
              <w:pStyle w:val="17"/>
              <w:rPr>
                <w:rFonts w:ascii="宋体" w:hAnsi="宋体" w:eastAsia="宋体" w:cs="Times New Roman"/>
              </w:rPr>
            </w:pPr>
          </w:p>
          <w:p>
            <w:pPr>
              <w:pStyle w:val="17"/>
              <w:jc w:val="center"/>
              <w:rPr>
                <w:rFonts w:ascii="宋体" w:hAnsi="宋体" w:eastAsia="宋体" w:cs="Times New Roman"/>
              </w:rPr>
            </w:pPr>
            <w:r>
              <w:rPr>
                <w:rFonts w:hint="eastAsia" w:ascii="宋体" w:hAnsi="宋体"/>
              </w:rPr>
              <w:drawing>
                <wp:inline distT="0" distB="0" distL="0" distR="0">
                  <wp:extent cx="5167630" cy="211582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srcRect/>
                          <a:stretch>
                            <a:fillRect/>
                          </a:stretch>
                        </pic:blipFill>
                        <pic:spPr>
                          <a:xfrm>
                            <a:off x="0" y="0"/>
                            <a:ext cx="5167630" cy="2115820"/>
                          </a:xfrm>
                          <a:prstGeom prst="rect">
                            <a:avLst/>
                          </a:prstGeom>
                          <a:noFill/>
                          <a:ln w="9525">
                            <a:noFill/>
                            <a:miter lim="800000"/>
                            <a:headEnd/>
                            <a:tailEnd/>
                          </a:ln>
                        </pic:spPr>
                      </pic:pic>
                    </a:graphicData>
                  </a:graphic>
                </wp:inline>
              </w:drawing>
            </w:r>
          </w:p>
          <w:p>
            <w:pPr>
              <w:pStyle w:val="17"/>
              <w:snapToGrid w:val="0"/>
              <w:spacing w:line="360" w:lineRule="auto"/>
              <w:jc w:val="center"/>
              <w:rPr>
                <w:rFonts w:cs="Times New Roman" w:asciiTheme="minorEastAsia" w:hAnsiTheme="minorEastAsia" w:eastAsiaTheme="minorEastAsia"/>
              </w:rPr>
            </w:pPr>
            <w:r>
              <w:rPr>
                <w:rFonts w:hint="eastAsia" w:cs="Times New Roman" w:asciiTheme="minorEastAsia" w:hAnsiTheme="minorEastAsia" w:eastAsiaTheme="minorEastAsia"/>
              </w:rPr>
              <w:t xml:space="preserve">图4    </w:t>
            </w:r>
            <w:r>
              <w:rPr>
                <w:rFonts w:hint="eastAsia" w:asciiTheme="minorEastAsia" w:hAnsiTheme="minorEastAsia" w:eastAsiaTheme="minorEastAsia"/>
              </w:rPr>
              <w:t>抛丸、铸件脱离废气处理工艺流程图</w:t>
            </w:r>
          </w:p>
          <w:p>
            <w:pPr>
              <w:pStyle w:val="33"/>
              <w:adjustRightInd w:val="0"/>
              <w:snapToGrid w:val="0"/>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6</w:t>
            </w:r>
            <w:r>
              <w:rPr>
                <w:rFonts w:hint="eastAsia" w:asciiTheme="minorEastAsia" w:hAnsiTheme="minorEastAsia" w:eastAsiaTheme="minorEastAsia"/>
                <w:color w:val="000000"/>
                <w:sz w:val="24"/>
                <w:szCs w:val="24"/>
              </w:rPr>
              <w:t>）检验包装、成品</w:t>
            </w:r>
          </w:p>
          <w:p>
            <w:pPr>
              <w:pStyle w:val="17"/>
              <w:snapToGrid w:val="0"/>
              <w:spacing w:line="360" w:lineRule="auto"/>
              <w:ind w:firstLine="480" w:firstLineChars="200"/>
              <w:rPr>
                <w:rFonts w:cs="Times New Roman" w:asciiTheme="minorEastAsia" w:hAnsiTheme="minorEastAsia" w:eastAsiaTheme="minorEastAsia"/>
              </w:rPr>
            </w:pPr>
            <w:r>
              <w:rPr>
                <w:rFonts w:hint="eastAsia" w:asciiTheme="minorEastAsia" w:hAnsiTheme="minorEastAsia" w:eastAsiaTheme="minorEastAsia"/>
              </w:rPr>
              <w:t>铸件抛丸完成后，将质检合格的产品包装入库，即为成品；不合格铸件返回生产工艺再利用。</w:t>
            </w:r>
          </w:p>
          <w:p>
            <w:pPr>
              <w:pStyle w:val="17"/>
              <w:snapToGrid w:val="0"/>
              <w:spacing w:line="480" w:lineRule="exact"/>
              <w:rPr>
                <w:rFonts w:cs="Times New Roman" w:asciiTheme="minorEastAsia" w:hAnsiTheme="minorEastAsia" w:eastAsiaTheme="minorEastAsia"/>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rPr>
                <w:rFonts w:ascii="宋体" w:hAnsi="宋体" w:eastAsia="宋体" w:cs="Times New Roman"/>
              </w:rPr>
            </w:pPr>
          </w:p>
          <w:p>
            <w:pPr>
              <w:pStyle w:val="17"/>
              <w:jc w:val="center"/>
              <w:rPr>
                <w:rFonts w:hint="eastAsia" w:asciiTheme="minorEastAsia" w:hAnsiTheme="minorEastAsia" w:eastAsiaTheme="minorEastAsia"/>
              </w:rPr>
            </w:pPr>
            <w:r>
              <w:rPr>
                <w:rFonts w:hint="eastAsia" w:asciiTheme="minorEastAsia" w:hAnsiTheme="minorEastAsia" w:eastAsiaTheme="minorEastAsia"/>
              </w:rPr>
              <w:drawing>
                <wp:anchor distT="0" distB="0" distL="114300" distR="114300" simplePos="0" relativeHeight="251660288" behindDoc="0" locked="0" layoutInCell="1" allowOverlap="1">
                  <wp:simplePos x="0" y="0"/>
                  <wp:positionH relativeFrom="column">
                    <wp:posOffset>778510</wp:posOffset>
                  </wp:positionH>
                  <wp:positionV relativeFrom="paragraph">
                    <wp:posOffset>698500</wp:posOffset>
                  </wp:positionV>
                  <wp:extent cx="4920615" cy="5391150"/>
                  <wp:effectExtent l="19050" t="0" r="0" b="0"/>
                  <wp:wrapSquare wrapText="bothSides"/>
                  <wp:docPr id="30" name="图片 30" descr="微信图片_2019060423205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0604232052_副本"/>
                          <pic:cNvPicPr>
                            <a:picLocks noChangeAspect="1" noChangeArrowheads="1"/>
                          </pic:cNvPicPr>
                        </pic:nvPicPr>
                        <pic:blipFill>
                          <a:blip r:embed="rId9"/>
                          <a:srcRect/>
                          <a:stretch>
                            <a:fillRect/>
                          </a:stretch>
                        </pic:blipFill>
                        <pic:spPr>
                          <a:xfrm>
                            <a:off x="0" y="0"/>
                            <a:ext cx="4920615" cy="5391150"/>
                          </a:xfrm>
                          <a:prstGeom prst="rect">
                            <a:avLst/>
                          </a:prstGeom>
                          <a:noFill/>
                          <a:ln w="9525">
                            <a:noFill/>
                            <a:miter lim="800000"/>
                            <a:headEnd/>
                            <a:tailEnd/>
                          </a:ln>
                        </pic:spPr>
                      </pic:pic>
                    </a:graphicData>
                  </a:graphic>
                </wp:anchor>
              </w:drawing>
            </w:r>
            <w:r>
              <w:rPr>
                <w:rFonts w:hint="eastAsia" w:asciiTheme="minorEastAsia" w:hAnsiTheme="minorEastAsia" w:eastAsiaTheme="minorEastAsia"/>
              </w:rPr>
              <w:t>图5   运营期工艺流程及排污节点图</w:t>
            </w: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hint="eastAsia" w:asciiTheme="minorEastAsia" w:hAnsiTheme="minorEastAsia" w:eastAsiaTheme="minorEastAsia"/>
              </w:rPr>
            </w:pPr>
          </w:p>
          <w:p>
            <w:pPr>
              <w:pStyle w:val="17"/>
              <w:jc w:val="center"/>
              <w:rPr>
                <w:rFonts w:ascii="宋体" w:hAnsi="宋体" w:eastAsia="宋体" w:cs="Times New Roman"/>
              </w:rPr>
            </w:pPr>
          </w:p>
        </w:tc>
      </w:tr>
    </w:tbl>
    <w:p>
      <w:pPr>
        <w:rPr>
          <w:rFonts w:ascii="宋体" w:hAnsi="宋体"/>
          <w:b/>
          <w:color w:val="000000"/>
          <w:sz w:val="24"/>
        </w:rPr>
      </w:pPr>
      <w:r>
        <w:rPr>
          <w:rFonts w:ascii="宋体" w:hAnsi="宋体"/>
          <w:b/>
          <w:color w:val="000000"/>
          <w:sz w:val="24"/>
        </w:rPr>
        <w:t>表三</w:t>
      </w:r>
    </w:p>
    <w:tbl>
      <w:tblPr>
        <w:tblStyle w:val="13"/>
        <w:tblW w:w="971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15" w:hRule="atLeast"/>
          <w:jc w:val="center"/>
        </w:trPr>
        <w:tc>
          <w:tcPr>
            <w:tcW w:w="9719" w:type="dxa"/>
            <w:vAlign w:val="center"/>
          </w:tcPr>
          <w:p>
            <w:pPr>
              <w:adjustRightInd w:val="0"/>
              <w:snapToGrid w:val="0"/>
              <w:spacing w:line="360" w:lineRule="auto"/>
              <w:rPr>
                <w:rFonts w:ascii="宋体" w:hAnsi="宋体"/>
                <w:b/>
                <w:bCs/>
                <w:sz w:val="24"/>
              </w:rPr>
            </w:pPr>
            <w:r>
              <w:rPr>
                <w:rFonts w:ascii="宋体" w:hAnsi="宋体"/>
                <w:b/>
                <w:bCs/>
                <w:sz w:val="24"/>
              </w:rPr>
              <w:t>主要污染源、污染物处理和排放</w:t>
            </w:r>
          </w:p>
          <w:p>
            <w:pPr>
              <w:adjustRightInd w:val="0"/>
              <w:snapToGrid w:val="0"/>
              <w:spacing w:line="360" w:lineRule="auto"/>
              <w:ind w:firstLine="480" w:firstLineChars="200"/>
              <w:rPr>
                <w:rFonts w:ascii="宋体" w:hAnsi="宋体"/>
                <w:bCs/>
                <w:sz w:val="24"/>
              </w:rPr>
            </w:pPr>
            <w:bookmarkStart w:id="3" w:name="_Toc27827"/>
            <w:r>
              <w:rPr>
                <w:rFonts w:ascii="宋体" w:hAnsi="宋体"/>
                <w:bCs/>
                <w:sz w:val="24"/>
              </w:rPr>
              <w:t>1 、污染物治理/处置设施</w:t>
            </w:r>
            <w:bookmarkEnd w:id="3"/>
          </w:p>
          <w:p>
            <w:pPr>
              <w:adjustRightInd w:val="0"/>
              <w:snapToGrid w:val="0"/>
              <w:spacing w:line="360" w:lineRule="auto"/>
              <w:ind w:firstLine="480" w:firstLineChars="200"/>
              <w:rPr>
                <w:rFonts w:ascii="宋体" w:hAnsi="宋体"/>
                <w:sz w:val="24"/>
              </w:rPr>
            </w:pPr>
            <w:bookmarkStart w:id="4" w:name="_Toc497001461"/>
            <w:bookmarkStart w:id="5" w:name="_Toc496979024"/>
            <w:r>
              <w:rPr>
                <w:rFonts w:hint="eastAsia" w:ascii="宋体" w:hAnsi="宋体"/>
                <w:sz w:val="24"/>
              </w:rPr>
              <w:t>有组织废气</w:t>
            </w:r>
          </w:p>
          <w:p>
            <w:pPr>
              <w:adjustRightInd w:val="0"/>
              <w:snapToGrid w:val="0"/>
              <w:spacing w:line="360" w:lineRule="auto"/>
              <w:ind w:firstLine="480" w:firstLineChars="200"/>
              <w:rPr>
                <w:color w:val="000000"/>
                <w:sz w:val="24"/>
              </w:rPr>
            </w:pPr>
            <w:r>
              <w:rPr>
                <w:rFonts w:hint="eastAsia"/>
                <w:color w:val="000000"/>
                <w:sz w:val="24"/>
              </w:rPr>
              <w:t>本项目排放的有组织大气污染物主要是中频电炉熔化烟气，造型和浇铸工序产生的有机废气，铸件脱离过程中产生的粉尘，铸件去毛刺的打磨粉尘，及废覆膜砂暂存、装卸过程产生的粉尘。</w:t>
            </w:r>
          </w:p>
          <w:p>
            <w:pPr>
              <w:adjustRightInd w:val="0"/>
              <w:snapToGrid w:val="0"/>
              <w:spacing w:line="360" w:lineRule="auto"/>
              <w:ind w:firstLine="480" w:firstLineChars="200"/>
              <w:rPr>
                <w:color w:val="000000"/>
                <w:sz w:val="24"/>
              </w:rPr>
            </w:pPr>
            <w:r>
              <w:rPr>
                <w:color w:val="000000"/>
                <w:sz w:val="24"/>
              </w:rPr>
              <w:t>（</w:t>
            </w:r>
            <w:r>
              <w:rPr>
                <w:rFonts w:hint="eastAsia"/>
                <w:color w:val="000000"/>
                <w:sz w:val="24"/>
              </w:rPr>
              <w:t>1）中频电炉熔化产生的烟尘</w:t>
            </w:r>
          </w:p>
          <w:p>
            <w:pPr>
              <w:adjustRightInd w:val="0"/>
              <w:snapToGrid w:val="0"/>
              <w:spacing w:line="360" w:lineRule="auto"/>
              <w:ind w:firstLine="480" w:firstLineChars="200"/>
              <w:rPr>
                <w:color w:val="000000"/>
                <w:sz w:val="24"/>
              </w:rPr>
            </w:pPr>
            <w:r>
              <w:rPr>
                <w:rFonts w:hint="eastAsia"/>
                <w:color w:val="000000"/>
                <w:sz w:val="24"/>
              </w:rPr>
              <w:t>本项目车间共设</w:t>
            </w:r>
            <w:r>
              <w:rPr>
                <w:color w:val="000000"/>
                <w:sz w:val="24"/>
              </w:rPr>
              <w:t>2</w:t>
            </w:r>
            <w:r>
              <w:rPr>
                <w:rFonts w:hint="eastAsia"/>
                <w:color w:val="000000"/>
                <w:sz w:val="24"/>
              </w:rPr>
              <w:t>台</w:t>
            </w:r>
            <w:r>
              <w:rPr>
                <w:color w:val="000000"/>
                <w:sz w:val="24"/>
              </w:rPr>
              <w:t>0.5</w:t>
            </w:r>
            <w:r>
              <w:rPr>
                <w:rFonts w:hint="eastAsia"/>
                <w:color w:val="000000"/>
                <w:sz w:val="24"/>
              </w:rPr>
              <w:t>t/h中频电炉（一备一用），采用电加热，年运行</w:t>
            </w:r>
            <w:r>
              <w:rPr>
                <w:color w:val="000000"/>
                <w:sz w:val="24"/>
              </w:rPr>
              <w:t>36</w:t>
            </w:r>
            <w:r>
              <w:rPr>
                <w:rFonts w:hint="eastAsia"/>
                <w:color w:val="000000"/>
                <w:sz w:val="24"/>
              </w:rPr>
              <w:t>00h，生产能力为</w:t>
            </w:r>
            <w:r>
              <w:rPr>
                <w:color w:val="000000"/>
                <w:sz w:val="24"/>
              </w:rPr>
              <w:t>54</w:t>
            </w:r>
            <w:r>
              <w:rPr>
                <w:rFonts w:hint="eastAsia"/>
                <w:color w:val="000000"/>
                <w:sz w:val="24"/>
              </w:rPr>
              <w:t>00t/a，产生的污染物主要为烟尘。中频电炉上方设置顶吸式集气罩。</w:t>
            </w:r>
            <w:r>
              <w:rPr>
                <w:color w:val="000000"/>
                <w:sz w:val="24"/>
              </w:rPr>
              <w:t>2</w:t>
            </w:r>
            <w:r>
              <w:rPr>
                <w:rFonts w:hint="eastAsia"/>
                <w:color w:val="000000"/>
                <w:sz w:val="24"/>
              </w:rPr>
              <w:t>台</w:t>
            </w:r>
            <w:r>
              <w:rPr>
                <w:color w:val="000000"/>
                <w:sz w:val="24"/>
              </w:rPr>
              <w:t>0.5t</w:t>
            </w:r>
            <w:r>
              <w:rPr>
                <w:rFonts w:hint="eastAsia"/>
                <w:color w:val="000000"/>
                <w:sz w:val="24"/>
              </w:rPr>
              <w:t>/h中频电炉安装</w:t>
            </w:r>
            <w:r>
              <w:rPr>
                <w:color w:val="000000"/>
                <w:sz w:val="24"/>
              </w:rPr>
              <w:t>2</w:t>
            </w:r>
            <w:r>
              <w:rPr>
                <w:rFonts w:hint="eastAsia"/>
                <w:color w:val="000000"/>
                <w:sz w:val="24"/>
              </w:rPr>
              <w:t>个集尘罩，集尘罩集尘率90%，通过1台脉冲布袋除尘器处理，处理后经1根1</w:t>
            </w:r>
            <w:r>
              <w:rPr>
                <w:color w:val="000000"/>
                <w:sz w:val="24"/>
              </w:rPr>
              <w:t>5m</w:t>
            </w:r>
            <w:r>
              <w:rPr>
                <w:rFonts w:hint="eastAsia"/>
                <w:color w:val="000000"/>
                <w:sz w:val="24"/>
              </w:rPr>
              <w:t>高排气筒（P1）排放，处理风量为</w:t>
            </w:r>
            <w:r>
              <w:rPr>
                <w:color w:val="000000"/>
                <w:sz w:val="24"/>
              </w:rPr>
              <w:t>4320</w:t>
            </w:r>
            <w:r>
              <w:rPr>
                <w:rFonts w:hint="eastAsia"/>
                <w:color w:val="000000"/>
                <w:sz w:val="24"/>
              </w:rPr>
              <w:t>m</w:t>
            </w:r>
            <w:r>
              <w:rPr>
                <w:rFonts w:hint="eastAsia"/>
                <w:color w:val="000000"/>
                <w:sz w:val="24"/>
                <w:vertAlign w:val="superscript"/>
              </w:rPr>
              <w:t>3</w:t>
            </w:r>
            <w:r>
              <w:rPr>
                <w:rFonts w:hint="eastAsia"/>
                <w:color w:val="000000"/>
                <w:sz w:val="24"/>
              </w:rPr>
              <w:t>/h，净化效率99%。</w:t>
            </w:r>
          </w:p>
          <w:p>
            <w:pPr>
              <w:adjustRightInd w:val="0"/>
              <w:snapToGrid w:val="0"/>
              <w:spacing w:line="360" w:lineRule="auto"/>
              <w:ind w:firstLine="480" w:firstLineChars="200"/>
              <w:rPr>
                <w:color w:val="000000"/>
                <w:sz w:val="24"/>
              </w:rPr>
            </w:pPr>
            <w:r>
              <w:rPr>
                <w:color w:val="000000"/>
                <w:sz w:val="24"/>
              </w:rPr>
              <w:t>（</w:t>
            </w:r>
            <w:r>
              <w:rPr>
                <w:rFonts w:hint="eastAsia"/>
                <w:color w:val="000000"/>
                <w:sz w:val="24"/>
              </w:rPr>
              <w:t>2）造型、浇铸工序有机废气、颗粒物</w:t>
            </w:r>
          </w:p>
          <w:p>
            <w:pPr>
              <w:adjustRightInd w:val="0"/>
              <w:snapToGrid w:val="0"/>
              <w:spacing w:line="360" w:lineRule="auto"/>
              <w:ind w:firstLine="480" w:firstLineChars="200"/>
              <w:rPr>
                <w:color w:val="000000"/>
                <w:sz w:val="24"/>
              </w:rPr>
            </w:pPr>
            <w:r>
              <w:rPr>
                <w:rFonts w:hint="eastAsia"/>
                <w:color w:val="000000"/>
                <w:sz w:val="24"/>
              </w:rPr>
              <w:t>本项目造型所用原料覆膜砂，年使用覆膜砂4</w:t>
            </w:r>
            <w:r>
              <w:rPr>
                <w:color w:val="000000"/>
                <w:sz w:val="24"/>
              </w:rPr>
              <w:t>770t</w:t>
            </w:r>
            <w:r>
              <w:rPr>
                <w:rFonts w:hint="eastAsia"/>
                <w:color w:val="000000"/>
                <w:sz w:val="24"/>
              </w:rPr>
              <w:t>，在设备的压力下射入到固定在造型机上的模具，进行加热，加热到2</w:t>
            </w:r>
            <w:r>
              <w:rPr>
                <w:color w:val="000000"/>
                <w:sz w:val="24"/>
              </w:rPr>
              <w:t>10</w:t>
            </w:r>
            <w:r>
              <w:rPr>
                <w:rFonts w:hint="eastAsia"/>
                <w:color w:val="000000"/>
                <w:sz w:val="24"/>
              </w:rPr>
              <w:t>~</w:t>
            </w:r>
            <w:r>
              <w:rPr>
                <w:color w:val="000000"/>
                <w:sz w:val="24"/>
              </w:rPr>
              <w:t>230</w:t>
            </w:r>
            <w:r>
              <w:rPr>
                <w:rFonts w:hint="eastAsia"/>
                <w:color w:val="000000"/>
                <w:sz w:val="24"/>
              </w:rPr>
              <w:t>℃，发生固化反应，接近模具的部分发生固化，</w:t>
            </w:r>
            <w:r>
              <w:rPr>
                <w:rFonts w:hint="eastAsia"/>
                <w:sz w:val="24"/>
              </w:rPr>
              <w:t>待30秒左右，冷却成型后，开模、取件</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覆膜砂中主要成分为酚醛树脂，酚醛树脂含量为</w:t>
            </w:r>
            <w:r>
              <w:rPr>
                <w:color w:val="000000"/>
                <w:sz w:val="24"/>
              </w:rPr>
              <w:t>1.8</w:t>
            </w:r>
            <w:r>
              <w:rPr>
                <w:rFonts w:hint="eastAsia"/>
                <w:color w:val="000000"/>
                <w:sz w:val="24"/>
              </w:rPr>
              <w:t>%，酚醛树脂量为</w:t>
            </w:r>
            <w:r>
              <w:rPr>
                <w:color w:val="000000"/>
                <w:sz w:val="24"/>
              </w:rPr>
              <w:t>85.86t/a</w:t>
            </w:r>
            <w:r>
              <w:rPr>
                <w:rFonts w:hint="eastAsia"/>
                <w:color w:val="000000"/>
                <w:sz w:val="24"/>
              </w:rPr>
              <w:t>，有机废气主要来源于酚醛树脂的分解，酚醛树脂分解温度不低于2</w:t>
            </w:r>
            <w:r>
              <w:rPr>
                <w:color w:val="000000"/>
                <w:sz w:val="24"/>
              </w:rPr>
              <w:t>00</w:t>
            </w:r>
            <w:r>
              <w:rPr>
                <w:rFonts w:hint="eastAsia"/>
                <w:color w:val="000000"/>
                <w:sz w:val="24"/>
              </w:rPr>
              <w:t>℃，造型工序加热温度在2</w:t>
            </w:r>
            <w:r>
              <w:rPr>
                <w:color w:val="000000"/>
                <w:sz w:val="24"/>
              </w:rPr>
              <w:t>10</w:t>
            </w:r>
            <w:r>
              <w:rPr>
                <w:rFonts w:hint="eastAsia"/>
                <w:color w:val="000000"/>
                <w:sz w:val="24"/>
              </w:rPr>
              <w:t>~</w:t>
            </w:r>
            <w:r>
              <w:rPr>
                <w:color w:val="000000"/>
                <w:sz w:val="24"/>
              </w:rPr>
              <w:t>230</w:t>
            </w:r>
            <w:r>
              <w:rPr>
                <w:rFonts w:hint="eastAsia"/>
                <w:color w:val="000000"/>
                <w:sz w:val="24"/>
              </w:rPr>
              <w:t>℃，会有3%的游离态的甲醛、酚类有机废气产生，以非甲烷总烃计。因此该工段非甲烷总烃产生量为2</w:t>
            </w:r>
            <w:r>
              <w:rPr>
                <w:color w:val="000000"/>
                <w:sz w:val="24"/>
              </w:rPr>
              <w:t>.58</w:t>
            </w:r>
            <w:r>
              <w:rPr>
                <w:rFonts w:hint="eastAsia"/>
                <w:color w:val="000000"/>
                <w:sz w:val="24"/>
              </w:rPr>
              <w:t>t</w:t>
            </w:r>
            <w:r>
              <w:rPr>
                <w:color w:val="000000"/>
                <w:sz w:val="24"/>
              </w:rPr>
              <w:t>/a</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造型工序后的砂壳进行浇铸，浇铸使所用钢液温度达到1</w:t>
            </w:r>
            <w:r>
              <w:rPr>
                <w:color w:val="000000"/>
                <w:sz w:val="24"/>
              </w:rPr>
              <w:t>380</w:t>
            </w:r>
            <w:r>
              <w:rPr>
                <w:rFonts w:hint="eastAsia"/>
                <w:color w:val="000000"/>
                <w:sz w:val="24"/>
              </w:rPr>
              <w:t>℃，根据相关资料显示，酚醛树脂大约在8</w:t>
            </w:r>
            <w:r>
              <w:rPr>
                <w:color w:val="000000"/>
                <w:sz w:val="24"/>
              </w:rPr>
              <w:t>00</w:t>
            </w:r>
            <w:r>
              <w:rPr>
                <w:rFonts w:hint="eastAsia"/>
                <w:color w:val="000000"/>
                <w:sz w:val="24"/>
              </w:rPr>
              <w:t>℃时基本完全分解，产物以二氧化碳、水蒸气为主，仅有约0</w:t>
            </w:r>
            <w:r>
              <w:rPr>
                <w:color w:val="000000"/>
                <w:sz w:val="24"/>
              </w:rPr>
              <w:t>.1</w:t>
            </w:r>
            <w:r>
              <w:rPr>
                <w:rFonts w:hint="eastAsia"/>
                <w:color w:val="000000"/>
                <w:sz w:val="24"/>
              </w:rPr>
              <w:t>%的未完全分解的有机废气（非甲烷总烃）态进入烟气中，因此，该工段非甲烷总烃产生量为0</w:t>
            </w:r>
            <w:r>
              <w:rPr>
                <w:color w:val="000000"/>
                <w:sz w:val="24"/>
              </w:rPr>
              <w:t>.08t/a</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在浇铸过程中高温钢液与砂壳接触会产生一定量的颗粒物，砂壳本身比较坚硬，冷热温差造成的颗粒物产生量很少，产生量约为0</w:t>
            </w:r>
            <w:r>
              <w:rPr>
                <w:color w:val="000000"/>
                <w:sz w:val="24"/>
              </w:rPr>
              <w:t>.25t/a</w:t>
            </w:r>
            <w:r>
              <w:rPr>
                <w:rFonts w:hint="eastAsia"/>
                <w:color w:val="000000"/>
                <w:sz w:val="24"/>
              </w:rPr>
              <w:t>。为提高</w:t>
            </w:r>
            <w:r>
              <w:rPr>
                <w:color w:val="000000"/>
                <w:sz w:val="24"/>
              </w:rPr>
              <w:t>UV</w:t>
            </w:r>
            <w:r>
              <w:rPr>
                <w:rFonts w:hint="eastAsia"/>
                <w:color w:val="000000"/>
                <w:sz w:val="24"/>
              </w:rPr>
              <w:t>光氧催化效率及减少活性炭使用量，产生的颗粒物先经滤棉过滤，再经U</w:t>
            </w:r>
            <w:r>
              <w:rPr>
                <w:color w:val="000000"/>
                <w:sz w:val="24"/>
              </w:rPr>
              <w:t>V</w:t>
            </w:r>
            <w:r>
              <w:rPr>
                <w:rFonts w:hint="eastAsia"/>
                <w:color w:val="000000"/>
                <w:sz w:val="24"/>
              </w:rPr>
              <w:t>光氧催化</w:t>
            </w:r>
            <w:r>
              <w:rPr>
                <w:color w:val="000000"/>
                <w:sz w:val="24"/>
              </w:rPr>
              <w:t>+</w:t>
            </w:r>
            <w:r>
              <w:rPr>
                <w:rFonts w:hint="eastAsia"/>
                <w:color w:val="000000"/>
                <w:sz w:val="24"/>
              </w:rPr>
              <w:t>活性炭吸附去除有机废气。</w:t>
            </w:r>
          </w:p>
          <w:p>
            <w:pPr>
              <w:adjustRightInd w:val="0"/>
              <w:snapToGrid w:val="0"/>
              <w:spacing w:line="360" w:lineRule="auto"/>
              <w:ind w:firstLine="480" w:firstLineChars="200"/>
              <w:rPr>
                <w:color w:val="000000"/>
                <w:sz w:val="24"/>
              </w:rPr>
            </w:pPr>
            <w:r>
              <w:rPr>
                <w:rFonts w:hint="eastAsia"/>
                <w:color w:val="000000"/>
                <w:sz w:val="24"/>
              </w:rPr>
              <w:t>造型及浇铸工序上方设置顶吸式集气罩，废气由集气罩收集后，共用1套“过滤棉+U</w:t>
            </w:r>
            <w:r>
              <w:rPr>
                <w:color w:val="000000"/>
                <w:sz w:val="24"/>
              </w:rPr>
              <w:t>V</w:t>
            </w:r>
            <w:r>
              <w:rPr>
                <w:rFonts w:hint="eastAsia"/>
                <w:color w:val="000000"/>
                <w:sz w:val="24"/>
              </w:rPr>
              <w:t>光氧催化装置+活性炭吸附装置”处理后，经1根</w:t>
            </w:r>
            <w:r>
              <w:rPr>
                <w:color w:val="000000"/>
                <w:sz w:val="24"/>
              </w:rPr>
              <w:t>15m</w:t>
            </w:r>
            <w:r>
              <w:rPr>
                <w:rFonts w:hint="eastAsia"/>
                <w:color w:val="000000"/>
                <w:sz w:val="24"/>
              </w:rPr>
              <w:t>高排气筒（P</w:t>
            </w:r>
            <w:r>
              <w:rPr>
                <w:color w:val="000000"/>
                <w:sz w:val="24"/>
              </w:rPr>
              <w:t>2</w:t>
            </w:r>
            <w:r>
              <w:rPr>
                <w:rFonts w:hint="eastAsia"/>
                <w:color w:val="000000"/>
                <w:sz w:val="24"/>
              </w:rPr>
              <w:t>）排放。</w:t>
            </w:r>
          </w:p>
          <w:p>
            <w:pPr>
              <w:adjustRightInd w:val="0"/>
              <w:snapToGrid w:val="0"/>
              <w:spacing w:line="360" w:lineRule="auto"/>
              <w:ind w:firstLine="480" w:firstLineChars="200"/>
              <w:rPr>
                <w:color w:val="000000"/>
                <w:sz w:val="24"/>
              </w:rPr>
            </w:pPr>
            <w:r>
              <w:rPr>
                <w:rFonts w:hint="eastAsia"/>
                <w:color w:val="000000"/>
                <w:sz w:val="24"/>
              </w:rPr>
              <w:t>（3）铸件脱离工序废气、抛丸粉尘</w:t>
            </w:r>
          </w:p>
          <w:p>
            <w:pPr>
              <w:adjustRightInd w:val="0"/>
              <w:snapToGrid w:val="0"/>
              <w:spacing w:line="360" w:lineRule="auto"/>
              <w:ind w:firstLine="480" w:firstLineChars="200"/>
              <w:rPr>
                <w:color w:val="000000"/>
                <w:sz w:val="24"/>
              </w:rPr>
            </w:pPr>
            <w:r>
              <w:rPr>
                <w:rFonts w:hint="eastAsia"/>
                <w:color w:val="000000"/>
                <w:sz w:val="24"/>
              </w:rPr>
              <w:t>本工序设有</w:t>
            </w:r>
            <w:r>
              <w:rPr>
                <w:color w:val="000000"/>
                <w:sz w:val="24"/>
              </w:rPr>
              <w:t>2</w:t>
            </w:r>
            <w:r>
              <w:rPr>
                <w:rFonts w:hint="eastAsia"/>
                <w:color w:val="000000"/>
                <w:sz w:val="24"/>
              </w:rPr>
              <w:t>台撞箱（一用一备），用于将铸件表面砂及铸件与连接杆脱离，年运行3</w:t>
            </w:r>
            <w:r>
              <w:rPr>
                <w:color w:val="000000"/>
                <w:sz w:val="24"/>
              </w:rPr>
              <w:t>000h</w:t>
            </w:r>
            <w:r>
              <w:rPr>
                <w:rFonts w:hint="eastAsia"/>
                <w:color w:val="000000"/>
                <w:sz w:val="24"/>
              </w:rPr>
              <w:t>，在撞箱脱离过程中会产生粉尘，每台撞箱上方配备一个顶吸式集气罩，一台布袋除尘器，1根1</w:t>
            </w:r>
            <w:r>
              <w:rPr>
                <w:color w:val="000000"/>
                <w:sz w:val="24"/>
              </w:rPr>
              <w:t>5m</w:t>
            </w:r>
            <w:r>
              <w:rPr>
                <w:rFonts w:hint="eastAsia"/>
                <w:color w:val="000000"/>
                <w:sz w:val="24"/>
              </w:rPr>
              <w:t>高排气筒，因此当使用哪台撞箱时，抛丸工序就与哪台撞箱共用除尘设施及排气筒。</w:t>
            </w:r>
          </w:p>
          <w:p>
            <w:pPr>
              <w:adjustRightInd w:val="0"/>
              <w:snapToGrid w:val="0"/>
              <w:spacing w:line="360" w:lineRule="auto"/>
              <w:ind w:firstLine="480" w:firstLineChars="200"/>
              <w:rPr>
                <w:color w:val="000000"/>
                <w:sz w:val="24"/>
              </w:rPr>
            </w:pPr>
            <w:r>
              <w:rPr>
                <w:rFonts w:hint="eastAsia"/>
                <w:color w:val="000000"/>
                <w:sz w:val="24"/>
              </w:rPr>
              <w:t>本项目设有</w:t>
            </w:r>
            <w:r>
              <w:rPr>
                <w:color w:val="000000"/>
                <w:sz w:val="24"/>
              </w:rPr>
              <w:t>3</w:t>
            </w:r>
            <w:r>
              <w:rPr>
                <w:rFonts w:hint="eastAsia"/>
                <w:color w:val="000000"/>
                <w:sz w:val="24"/>
              </w:rPr>
              <w:t>台抛丸机（两用一备），用于将铸件表面毛刺去除，抛丸机年运行3</w:t>
            </w:r>
            <w:r>
              <w:rPr>
                <w:color w:val="000000"/>
                <w:sz w:val="24"/>
              </w:rPr>
              <w:t>000h</w:t>
            </w:r>
            <w:r>
              <w:rPr>
                <w:rFonts w:hint="eastAsia"/>
                <w:color w:val="000000"/>
                <w:sz w:val="24"/>
              </w:rPr>
              <w:t>，参考《铸造防尘技术规程》（G</w:t>
            </w:r>
            <w:r>
              <w:rPr>
                <w:color w:val="000000"/>
                <w:sz w:val="24"/>
              </w:rPr>
              <w:t>B8958-2007</w:t>
            </w:r>
            <w:r>
              <w:rPr>
                <w:rFonts w:hint="eastAsia"/>
                <w:color w:val="000000"/>
                <w:sz w:val="24"/>
              </w:rPr>
              <w:t>）附表C铸造工艺设备粉尘起始浓度中提供的数据，“抛丸室室体粉尘起始浓度平均值为3</w:t>
            </w:r>
            <w:r>
              <w:rPr>
                <w:color w:val="000000"/>
                <w:sz w:val="24"/>
              </w:rPr>
              <w:t>000mg/m</w:t>
            </w:r>
            <w:r>
              <w:rPr>
                <w:color w:val="000000"/>
                <w:sz w:val="24"/>
                <w:vertAlign w:val="superscript"/>
              </w:rPr>
              <w:t>3</w:t>
            </w:r>
            <w:r>
              <w:rPr>
                <w:rFonts w:hint="eastAsia"/>
                <w:color w:val="000000"/>
                <w:sz w:val="24"/>
              </w:rPr>
              <w:t>”，除尘器风量为7</w:t>
            </w:r>
            <w:r>
              <w:rPr>
                <w:color w:val="000000"/>
                <w:sz w:val="24"/>
              </w:rPr>
              <w:t>400m</w:t>
            </w:r>
            <w:r>
              <w:rPr>
                <w:color w:val="000000"/>
                <w:sz w:val="24"/>
                <w:vertAlign w:val="superscript"/>
              </w:rPr>
              <w:t>3</w:t>
            </w:r>
            <w:r>
              <w:rPr>
                <w:color w:val="000000"/>
                <w:sz w:val="24"/>
              </w:rPr>
              <w:t>/h</w:t>
            </w:r>
            <w:r>
              <w:rPr>
                <w:rFonts w:hint="eastAsia"/>
                <w:color w:val="000000"/>
                <w:sz w:val="24"/>
              </w:rPr>
              <w:t>，则抛丸粉尘产生量为6</w:t>
            </w:r>
            <w:r>
              <w:rPr>
                <w:color w:val="000000"/>
                <w:sz w:val="24"/>
              </w:rPr>
              <w:t>6.6t/a</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抛丸工序首先经自带布袋除尘器处理后（除尘效率8</w:t>
            </w:r>
            <w:r>
              <w:rPr>
                <w:color w:val="000000"/>
                <w:sz w:val="24"/>
              </w:rPr>
              <w:t>0</w:t>
            </w:r>
            <w:r>
              <w:rPr>
                <w:rFonts w:hint="eastAsia"/>
                <w:color w:val="000000"/>
                <w:sz w:val="24"/>
              </w:rPr>
              <w:t>%）再与铸件脱离工序共用</w:t>
            </w:r>
            <w:r>
              <w:rPr>
                <w:color w:val="000000"/>
                <w:sz w:val="24"/>
              </w:rPr>
              <w:t>1</w:t>
            </w:r>
            <w:r>
              <w:rPr>
                <w:rFonts w:hint="eastAsia"/>
                <w:color w:val="000000"/>
                <w:sz w:val="24"/>
              </w:rPr>
              <w:t>台布袋除尘器，除尘器风量7</w:t>
            </w:r>
            <w:r>
              <w:rPr>
                <w:color w:val="000000"/>
                <w:sz w:val="24"/>
              </w:rPr>
              <w:t>400m</w:t>
            </w:r>
            <w:r>
              <w:rPr>
                <w:color w:val="000000"/>
                <w:sz w:val="24"/>
                <w:vertAlign w:val="superscript"/>
              </w:rPr>
              <w:t>3</w:t>
            </w:r>
            <w:r>
              <w:rPr>
                <w:color w:val="000000"/>
                <w:sz w:val="24"/>
              </w:rPr>
              <w:t>/h</w:t>
            </w:r>
            <w:r>
              <w:rPr>
                <w:rFonts w:hint="eastAsia"/>
                <w:color w:val="000000"/>
                <w:sz w:val="24"/>
              </w:rPr>
              <w:t>，年运行时间均为3</w:t>
            </w:r>
            <w:r>
              <w:rPr>
                <w:color w:val="000000"/>
                <w:sz w:val="24"/>
              </w:rPr>
              <w:t>000h</w:t>
            </w:r>
            <w:r>
              <w:rPr>
                <w:rFonts w:hint="eastAsia"/>
                <w:color w:val="000000"/>
                <w:sz w:val="24"/>
              </w:rPr>
              <w:t>，除尘器除尘效率为9</w:t>
            </w:r>
            <w:r>
              <w:rPr>
                <w:color w:val="000000"/>
                <w:sz w:val="24"/>
              </w:rPr>
              <w:t>9</w:t>
            </w:r>
            <w:r>
              <w:rPr>
                <w:rFonts w:hint="eastAsia"/>
                <w:color w:val="000000"/>
                <w:sz w:val="24"/>
              </w:rPr>
              <w:t>%，粉尘排放量为0</w:t>
            </w:r>
            <w:r>
              <w:rPr>
                <w:color w:val="000000"/>
                <w:sz w:val="24"/>
              </w:rPr>
              <w:t>.15</w:t>
            </w:r>
            <w:r>
              <w:rPr>
                <w:rFonts w:hint="eastAsia"/>
                <w:color w:val="000000"/>
                <w:sz w:val="24"/>
              </w:rPr>
              <w:t>t</w:t>
            </w:r>
            <w:r>
              <w:rPr>
                <w:color w:val="000000"/>
                <w:sz w:val="24"/>
              </w:rPr>
              <w:t>/a</w:t>
            </w:r>
            <w:r>
              <w:rPr>
                <w:rFonts w:hint="eastAsia"/>
                <w:color w:val="000000"/>
                <w:sz w:val="24"/>
              </w:rPr>
              <w:t>，排放速率为</w:t>
            </w:r>
            <w:r>
              <w:rPr>
                <w:color w:val="000000"/>
                <w:sz w:val="24"/>
              </w:rPr>
              <w:t>0.07kg/h</w:t>
            </w:r>
            <w:r>
              <w:rPr>
                <w:rFonts w:hint="eastAsia"/>
                <w:color w:val="000000"/>
                <w:sz w:val="24"/>
              </w:rPr>
              <w:t>，排放浓度为</w:t>
            </w:r>
            <w:r>
              <w:rPr>
                <w:color w:val="000000"/>
                <w:sz w:val="24"/>
              </w:rPr>
              <w:t>9.46mg/m</w:t>
            </w:r>
            <w:r>
              <w:rPr>
                <w:color w:val="000000"/>
                <w:sz w:val="24"/>
                <w:vertAlign w:val="superscript"/>
              </w:rPr>
              <w:t>3</w:t>
            </w:r>
            <w:r>
              <w:rPr>
                <w:rFonts w:hint="eastAsia"/>
                <w:color w:val="000000"/>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无组织废气</w:t>
            </w:r>
          </w:p>
          <w:p>
            <w:pPr>
              <w:adjustRightInd w:val="0"/>
              <w:snapToGrid w:val="0"/>
              <w:spacing w:line="360" w:lineRule="auto"/>
              <w:ind w:firstLine="480" w:firstLineChars="200"/>
              <w:rPr>
                <w:color w:val="000000"/>
                <w:sz w:val="24"/>
              </w:rPr>
            </w:pPr>
            <w:r>
              <w:rPr>
                <w:rFonts w:hint="eastAsia"/>
                <w:color w:val="000000"/>
                <w:sz w:val="24"/>
              </w:rPr>
              <w:t>造型、浇铸工序未被收集的颗粒物、有机废气在车间内无组织排放，无组织颗粒物排放量为0</w:t>
            </w:r>
            <w:r>
              <w:rPr>
                <w:color w:val="000000"/>
                <w:sz w:val="24"/>
              </w:rPr>
              <w:t>.025t/a</w:t>
            </w:r>
            <w:r>
              <w:rPr>
                <w:rFonts w:hint="eastAsia"/>
                <w:color w:val="000000"/>
                <w:sz w:val="24"/>
              </w:rPr>
              <w:t>，无组织非甲烷总烃经全封闭的车间后排放量约为</w:t>
            </w:r>
            <w:r>
              <w:rPr>
                <w:color w:val="000000"/>
                <w:sz w:val="24"/>
              </w:rPr>
              <w:t>0.12</w:t>
            </w:r>
            <w:r>
              <w:rPr>
                <w:rFonts w:hint="eastAsia"/>
                <w:color w:val="000000"/>
                <w:sz w:val="24"/>
              </w:rPr>
              <w:t>t/a。未完全收集的铸件脱离工序废气、抛丸粉尘，无组织产生量为</w:t>
            </w:r>
            <w:r>
              <w:rPr>
                <w:color w:val="000000"/>
                <w:sz w:val="24"/>
              </w:rPr>
              <w:t>0.2</w:t>
            </w:r>
            <w:r>
              <w:rPr>
                <w:rFonts w:hint="eastAsia"/>
                <w:color w:val="000000"/>
                <w:sz w:val="24"/>
              </w:rPr>
              <w:t>t/a，车间为全封闭车间，地面全部进行硬化，经过在全封闭的车间内自然沉降、泼洒抑尘等措施，排放量约为0</w:t>
            </w:r>
            <w:r>
              <w:rPr>
                <w:color w:val="000000"/>
                <w:sz w:val="24"/>
              </w:rPr>
              <w:t>.02t/a</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废砂在冷却区袋装暂存，并用苫布覆盖，在袋装及转运装卸过程中会产生一定的扰动，产生无组织排放粉尘，本项目冷却区三面围挡，地面进行了硬化处理，进出后设有苫布作为门帘围挡，并设有1台雾炮喷淋，因此产生的无组织粉尘排放量较小，年排放量约</w:t>
            </w:r>
            <w:r>
              <w:rPr>
                <w:color w:val="000000"/>
                <w:sz w:val="24"/>
              </w:rPr>
              <w:t>0.1t</w:t>
            </w:r>
            <w:r>
              <w:rPr>
                <w:rFonts w:hint="eastAsia"/>
                <w:color w:val="000000"/>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3、废水</w:t>
            </w:r>
          </w:p>
          <w:p>
            <w:pPr>
              <w:adjustRightInd w:val="0"/>
              <w:snapToGrid w:val="0"/>
              <w:spacing w:line="360" w:lineRule="auto"/>
              <w:ind w:firstLine="480" w:firstLineChars="200"/>
              <w:rPr>
                <w:color w:val="000000"/>
                <w:sz w:val="24"/>
              </w:rPr>
            </w:pPr>
            <w:r>
              <w:rPr>
                <w:rFonts w:hint="eastAsia"/>
                <w:color w:val="000000"/>
                <w:sz w:val="24"/>
              </w:rPr>
              <w:t>本项目无废水产生，冷却水循环使用，生活</w:t>
            </w:r>
            <w:r>
              <w:rPr>
                <w:rFonts w:hint="eastAsia"/>
                <w:color w:val="000000"/>
                <w:sz w:val="24"/>
                <w:lang w:eastAsia="zh-CN"/>
              </w:rPr>
              <w:t>污水处理厂</w:t>
            </w:r>
            <w:r>
              <w:rPr>
                <w:rFonts w:hint="eastAsia"/>
                <w:color w:val="000000"/>
                <w:sz w:val="24"/>
              </w:rPr>
              <w:t>区内泼洒抑尘，均不外排。</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噪声</w:t>
            </w:r>
          </w:p>
          <w:p>
            <w:pPr>
              <w:adjustRightInd w:val="0"/>
              <w:snapToGrid w:val="0"/>
              <w:spacing w:line="360" w:lineRule="auto"/>
              <w:ind w:firstLine="480" w:firstLineChars="200"/>
              <w:rPr>
                <w:rFonts w:hAnsi="宋体"/>
                <w:color w:val="000000"/>
                <w:sz w:val="24"/>
              </w:rPr>
            </w:pPr>
            <w:r>
              <w:rPr>
                <w:rFonts w:hint="eastAsia" w:hAnsi="宋体"/>
                <w:color w:val="000000"/>
                <w:sz w:val="24"/>
              </w:rPr>
              <w:t>本项目噪声源主要为撞箱、风机等机械设备，噪声值约为70～</w:t>
            </w:r>
            <w:r>
              <w:rPr>
                <w:rFonts w:hAnsi="宋体"/>
                <w:color w:val="000000"/>
                <w:sz w:val="24"/>
              </w:rPr>
              <w:t>85</w:t>
            </w:r>
            <w:r>
              <w:rPr>
                <w:rFonts w:hint="eastAsia" w:hAnsi="宋体"/>
                <w:color w:val="000000"/>
                <w:sz w:val="24"/>
              </w:rPr>
              <w:t>dB(A)。</w:t>
            </w:r>
            <w:r>
              <w:rPr>
                <w:rFonts w:hint="eastAsia"/>
                <w:color w:val="000000"/>
              </w:rPr>
              <w:t>通过采取基础减振、厂房隔声等措施</w:t>
            </w:r>
            <w:r>
              <w:rPr>
                <w:color w:val="000000"/>
              </w:rPr>
              <w:t>，</w:t>
            </w:r>
            <w:r>
              <w:rPr>
                <w:rFonts w:hint="eastAsia"/>
                <w:color w:val="000000"/>
              </w:rPr>
              <w:t>降噪效果达到20dB(A)以上。</w:t>
            </w:r>
          </w:p>
          <w:p>
            <w:pPr>
              <w:adjustRightInd w:val="0"/>
              <w:snapToGrid w:val="0"/>
              <w:spacing w:line="360" w:lineRule="auto"/>
              <w:ind w:firstLine="480" w:firstLineChars="200"/>
              <w:rPr>
                <w:rFonts w:ascii="宋体" w:hAnsi="宋体"/>
                <w:sz w:val="24"/>
              </w:rPr>
            </w:pPr>
            <w:r>
              <w:rPr>
                <w:rFonts w:hint="eastAsia" w:ascii="宋体" w:hAnsi="宋体"/>
                <w:sz w:val="24"/>
              </w:rPr>
              <w:t>5</w:t>
            </w:r>
            <w:r>
              <w:rPr>
                <w:rFonts w:ascii="宋体" w:hAnsi="宋体"/>
                <w:sz w:val="24"/>
              </w:rPr>
              <w:t>、废物</w:t>
            </w:r>
          </w:p>
          <w:bookmarkEnd w:id="4"/>
          <w:bookmarkEnd w:id="5"/>
          <w:p>
            <w:pPr>
              <w:adjustRightInd w:val="0"/>
              <w:snapToGrid w:val="0"/>
              <w:spacing w:line="360" w:lineRule="auto"/>
              <w:ind w:firstLine="480" w:firstLineChars="200"/>
              <w:rPr>
                <w:rFonts w:hAnsi="宋体"/>
                <w:color w:val="000000"/>
                <w:sz w:val="24"/>
              </w:rPr>
            </w:pPr>
            <w:r>
              <w:rPr>
                <w:rFonts w:hint="eastAsia" w:hAnsi="宋体"/>
                <w:color w:val="000000"/>
                <w:sz w:val="24"/>
              </w:rPr>
              <w:t>本项目产生的固体废物分为一般固废和危险废物。</w:t>
            </w:r>
          </w:p>
          <w:p>
            <w:pPr>
              <w:adjustRightInd w:val="0"/>
              <w:snapToGrid w:val="0"/>
              <w:spacing w:line="360" w:lineRule="auto"/>
              <w:ind w:firstLine="480" w:firstLineChars="200"/>
              <w:rPr>
                <w:rFonts w:hAnsi="宋体"/>
                <w:color w:val="000000"/>
                <w:sz w:val="24"/>
              </w:rPr>
            </w:pPr>
            <w:r>
              <w:rPr>
                <w:rFonts w:hint="eastAsia" w:hAnsi="宋体"/>
                <w:color w:val="000000"/>
                <w:sz w:val="24"/>
              </w:rPr>
              <w:t>一般固废</w:t>
            </w:r>
          </w:p>
          <w:p>
            <w:pPr>
              <w:adjustRightInd w:val="0"/>
              <w:snapToGrid w:val="0"/>
              <w:spacing w:line="360" w:lineRule="auto"/>
              <w:ind w:firstLine="480" w:firstLineChars="200"/>
              <w:rPr>
                <w:rFonts w:hAnsi="宋体"/>
                <w:color w:val="000000"/>
                <w:sz w:val="24"/>
              </w:rPr>
            </w:pPr>
            <w:r>
              <w:rPr>
                <w:rFonts w:hint="eastAsia" w:hAnsi="宋体"/>
                <w:color w:val="000000"/>
                <w:sz w:val="24"/>
              </w:rPr>
              <w:t>一般固废为冷却脱壳产生的废砂、中频电炉炉产生的废石英砂、中频电炉除尘器产生的除尘灰、浇铸工序产生的除尘灰、抛丸工序产生的铁砂混合物、抛丸、撞箱除尘器产生的除尘灰、职工生活垃圾。</w:t>
            </w:r>
          </w:p>
          <w:p>
            <w:pPr>
              <w:spacing w:line="480" w:lineRule="exact"/>
              <w:ind w:firstLine="482" w:firstLineChars="200"/>
              <w:jc w:val="center"/>
              <w:rPr>
                <w:rFonts w:hAnsi="宋体"/>
                <w:color w:val="000000"/>
                <w:sz w:val="24"/>
              </w:rPr>
            </w:pPr>
            <w:r>
              <w:rPr>
                <w:rFonts w:hint="eastAsia" w:hAnsi="宋体"/>
                <w:b/>
                <w:color w:val="000000"/>
                <w:sz w:val="24"/>
              </w:rPr>
              <w:t>表5  一般固废产生量一览表</w:t>
            </w:r>
          </w:p>
          <w:tbl>
            <w:tblPr>
              <w:tblStyle w:val="12"/>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703"/>
              <w:gridCol w:w="1476"/>
              <w:gridCol w:w="1652"/>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产污环节</w:t>
                  </w:r>
                </w:p>
              </w:tc>
              <w:tc>
                <w:tcPr>
                  <w:tcW w:w="1703" w:type="dxa"/>
                  <w:shd w:val="clear" w:color="auto" w:fill="auto"/>
                  <w:vAlign w:val="center"/>
                </w:tcPr>
                <w:p>
                  <w:pPr>
                    <w:jc w:val="center"/>
                    <w:rPr>
                      <w:rFonts w:hAnsi="宋体"/>
                      <w:color w:val="000000"/>
                      <w:szCs w:val="21"/>
                    </w:rPr>
                  </w:pPr>
                  <w:r>
                    <w:rPr>
                      <w:rFonts w:hint="eastAsia" w:hAnsi="宋体"/>
                      <w:color w:val="000000"/>
                      <w:szCs w:val="21"/>
                    </w:rPr>
                    <w:t>污染物</w:t>
                  </w:r>
                </w:p>
              </w:tc>
              <w:tc>
                <w:tcPr>
                  <w:tcW w:w="1476" w:type="dxa"/>
                  <w:vAlign w:val="center"/>
                </w:tcPr>
                <w:p>
                  <w:pPr>
                    <w:jc w:val="center"/>
                    <w:rPr>
                      <w:rFonts w:hAnsi="宋体"/>
                      <w:color w:val="000000"/>
                      <w:szCs w:val="21"/>
                    </w:rPr>
                  </w:pPr>
                  <w:r>
                    <w:rPr>
                      <w:rFonts w:hint="eastAsia" w:hAnsi="宋体"/>
                      <w:color w:val="000000"/>
                      <w:szCs w:val="21"/>
                    </w:rPr>
                    <w:t>成分</w:t>
                  </w:r>
                </w:p>
              </w:tc>
              <w:tc>
                <w:tcPr>
                  <w:tcW w:w="1652" w:type="dxa"/>
                  <w:shd w:val="clear" w:color="auto" w:fill="auto"/>
                  <w:vAlign w:val="center"/>
                </w:tcPr>
                <w:p>
                  <w:pPr>
                    <w:jc w:val="center"/>
                    <w:rPr>
                      <w:rFonts w:hAnsi="宋体"/>
                      <w:color w:val="000000"/>
                      <w:szCs w:val="21"/>
                    </w:rPr>
                  </w:pPr>
                  <w:r>
                    <w:rPr>
                      <w:rFonts w:hint="eastAsia" w:hAnsi="宋体"/>
                      <w:color w:val="000000"/>
                      <w:szCs w:val="21"/>
                    </w:rPr>
                    <w:t>产生量（t</w:t>
                  </w:r>
                  <w:r>
                    <w:rPr>
                      <w:rFonts w:hAnsi="宋体"/>
                      <w:color w:val="000000"/>
                      <w:szCs w:val="21"/>
                    </w:rPr>
                    <w:t>/a</w:t>
                  </w:r>
                  <w:r>
                    <w:rPr>
                      <w:rFonts w:hint="eastAsia" w:hAnsi="宋体"/>
                      <w:color w:val="000000"/>
                      <w:szCs w:val="21"/>
                    </w:rPr>
                    <w:t>）</w:t>
                  </w:r>
                </w:p>
              </w:tc>
              <w:tc>
                <w:tcPr>
                  <w:tcW w:w="1784" w:type="dxa"/>
                  <w:shd w:val="clear" w:color="auto" w:fill="auto"/>
                  <w:vAlign w:val="center"/>
                </w:tcPr>
                <w:p>
                  <w:pPr>
                    <w:jc w:val="center"/>
                    <w:rPr>
                      <w:rFonts w:hAnsi="宋体"/>
                      <w:color w:val="000000"/>
                      <w:szCs w:val="21"/>
                    </w:rPr>
                  </w:pPr>
                  <w:r>
                    <w:rPr>
                      <w:rFonts w:hint="eastAsia" w:hAnsi="宋体"/>
                      <w:color w:val="000000"/>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冷却脱壳</w:t>
                  </w:r>
                </w:p>
              </w:tc>
              <w:tc>
                <w:tcPr>
                  <w:tcW w:w="1703" w:type="dxa"/>
                  <w:shd w:val="clear" w:color="auto" w:fill="auto"/>
                  <w:vAlign w:val="center"/>
                </w:tcPr>
                <w:p>
                  <w:pPr>
                    <w:jc w:val="center"/>
                    <w:rPr>
                      <w:rFonts w:hAnsi="宋体"/>
                      <w:color w:val="000000"/>
                      <w:szCs w:val="21"/>
                    </w:rPr>
                  </w:pPr>
                  <w:r>
                    <w:rPr>
                      <w:rFonts w:hint="eastAsia" w:hAnsi="宋体"/>
                      <w:color w:val="000000"/>
                      <w:szCs w:val="21"/>
                    </w:rPr>
                    <w:t>废覆膜砂</w:t>
                  </w:r>
                </w:p>
              </w:tc>
              <w:tc>
                <w:tcPr>
                  <w:tcW w:w="1476" w:type="dxa"/>
                  <w:vAlign w:val="center"/>
                </w:tcPr>
                <w:p>
                  <w:pPr>
                    <w:jc w:val="center"/>
                    <w:rPr>
                      <w:rFonts w:hAnsi="宋体"/>
                      <w:color w:val="000000"/>
                      <w:szCs w:val="21"/>
                    </w:rPr>
                  </w:pPr>
                  <w:r>
                    <w:rPr>
                      <w:rFonts w:hint="eastAsia" w:hAnsi="宋体"/>
                      <w:color w:val="000000"/>
                      <w:szCs w:val="21"/>
                    </w:rPr>
                    <w:t>砂颗粒</w:t>
                  </w:r>
                </w:p>
              </w:tc>
              <w:tc>
                <w:tcPr>
                  <w:tcW w:w="1652" w:type="dxa"/>
                  <w:shd w:val="clear" w:color="auto" w:fill="auto"/>
                  <w:vAlign w:val="center"/>
                </w:tcPr>
                <w:p>
                  <w:pPr>
                    <w:jc w:val="center"/>
                    <w:rPr>
                      <w:rFonts w:hAnsi="宋体"/>
                      <w:color w:val="000000"/>
                      <w:szCs w:val="21"/>
                    </w:rPr>
                  </w:pPr>
                  <w:r>
                    <w:rPr>
                      <w:rFonts w:hAnsi="宋体"/>
                      <w:color w:val="000000"/>
                      <w:szCs w:val="21"/>
                    </w:rPr>
                    <w:t>4759</w:t>
                  </w:r>
                </w:p>
              </w:tc>
              <w:tc>
                <w:tcPr>
                  <w:tcW w:w="1784" w:type="dxa"/>
                  <w:shd w:val="clear" w:color="auto" w:fill="auto"/>
                  <w:vAlign w:val="center"/>
                </w:tcPr>
                <w:p>
                  <w:pPr>
                    <w:jc w:val="center"/>
                    <w:rPr>
                      <w:rFonts w:hAnsi="宋体"/>
                      <w:color w:val="000000"/>
                      <w:szCs w:val="21"/>
                    </w:rPr>
                  </w:pPr>
                  <w:r>
                    <w:rPr>
                      <w:rFonts w:hint="eastAsia" w:hAnsi="宋体"/>
                      <w:color w:val="000000"/>
                      <w:szCs w:val="21"/>
                    </w:rPr>
                    <w:t>自然冷却区暂存，生产厂家回收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中频电炉</w:t>
                  </w:r>
                </w:p>
              </w:tc>
              <w:tc>
                <w:tcPr>
                  <w:tcW w:w="1703" w:type="dxa"/>
                  <w:shd w:val="clear" w:color="auto" w:fill="auto"/>
                  <w:vAlign w:val="center"/>
                </w:tcPr>
                <w:p>
                  <w:pPr>
                    <w:jc w:val="center"/>
                    <w:rPr>
                      <w:rFonts w:hAnsi="宋体"/>
                      <w:color w:val="000000"/>
                      <w:szCs w:val="21"/>
                    </w:rPr>
                  </w:pPr>
                  <w:r>
                    <w:rPr>
                      <w:rFonts w:hint="eastAsia" w:hAnsi="宋体"/>
                      <w:color w:val="000000"/>
                      <w:szCs w:val="21"/>
                    </w:rPr>
                    <w:t>废石英砂</w:t>
                  </w:r>
                </w:p>
              </w:tc>
              <w:tc>
                <w:tcPr>
                  <w:tcW w:w="1476" w:type="dxa"/>
                  <w:vAlign w:val="center"/>
                </w:tcPr>
                <w:p>
                  <w:pPr>
                    <w:jc w:val="center"/>
                    <w:rPr>
                      <w:rFonts w:hAnsi="宋体"/>
                      <w:color w:val="000000"/>
                      <w:szCs w:val="21"/>
                    </w:rPr>
                  </w:pPr>
                  <w:r>
                    <w:rPr>
                      <w:rFonts w:hint="eastAsia" w:hAnsi="宋体"/>
                      <w:color w:val="000000"/>
                      <w:szCs w:val="21"/>
                    </w:rPr>
                    <w:t>砂颗粒</w:t>
                  </w:r>
                </w:p>
              </w:tc>
              <w:tc>
                <w:tcPr>
                  <w:tcW w:w="1652" w:type="dxa"/>
                  <w:shd w:val="clear" w:color="auto" w:fill="auto"/>
                  <w:vAlign w:val="center"/>
                </w:tcPr>
                <w:p>
                  <w:pPr>
                    <w:jc w:val="center"/>
                    <w:rPr>
                      <w:rFonts w:hAnsi="宋体"/>
                      <w:color w:val="000000"/>
                      <w:szCs w:val="21"/>
                    </w:rPr>
                  </w:pPr>
                  <w:r>
                    <w:rPr>
                      <w:rFonts w:hint="eastAsia" w:hAnsi="宋体"/>
                      <w:color w:val="000000"/>
                      <w:szCs w:val="21"/>
                    </w:rPr>
                    <w:t>2</w:t>
                  </w:r>
                  <w:r>
                    <w:rPr>
                      <w:rFonts w:hAnsi="宋体"/>
                      <w:color w:val="000000"/>
                      <w:szCs w:val="21"/>
                    </w:rPr>
                    <w:t>0</w:t>
                  </w:r>
                </w:p>
              </w:tc>
              <w:tc>
                <w:tcPr>
                  <w:tcW w:w="1784" w:type="dxa"/>
                  <w:shd w:val="clear" w:color="auto" w:fill="auto"/>
                  <w:vAlign w:val="center"/>
                </w:tcPr>
                <w:p>
                  <w:pPr>
                    <w:jc w:val="center"/>
                    <w:rPr>
                      <w:rFonts w:hAnsi="宋体"/>
                      <w:color w:val="000000"/>
                      <w:szCs w:val="21"/>
                    </w:rPr>
                  </w:pPr>
                  <w:r>
                    <w:rPr>
                      <w:rFonts w:hint="eastAsia" w:hAnsi="宋体"/>
                      <w:color w:val="000000"/>
                      <w:szCs w:val="21"/>
                    </w:rPr>
                    <w:t>交由生产厂家回收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中频电炉除尘器</w:t>
                  </w:r>
                </w:p>
              </w:tc>
              <w:tc>
                <w:tcPr>
                  <w:tcW w:w="1703" w:type="dxa"/>
                  <w:shd w:val="clear" w:color="auto" w:fill="auto"/>
                  <w:vAlign w:val="center"/>
                </w:tcPr>
                <w:p>
                  <w:pPr>
                    <w:jc w:val="center"/>
                    <w:rPr>
                      <w:rFonts w:hAnsi="宋体"/>
                      <w:color w:val="000000"/>
                      <w:szCs w:val="21"/>
                    </w:rPr>
                  </w:pPr>
                  <w:r>
                    <w:rPr>
                      <w:rFonts w:hint="eastAsia" w:hAnsi="宋体"/>
                      <w:color w:val="000000"/>
                      <w:szCs w:val="21"/>
                    </w:rPr>
                    <w:t>除尘灰</w:t>
                  </w:r>
                </w:p>
              </w:tc>
              <w:tc>
                <w:tcPr>
                  <w:tcW w:w="1476" w:type="dxa"/>
                  <w:vAlign w:val="center"/>
                </w:tcPr>
                <w:p>
                  <w:pPr>
                    <w:jc w:val="center"/>
                    <w:rPr>
                      <w:rFonts w:hAnsi="宋体"/>
                      <w:color w:val="000000"/>
                      <w:szCs w:val="21"/>
                    </w:rPr>
                  </w:pPr>
                  <w:r>
                    <w:rPr>
                      <w:rFonts w:hint="eastAsia" w:hAnsi="宋体"/>
                      <w:color w:val="000000"/>
                      <w:szCs w:val="21"/>
                    </w:rPr>
                    <w:t>铁屑</w:t>
                  </w:r>
                </w:p>
              </w:tc>
              <w:tc>
                <w:tcPr>
                  <w:tcW w:w="1652" w:type="dxa"/>
                  <w:shd w:val="clear" w:color="auto" w:fill="auto"/>
                  <w:vAlign w:val="center"/>
                </w:tcPr>
                <w:p>
                  <w:pPr>
                    <w:jc w:val="center"/>
                    <w:rPr>
                      <w:rFonts w:hAnsi="宋体"/>
                      <w:color w:val="000000"/>
                      <w:szCs w:val="21"/>
                    </w:rPr>
                  </w:pPr>
                  <w:r>
                    <w:rPr>
                      <w:rFonts w:hint="eastAsia" w:hAnsi="宋体"/>
                      <w:color w:val="000000"/>
                      <w:szCs w:val="21"/>
                    </w:rPr>
                    <w:t>1</w:t>
                  </w:r>
                  <w:r>
                    <w:rPr>
                      <w:rFonts w:hAnsi="宋体"/>
                      <w:color w:val="000000"/>
                      <w:szCs w:val="21"/>
                    </w:rPr>
                    <w:t>3.33</w:t>
                  </w:r>
                </w:p>
              </w:tc>
              <w:tc>
                <w:tcPr>
                  <w:tcW w:w="1784" w:type="dxa"/>
                  <w:shd w:val="clear" w:color="auto" w:fill="auto"/>
                  <w:vAlign w:val="center"/>
                </w:tcPr>
                <w:p>
                  <w:pPr>
                    <w:jc w:val="center"/>
                    <w:rPr>
                      <w:rFonts w:hAnsi="宋体"/>
                      <w:color w:val="000000"/>
                      <w:szCs w:val="21"/>
                    </w:rPr>
                  </w:pPr>
                  <w:r>
                    <w:rPr>
                      <w:rFonts w:hint="eastAsia" w:hAnsi="宋体"/>
                      <w:color w:val="000000"/>
                      <w:szCs w:val="21"/>
                    </w:rPr>
                    <w:t>外售废铁收购站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浇铸工序</w:t>
                  </w:r>
                </w:p>
              </w:tc>
              <w:tc>
                <w:tcPr>
                  <w:tcW w:w="1703" w:type="dxa"/>
                  <w:shd w:val="clear" w:color="auto" w:fill="auto"/>
                  <w:vAlign w:val="center"/>
                </w:tcPr>
                <w:p>
                  <w:pPr>
                    <w:jc w:val="center"/>
                    <w:rPr>
                      <w:rFonts w:hAnsi="宋体"/>
                      <w:color w:val="000000"/>
                      <w:szCs w:val="21"/>
                    </w:rPr>
                  </w:pPr>
                  <w:r>
                    <w:rPr>
                      <w:rFonts w:hint="eastAsia" w:hAnsi="宋体"/>
                      <w:color w:val="000000"/>
                      <w:szCs w:val="21"/>
                    </w:rPr>
                    <w:t>废覆膜砂</w:t>
                  </w:r>
                </w:p>
              </w:tc>
              <w:tc>
                <w:tcPr>
                  <w:tcW w:w="1476" w:type="dxa"/>
                  <w:vAlign w:val="center"/>
                </w:tcPr>
                <w:p>
                  <w:pPr>
                    <w:jc w:val="center"/>
                    <w:rPr>
                      <w:rFonts w:hAnsi="宋体"/>
                      <w:color w:val="000000"/>
                      <w:szCs w:val="21"/>
                    </w:rPr>
                  </w:pPr>
                  <w:r>
                    <w:rPr>
                      <w:rFonts w:hint="eastAsia" w:hAnsi="宋体"/>
                      <w:color w:val="000000"/>
                      <w:szCs w:val="21"/>
                    </w:rPr>
                    <w:t>砂颗粒</w:t>
                  </w:r>
                </w:p>
              </w:tc>
              <w:tc>
                <w:tcPr>
                  <w:tcW w:w="1652" w:type="dxa"/>
                  <w:shd w:val="clear" w:color="auto" w:fill="auto"/>
                  <w:vAlign w:val="center"/>
                </w:tcPr>
                <w:p>
                  <w:pPr>
                    <w:jc w:val="center"/>
                    <w:rPr>
                      <w:rFonts w:hAnsi="宋体"/>
                      <w:color w:val="000000"/>
                      <w:szCs w:val="21"/>
                    </w:rPr>
                  </w:pPr>
                  <w:r>
                    <w:rPr>
                      <w:rFonts w:hint="eastAsia" w:hAnsi="宋体"/>
                      <w:color w:val="000000"/>
                      <w:szCs w:val="21"/>
                    </w:rPr>
                    <w:t>0</w:t>
                  </w:r>
                  <w:r>
                    <w:rPr>
                      <w:rFonts w:hAnsi="宋体"/>
                      <w:color w:val="000000"/>
                      <w:szCs w:val="21"/>
                    </w:rPr>
                    <w:t>.21</w:t>
                  </w:r>
                </w:p>
              </w:tc>
              <w:tc>
                <w:tcPr>
                  <w:tcW w:w="1784" w:type="dxa"/>
                  <w:shd w:val="clear" w:color="auto" w:fill="auto"/>
                  <w:vAlign w:val="center"/>
                </w:tcPr>
                <w:p>
                  <w:pPr>
                    <w:jc w:val="center"/>
                    <w:rPr>
                      <w:rFonts w:hAnsi="宋体"/>
                      <w:color w:val="000000"/>
                      <w:szCs w:val="21"/>
                    </w:rPr>
                  </w:pPr>
                  <w:r>
                    <w:rPr>
                      <w:rFonts w:hint="eastAsia" w:hAnsi="宋体"/>
                      <w:color w:val="000000"/>
                      <w:szCs w:val="21"/>
                    </w:rPr>
                    <w:t>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抛丸工序</w:t>
                  </w:r>
                </w:p>
              </w:tc>
              <w:tc>
                <w:tcPr>
                  <w:tcW w:w="1703" w:type="dxa"/>
                  <w:shd w:val="clear" w:color="auto" w:fill="auto"/>
                  <w:vAlign w:val="center"/>
                </w:tcPr>
                <w:p>
                  <w:pPr>
                    <w:jc w:val="center"/>
                    <w:rPr>
                      <w:rFonts w:hAnsi="宋体"/>
                      <w:color w:val="000000"/>
                      <w:szCs w:val="21"/>
                    </w:rPr>
                  </w:pPr>
                  <w:r>
                    <w:rPr>
                      <w:rFonts w:hint="eastAsia" w:hAnsi="宋体"/>
                      <w:color w:val="000000"/>
                      <w:szCs w:val="21"/>
                    </w:rPr>
                    <w:t>铁砂混合物</w:t>
                  </w:r>
                </w:p>
              </w:tc>
              <w:tc>
                <w:tcPr>
                  <w:tcW w:w="1476" w:type="dxa"/>
                  <w:vAlign w:val="center"/>
                </w:tcPr>
                <w:p>
                  <w:pPr>
                    <w:jc w:val="center"/>
                    <w:rPr>
                      <w:rFonts w:hAnsi="宋体"/>
                      <w:color w:val="000000"/>
                      <w:szCs w:val="21"/>
                    </w:rPr>
                  </w:pPr>
                  <w:r>
                    <w:rPr>
                      <w:rFonts w:hint="eastAsia" w:hAnsi="宋体"/>
                      <w:color w:val="000000"/>
                      <w:szCs w:val="21"/>
                    </w:rPr>
                    <w:t>铁粉</w:t>
                  </w:r>
                </w:p>
              </w:tc>
              <w:tc>
                <w:tcPr>
                  <w:tcW w:w="1652" w:type="dxa"/>
                  <w:shd w:val="clear" w:color="auto" w:fill="auto"/>
                  <w:vAlign w:val="center"/>
                </w:tcPr>
                <w:p>
                  <w:pPr>
                    <w:jc w:val="center"/>
                    <w:rPr>
                      <w:rFonts w:hAnsi="宋体"/>
                      <w:color w:val="000000"/>
                      <w:szCs w:val="21"/>
                    </w:rPr>
                  </w:pPr>
                  <w:r>
                    <w:rPr>
                      <w:rFonts w:hint="eastAsia" w:hAnsi="宋体"/>
                      <w:color w:val="000000"/>
                      <w:szCs w:val="21"/>
                    </w:rPr>
                    <w:t>1</w:t>
                  </w:r>
                  <w:r>
                    <w:rPr>
                      <w:rFonts w:hAnsi="宋体"/>
                      <w:color w:val="000000"/>
                      <w:szCs w:val="21"/>
                    </w:rPr>
                    <w:t>.0</w:t>
                  </w:r>
                </w:p>
              </w:tc>
              <w:tc>
                <w:tcPr>
                  <w:tcW w:w="1784" w:type="dxa"/>
                  <w:shd w:val="clear" w:color="auto" w:fill="auto"/>
                  <w:vAlign w:val="center"/>
                </w:tcPr>
                <w:p>
                  <w:pPr>
                    <w:jc w:val="center"/>
                    <w:rPr>
                      <w:rFonts w:hAnsi="宋体"/>
                      <w:color w:val="000000"/>
                      <w:szCs w:val="21"/>
                    </w:rPr>
                  </w:pPr>
                  <w:r>
                    <w:rPr>
                      <w:rFonts w:hint="eastAsia" w:hAnsi="宋体"/>
                      <w:color w:val="000000"/>
                      <w:szCs w:val="21"/>
                    </w:rPr>
                    <w:t>外售废铁收购站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抛丸、撞箱除尘器</w:t>
                  </w:r>
                </w:p>
              </w:tc>
              <w:tc>
                <w:tcPr>
                  <w:tcW w:w="1703" w:type="dxa"/>
                  <w:shd w:val="clear" w:color="auto" w:fill="auto"/>
                  <w:vAlign w:val="center"/>
                </w:tcPr>
                <w:p>
                  <w:pPr>
                    <w:jc w:val="center"/>
                    <w:rPr>
                      <w:rFonts w:hAnsi="宋体"/>
                      <w:color w:val="000000"/>
                      <w:szCs w:val="21"/>
                    </w:rPr>
                  </w:pPr>
                  <w:r>
                    <w:rPr>
                      <w:rFonts w:hint="eastAsia" w:hAnsi="宋体"/>
                      <w:color w:val="000000"/>
                      <w:szCs w:val="21"/>
                    </w:rPr>
                    <w:t>除尘灰</w:t>
                  </w:r>
                </w:p>
              </w:tc>
              <w:tc>
                <w:tcPr>
                  <w:tcW w:w="1476" w:type="dxa"/>
                  <w:vAlign w:val="center"/>
                </w:tcPr>
                <w:p>
                  <w:pPr>
                    <w:jc w:val="center"/>
                    <w:rPr>
                      <w:rFonts w:hAnsi="宋体"/>
                      <w:color w:val="000000"/>
                      <w:szCs w:val="21"/>
                    </w:rPr>
                  </w:pPr>
                  <w:r>
                    <w:rPr>
                      <w:rFonts w:hint="eastAsia" w:hAnsi="宋体"/>
                      <w:color w:val="000000"/>
                      <w:szCs w:val="21"/>
                    </w:rPr>
                    <w:t>铁砂混合物</w:t>
                  </w:r>
                </w:p>
              </w:tc>
              <w:tc>
                <w:tcPr>
                  <w:tcW w:w="1652" w:type="dxa"/>
                  <w:shd w:val="clear" w:color="auto" w:fill="auto"/>
                  <w:vAlign w:val="center"/>
                </w:tcPr>
                <w:p>
                  <w:pPr>
                    <w:jc w:val="center"/>
                    <w:rPr>
                      <w:rFonts w:hAnsi="宋体"/>
                      <w:color w:val="000000"/>
                      <w:szCs w:val="21"/>
                    </w:rPr>
                  </w:pPr>
                  <w:r>
                    <w:rPr>
                      <w:rFonts w:hAnsi="宋体"/>
                      <w:color w:val="000000"/>
                      <w:szCs w:val="21"/>
                    </w:rPr>
                    <w:t>68.25</w:t>
                  </w:r>
                </w:p>
              </w:tc>
              <w:tc>
                <w:tcPr>
                  <w:tcW w:w="1784" w:type="dxa"/>
                  <w:shd w:val="clear" w:color="auto" w:fill="auto"/>
                  <w:vAlign w:val="center"/>
                </w:tcPr>
                <w:p>
                  <w:pPr>
                    <w:jc w:val="center"/>
                    <w:rPr>
                      <w:rFonts w:hAnsi="宋体"/>
                      <w:color w:val="000000"/>
                      <w:szCs w:val="21"/>
                    </w:rPr>
                  </w:pPr>
                  <w:r>
                    <w:rPr>
                      <w:rFonts w:hint="eastAsia" w:hAnsi="宋体"/>
                      <w:color w:val="000000"/>
                      <w:szCs w:val="21"/>
                    </w:rPr>
                    <w:t>外售废铁收购站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shd w:val="clear" w:color="auto" w:fill="auto"/>
                  <w:vAlign w:val="center"/>
                </w:tcPr>
                <w:p>
                  <w:pPr>
                    <w:jc w:val="center"/>
                    <w:rPr>
                      <w:rFonts w:hAnsi="宋体"/>
                      <w:color w:val="000000"/>
                      <w:szCs w:val="21"/>
                    </w:rPr>
                  </w:pPr>
                  <w:r>
                    <w:rPr>
                      <w:rFonts w:hint="eastAsia" w:hAnsi="宋体"/>
                      <w:color w:val="000000"/>
                      <w:szCs w:val="21"/>
                    </w:rPr>
                    <w:t>职工生活</w:t>
                  </w:r>
                </w:p>
              </w:tc>
              <w:tc>
                <w:tcPr>
                  <w:tcW w:w="1703" w:type="dxa"/>
                  <w:shd w:val="clear" w:color="auto" w:fill="auto"/>
                  <w:vAlign w:val="center"/>
                </w:tcPr>
                <w:p>
                  <w:pPr>
                    <w:jc w:val="center"/>
                    <w:rPr>
                      <w:rFonts w:hAnsi="宋体"/>
                      <w:color w:val="000000"/>
                      <w:szCs w:val="21"/>
                    </w:rPr>
                  </w:pPr>
                  <w:r>
                    <w:rPr>
                      <w:rFonts w:hint="eastAsia" w:hAnsi="宋体"/>
                      <w:color w:val="000000"/>
                      <w:szCs w:val="21"/>
                    </w:rPr>
                    <w:t>生活垃圾</w:t>
                  </w:r>
                </w:p>
              </w:tc>
              <w:tc>
                <w:tcPr>
                  <w:tcW w:w="1476" w:type="dxa"/>
                  <w:vAlign w:val="center"/>
                </w:tcPr>
                <w:p>
                  <w:pPr>
                    <w:jc w:val="center"/>
                    <w:rPr>
                      <w:rFonts w:hAnsi="宋体"/>
                      <w:color w:val="000000"/>
                      <w:szCs w:val="21"/>
                    </w:rPr>
                  </w:pPr>
                  <w:r>
                    <w:rPr>
                      <w:rFonts w:hint="eastAsia" w:hAnsi="宋体"/>
                      <w:color w:val="000000"/>
                      <w:szCs w:val="21"/>
                    </w:rPr>
                    <w:t>纸张、果皮等</w:t>
                  </w:r>
                </w:p>
              </w:tc>
              <w:tc>
                <w:tcPr>
                  <w:tcW w:w="1652" w:type="dxa"/>
                  <w:shd w:val="clear" w:color="auto" w:fill="auto"/>
                  <w:vAlign w:val="center"/>
                </w:tcPr>
                <w:p>
                  <w:pPr>
                    <w:jc w:val="center"/>
                    <w:rPr>
                      <w:rFonts w:hAnsi="宋体"/>
                      <w:color w:val="000000"/>
                      <w:szCs w:val="21"/>
                    </w:rPr>
                  </w:pPr>
                  <w:r>
                    <w:rPr>
                      <w:rFonts w:hint="eastAsia" w:hAnsi="宋体"/>
                      <w:color w:val="000000"/>
                      <w:szCs w:val="21"/>
                    </w:rPr>
                    <w:t>3</w:t>
                  </w:r>
                </w:p>
              </w:tc>
              <w:tc>
                <w:tcPr>
                  <w:tcW w:w="1784" w:type="dxa"/>
                  <w:shd w:val="clear" w:color="auto" w:fill="auto"/>
                  <w:vAlign w:val="center"/>
                </w:tcPr>
                <w:p>
                  <w:pPr>
                    <w:jc w:val="center"/>
                    <w:rPr>
                      <w:rFonts w:hAnsi="宋体"/>
                      <w:color w:val="000000"/>
                      <w:szCs w:val="21"/>
                    </w:rPr>
                  </w:pPr>
                  <w:r>
                    <w:rPr>
                      <w:rFonts w:hint="eastAsia" w:hAnsi="宋体"/>
                      <w:color w:val="000000"/>
                      <w:szCs w:val="21"/>
                    </w:rPr>
                    <w:t>交由环卫部门处理</w:t>
                  </w:r>
                </w:p>
              </w:tc>
            </w:tr>
          </w:tbl>
          <w:p>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危险废物</w:t>
            </w:r>
          </w:p>
          <w:p>
            <w:pPr>
              <w:spacing w:line="360" w:lineRule="auto"/>
              <w:ind w:firstLine="480" w:firstLineChars="200"/>
              <w:rPr>
                <w:rFonts w:hAnsi="宋体"/>
                <w:color w:val="000000"/>
                <w:sz w:val="24"/>
              </w:rPr>
            </w:pPr>
            <w:r>
              <w:rPr>
                <w:rFonts w:hint="eastAsia" w:hAnsi="宋体"/>
                <w:color w:val="000000"/>
                <w:sz w:val="24"/>
              </w:rPr>
              <w:t>本项目产生的危险废物主要为过滤棉+U</w:t>
            </w:r>
            <w:r>
              <w:rPr>
                <w:rFonts w:hAnsi="宋体"/>
                <w:color w:val="000000"/>
                <w:sz w:val="24"/>
              </w:rPr>
              <w:t>V</w:t>
            </w:r>
            <w:r>
              <w:rPr>
                <w:rFonts w:hint="eastAsia" w:hAnsi="宋体"/>
                <w:color w:val="000000"/>
                <w:sz w:val="24"/>
              </w:rPr>
              <w:t>光氧催化装置中废过滤棉、废催化剂，活性炭吸附装置中的废活性炭。</w:t>
            </w:r>
          </w:p>
          <w:p>
            <w:pPr>
              <w:spacing w:line="360" w:lineRule="auto"/>
              <w:ind w:firstLine="480" w:firstLineChars="200"/>
              <w:rPr>
                <w:rFonts w:hAnsi="宋体"/>
                <w:color w:val="000000"/>
                <w:sz w:val="24"/>
              </w:rPr>
            </w:pPr>
            <w:r>
              <w:rPr>
                <w:rFonts w:hint="eastAsia" w:hAnsi="宋体"/>
                <w:color w:val="000000"/>
                <w:sz w:val="24"/>
              </w:rPr>
              <w:t>过滤棉、催化剂及活性炭更换频次为每半年更换1次，每次更换过滤棉、催化剂及活性炭后盛放于专用密封容器内，置于危废暂存间内。</w:t>
            </w:r>
          </w:p>
          <w:p>
            <w:pPr>
              <w:spacing w:line="360" w:lineRule="auto"/>
              <w:ind w:firstLine="480" w:firstLineChars="200"/>
              <w:rPr>
                <w:rFonts w:hAnsi="宋体"/>
                <w:color w:val="000000"/>
                <w:sz w:val="24"/>
              </w:rPr>
            </w:pPr>
            <w:r>
              <w:rPr>
                <w:rFonts w:hint="eastAsia" w:hAnsi="宋体"/>
                <w:color w:val="000000"/>
                <w:sz w:val="24"/>
              </w:rPr>
              <w:t>（1）暂存间要求</w:t>
            </w:r>
          </w:p>
          <w:p>
            <w:pPr>
              <w:spacing w:line="360" w:lineRule="auto"/>
              <w:ind w:firstLine="480" w:firstLineChars="200"/>
              <w:rPr>
                <w:rFonts w:ascii="宋体" w:cs="宋体"/>
                <w:kern w:val="0"/>
                <w:sz w:val="24"/>
              </w:rPr>
            </w:pPr>
            <w:r>
              <w:rPr>
                <w:rFonts w:hint="eastAsia" w:hAnsi="宋体"/>
                <w:color w:val="000000"/>
                <w:sz w:val="24"/>
              </w:rPr>
              <w:t>本项目利用厂区内原有厂房改造为危险废物专用暂存间，</w:t>
            </w:r>
            <w:r>
              <w:rPr>
                <w:rFonts w:hint="eastAsia" w:ascii="宋体" w:cs="宋体"/>
                <w:kern w:val="0"/>
                <w:sz w:val="24"/>
              </w:rPr>
              <w:t>位于厂区东侧一角，建筑面积</w:t>
            </w:r>
            <w:r>
              <w:rPr>
                <w:rFonts w:hint="eastAsia" w:cs="宋体" w:asciiTheme="minorEastAsia" w:hAnsiTheme="minorEastAsia" w:eastAsiaTheme="minorEastAsia"/>
                <w:kern w:val="0"/>
                <w:sz w:val="24"/>
              </w:rPr>
              <w:t>3</w:t>
            </w:r>
            <w:r>
              <w:rPr>
                <w:rFonts w:hint="eastAsia" w:ascii="宋体" w:cs="宋体"/>
                <w:kern w:val="0"/>
                <w:sz w:val="24"/>
              </w:rPr>
              <w:t>㎡存放本项目产生的所有危废。</w:t>
            </w:r>
          </w:p>
          <w:p>
            <w:pPr>
              <w:spacing w:line="360" w:lineRule="auto"/>
              <w:ind w:firstLine="480" w:firstLineChars="200"/>
              <w:rPr>
                <w:rFonts w:ascii="宋体" w:cs="宋体"/>
                <w:kern w:val="0"/>
                <w:sz w:val="24"/>
              </w:rPr>
            </w:pPr>
            <w:r>
              <w:rPr>
                <w:rFonts w:hint="eastAsia" w:ascii="宋体" w:cs="宋体"/>
                <w:kern w:val="0"/>
                <w:sz w:val="24"/>
              </w:rPr>
              <w:t>废活性炭、废过滤棉、废催化剂必须装入符合标准的容器内；</w:t>
            </w:r>
          </w:p>
          <w:p>
            <w:pPr>
              <w:spacing w:line="360" w:lineRule="auto"/>
              <w:ind w:firstLine="480" w:firstLineChars="200"/>
              <w:rPr>
                <w:rFonts w:ascii="宋体" w:cs="宋体"/>
                <w:kern w:val="0"/>
                <w:sz w:val="24"/>
              </w:rPr>
            </w:pPr>
            <w:r>
              <w:rPr>
                <w:rFonts w:hint="eastAsia" w:ascii="宋体" w:cs="宋体"/>
                <w:kern w:val="0"/>
                <w:sz w:val="24"/>
              </w:rPr>
              <w:t>容器需密闭封存；</w:t>
            </w:r>
          </w:p>
          <w:p>
            <w:pPr>
              <w:spacing w:line="360" w:lineRule="auto"/>
              <w:ind w:firstLine="480" w:firstLineChars="200"/>
              <w:rPr>
                <w:kern w:val="0"/>
                <w:sz w:val="24"/>
              </w:rPr>
            </w:pPr>
            <w:r>
              <w:rPr>
                <w:rFonts w:hint="eastAsia" w:ascii="宋体" w:cs="宋体"/>
                <w:kern w:val="0"/>
                <w:sz w:val="24"/>
              </w:rPr>
              <w:t>盛装危险废物的容器上必须粘贴符合《危险废物贮存污染控制标准》</w:t>
            </w:r>
            <w:r>
              <w:rPr>
                <w:kern w:val="0"/>
                <w:sz w:val="24"/>
              </w:rPr>
              <w:t>（GB18597-2001）附录A所示的标签。</w:t>
            </w:r>
          </w:p>
          <w:p>
            <w:pPr>
              <w:spacing w:line="360" w:lineRule="auto"/>
              <w:ind w:firstLine="480" w:firstLineChars="200"/>
              <w:rPr>
                <w:rFonts w:ascii="宋体" w:cs="宋体"/>
                <w:kern w:val="0"/>
                <w:sz w:val="24"/>
              </w:rPr>
            </w:pPr>
            <w:r>
              <w:rPr>
                <w:rFonts w:hint="eastAsia" w:ascii="宋体" w:cs="宋体"/>
                <w:kern w:val="0"/>
                <w:sz w:val="24"/>
              </w:rPr>
              <w:t>危险废物暂存库房不得接收未粘贴上述规定的标签或标签填写不规范的危险废物；</w:t>
            </w:r>
          </w:p>
          <w:p>
            <w:pPr>
              <w:spacing w:line="360" w:lineRule="auto"/>
              <w:ind w:firstLine="480" w:firstLineChars="200"/>
              <w:rPr>
                <w:rFonts w:ascii="宋体" w:cs="宋体"/>
                <w:kern w:val="0"/>
                <w:sz w:val="24"/>
              </w:rPr>
            </w:pPr>
            <w:r>
              <w:rPr>
                <w:rFonts w:hint="eastAsia" w:ascii="宋体" w:cs="宋体"/>
                <w:kern w:val="0"/>
                <w:sz w:val="24"/>
              </w:rPr>
              <w:t>必须作好危险废物记录，记录上须注明危险废物的名称、来源、数量、特性和包装容器的类别、入库日期、存放库位、废物出库日期及接收单位名称；危险废物的记录和货单在危险废物回取后应继续保留三年；所有危险废物在厂内暂存不得超过一年。</w:t>
            </w:r>
          </w:p>
          <w:p>
            <w:pPr>
              <w:spacing w:line="360" w:lineRule="auto"/>
              <w:ind w:firstLine="480" w:firstLineChars="200"/>
              <w:rPr>
                <w:rFonts w:ascii="宋体" w:cs="宋体"/>
                <w:kern w:val="0"/>
                <w:sz w:val="24"/>
              </w:rPr>
            </w:pPr>
            <w:r>
              <w:rPr>
                <w:rFonts w:hint="eastAsia" w:ascii="宋体" w:cs="宋体"/>
                <w:kern w:val="0"/>
                <w:sz w:val="24"/>
              </w:rPr>
              <w:t>必须定期对所贮存的危险废物包装容器及贮存设施进行检查，发现破损，应及时采取措施清理更换；</w:t>
            </w:r>
          </w:p>
          <w:p>
            <w:pPr>
              <w:spacing w:line="360" w:lineRule="auto"/>
              <w:ind w:firstLine="480" w:firstLineChars="200"/>
              <w:rPr>
                <w:rFonts w:ascii="宋体" w:cs="宋体"/>
                <w:kern w:val="0"/>
                <w:sz w:val="24"/>
              </w:rPr>
            </w:pPr>
            <w:r>
              <w:rPr>
                <w:rFonts w:hint="eastAsia" w:ascii="宋体" w:cs="宋体"/>
                <w:kern w:val="0"/>
                <w:sz w:val="24"/>
              </w:rPr>
              <w:t>危险废物贮存间设置灭火器等防火设备，做好火灾的预防工作。</w:t>
            </w:r>
          </w:p>
          <w:p>
            <w:pPr>
              <w:spacing w:line="360" w:lineRule="auto"/>
              <w:ind w:firstLine="480" w:firstLineChars="200"/>
              <w:rPr>
                <w:kern w:val="0"/>
                <w:sz w:val="24"/>
              </w:rPr>
            </w:pPr>
            <w:r>
              <w:rPr>
                <w:kern w:val="0"/>
                <w:sz w:val="24"/>
              </w:rPr>
              <w:t>地面及裙角采用C25混凝土，抗渗等级不低于P6，厚度不应小于100mm，采用2mm厚的高密度聚氯乙烯防渗材料或其他具有相同防渗能力的材料，渗透系数不大于10</w:t>
            </w:r>
            <w:r>
              <w:rPr>
                <w:kern w:val="0"/>
                <w:sz w:val="24"/>
                <w:vertAlign w:val="superscript"/>
              </w:rPr>
              <w:t>-10</w:t>
            </w:r>
            <w:r>
              <w:rPr>
                <w:kern w:val="0"/>
                <w:sz w:val="24"/>
              </w:rPr>
              <w:t>cm/s。</w:t>
            </w:r>
          </w:p>
          <w:p>
            <w:pPr>
              <w:spacing w:line="360" w:lineRule="auto"/>
              <w:ind w:firstLine="480" w:firstLineChars="200"/>
              <w:rPr>
                <w:kern w:val="0"/>
                <w:sz w:val="24"/>
              </w:rPr>
            </w:pPr>
            <w:r>
              <w:rPr>
                <w:rFonts w:hint="eastAsia"/>
                <w:kern w:val="0"/>
                <w:sz w:val="24"/>
              </w:rPr>
              <w:t>（2）危废转移</w:t>
            </w:r>
          </w:p>
          <w:p>
            <w:pPr>
              <w:spacing w:line="360" w:lineRule="auto"/>
              <w:ind w:firstLine="480" w:firstLineChars="200"/>
              <w:rPr>
                <w:kern w:val="0"/>
                <w:sz w:val="24"/>
              </w:rPr>
            </w:pPr>
            <w:r>
              <w:rPr>
                <w:rFonts w:hint="eastAsia"/>
                <w:kern w:val="0"/>
                <w:sz w:val="24"/>
              </w:rPr>
              <w:t>在转移危险废物前，建设单位须按照国家有关规定报批危险废物转移计划；经批准后，产生单位应当向当地环境保护行政主管部门申请领取国务院环境保护行政主管部门统一制定的联单。并在危险废物转移前3日内报告当地环境保护行政主管部门，并同时将预期到达时间报告接受地环境保护行政主管部门。</w:t>
            </w:r>
          </w:p>
          <w:p>
            <w:pPr>
              <w:spacing w:line="360" w:lineRule="auto"/>
              <w:ind w:firstLine="480" w:firstLineChars="200"/>
              <w:rPr>
                <w:kern w:val="0"/>
                <w:sz w:val="24"/>
              </w:rPr>
            </w:pPr>
            <w:r>
              <w:rPr>
                <w:rFonts w:hint="eastAsia"/>
                <w:kern w:val="0"/>
                <w:sz w:val="24"/>
              </w:rPr>
              <w:t>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pPr>
              <w:spacing w:line="360" w:lineRule="auto"/>
              <w:ind w:firstLine="480" w:firstLineChars="200"/>
              <w:rPr>
                <w:kern w:val="0"/>
                <w:sz w:val="24"/>
              </w:rPr>
            </w:pPr>
            <w:r>
              <w:rPr>
                <w:rFonts w:hint="eastAsia"/>
                <w:kern w:val="0"/>
                <w:sz w:val="24"/>
              </w:rPr>
              <w:t>联单保存期限为五年。</w:t>
            </w:r>
          </w:p>
          <w:p>
            <w:pPr>
              <w:spacing w:line="360" w:lineRule="auto"/>
              <w:ind w:firstLine="480" w:firstLineChars="200"/>
              <w:rPr>
                <w:kern w:val="0"/>
                <w:sz w:val="24"/>
              </w:rPr>
            </w:pPr>
            <w:r>
              <w:rPr>
                <w:kern w:val="0"/>
                <w:sz w:val="24"/>
              </w:rPr>
              <w:t>（</w:t>
            </w:r>
            <w:r>
              <w:rPr>
                <w:rFonts w:hint="eastAsia"/>
                <w:kern w:val="0"/>
                <w:sz w:val="24"/>
              </w:rPr>
              <w:t>3）危废处置要求</w:t>
            </w:r>
          </w:p>
          <w:p>
            <w:pPr>
              <w:spacing w:line="360" w:lineRule="auto"/>
              <w:ind w:firstLine="480" w:firstLineChars="200"/>
              <w:rPr>
                <w:kern w:val="0"/>
                <w:sz w:val="24"/>
              </w:rPr>
            </w:pPr>
            <w:r>
              <w:rPr>
                <w:rFonts w:hint="eastAsia"/>
                <w:kern w:val="0"/>
                <w:sz w:val="24"/>
              </w:rPr>
              <w:t>环评要求送交有资质的单位进行处置。</w:t>
            </w:r>
          </w:p>
          <w:p>
            <w:pPr>
              <w:spacing w:line="360" w:lineRule="auto"/>
              <w:ind w:firstLine="480" w:firstLineChars="200"/>
              <w:rPr>
                <w:kern w:val="0"/>
                <w:sz w:val="24"/>
              </w:rPr>
            </w:pPr>
            <w:r>
              <w:rPr>
                <w:rFonts w:hint="eastAsia"/>
                <w:kern w:val="0"/>
                <w:sz w:val="24"/>
              </w:rPr>
              <w:t>根据《建设项目危险废物环境影响评价指南》，建设项目危险废物贮存场所（设施）基本情况见表7。</w:t>
            </w:r>
          </w:p>
          <w:p>
            <w:pPr>
              <w:spacing w:line="480" w:lineRule="exact"/>
              <w:ind w:firstLine="482" w:firstLineChars="200"/>
              <w:jc w:val="center"/>
              <w:rPr>
                <w:rFonts w:hAnsi="宋体"/>
                <w:b/>
                <w:color w:val="000000"/>
                <w:sz w:val="24"/>
              </w:rPr>
            </w:pPr>
            <w:r>
              <w:rPr>
                <w:rFonts w:hint="eastAsia" w:hAnsi="宋体"/>
                <w:b/>
                <w:color w:val="000000"/>
                <w:sz w:val="24"/>
              </w:rPr>
              <w:t xml:space="preserve">  表6   危险废物产生量一览表</w:t>
            </w:r>
          </w:p>
          <w:tbl>
            <w:tblPr>
              <w:tblStyle w:val="12"/>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82"/>
              <w:gridCol w:w="1582"/>
              <w:gridCol w:w="1929"/>
              <w:gridCol w:w="1236"/>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82" w:type="dxa"/>
                  <w:shd w:val="clear" w:color="auto" w:fill="auto"/>
                  <w:vAlign w:val="center"/>
                </w:tcPr>
                <w:p>
                  <w:pPr>
                    <w:jc w:val="center"/>
                    <w:rPr>
                      <w:rFonts w:hAnsi="宋体"/>
                      <w:b/>
                      <w:color w:val="000000"/>
                      <w:szCs w:val="21"/>
                    </w:rPr>
                  </w:pPr>
                  <w:r>
                    <w:rPr>
                      <w:rFonts w:hint="eastAsia" w:hAnsi="宋体"/>
                      <w:b/>
                      <w:color w:val="000000"/>
                      <w:szCs w:val="21"/>
                    </w:rPr>
                    <w:t>危废名称</w:t>
                  </w:r>
                </w:p>
              </w:tc>
              <w:tc>
                <w:tcPr>
                  <w:tcW w:w="1582" w:type="dxa"/>
                  <w:shd w:val="clear" w:color="auto" w:fill="auto"/>
                  <w:vAlign w:val="center"/>
                </w:tcPr>
                <w:p>
                  <w:pPr>
                    <w:jc w:val="center"/>
                    <w:rPr>
                      <w:rFonts w:hAnsi="宋体"/>
                      <w:b/>
                      <w:color w:val="000000"/>
                      <w:szCs w:val="21"/>
                    </w:rPr>
                  </w:pPr>
                  <w:r>
                    <w:rPr>
                      <w:rFonts w:hint="eastAsia" w:hAnsi="宋体"/>
                      <w:b/>
                      <w:color w:val="000000"/>
                      <w:szCs w:val="21"/>
                    </w:rPr>
                    <w:t>危废类别</w:t>
                  </w:r>
                </w:p>
              </w:tc>
              <w:tc>
                <w:tcPr>
                  <w:tcW w:w="1582" w:type="dxa"/>
                  <w:shd w:val="clear" w:color="auto" w:fill="auto"/>
                  <w:vAlign w:val="center"/>
                </w:tcPr>
                <w:p>
                  <w:pPr>
                    <w:jc w:val="center"/>
                    <w:rPr>
                      <w:rFonts w:hAnsi="宋体"/>
                      <w:b/>
                      <w:color w:val="000000"/>
                      <w:szCs w:val="21"/>
                    </w:rPr>
                  </w:pPr>
                  <w:r>
                    <w:rPr>
                      <w:rFonts w:hint="eastAsia" w:hAnsi="宋体"/>
                      <w:b/>
                      <w:color w:val="000000"/>
                      <w:szCs w:val="21"/>
                    </w:rPr>
                    <w:t>危废代码</w:t>
                  </w:r>
                </w:p>
              </w:tc>
              <w:tc>
                <w:tcPr>
                  <w:tcW w:w="1929" w:type="dxa"/>
                  <w:shd w:val="clear" w:color="auto" w:fill="auto"/>
                  <w:vAlign w:val="center"/>
                </w:tcPr>
                <w:p>
                  <w:pPr>
                    <w:jc w:val="center"/>
                    <w:rPr>
                      <w:rFonts w:hAnsi="宋体"/>
                      <w:b/>
                      <w:color w:val="000000"/>
                      <w:szCs w:val="21"/>
                    </w:rPr>
                  </w:pPr>
                  <w:r>
                    <w:rPr>
                      <w:rFonts w:hint="eastAsia" w:hAnsi="宋体"/>
                      <w:b/>
                      <w:color w:val="000000"/>
                      <w:szCs w:val="21"/>
                    </w:rPr>
                    <w:t>产生工序</w:t>
                  </w:r>
                </w:p>
              </w:tc>
              <w:tc>
                <w:tcPr>
                  <w:tcW w:w="1236" w:type="dxa"/>
                  <w:shd w:val="clear" w:color="auto" w:fill="auto"/>
                  <w:vAlign w:val="center"/>
                </w:tcPr>
                <w:p>
                  <w:pPr>
                    <w:jc w:val="center"/>
                    <w:rPr>
                      <w:rFonts w:hAnsi="宋体"/>
                      <w:b/>
                      <w:color w:val="000000"/>
                      <w:szCs w:val="21"/>
                    </w:rPr>
                  </w:pPr>
                  <w:r>
                    <w:rPr>
                      <w:rFonts w:hint="eastAsia" w:hAnsi="宋体"/>
                      <w:b/>
                      <w:color w:val="000000"/>
                      <w:szCs w:val="21"/>
                    </w:rPr>
                    <w:t>产生量</w:t>
                  </w:r>
                </w:p>
              </w:tc>
              <w:tc>
                <w:tcPr>
                  <w:tcW w:w="1582" w:type="dxa"/>
                  <w:shd w:val="clear" w:color="auto" w:fill="auto"/>
                  <w:vAlign w:val="center"/>
                </w:tcPr>
                <w:p>
                  <w:pPr>
                    <w:jc w:val="center"/>
                    <w:rPr>
                      <w:rFonts w:hAnsi="宋体"/>
                      <w:b/>
                      <w:color w:val="000000"/>
                      <w:szCs w:val="21"/>
                    </w:rPr>
                  </w:pPr>
                  <w:r>
                    <w:rPr>
                      <w:rFonts w:hint="eastAsia" w:hAnsi="宋体"/>
                      <w:b/>
                      <w:color w:val="000000"/>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582" w:type="dxa"/>
                  <w:shd w:val="clear" w:color="auto" w:fill="auto"/>
                  <w:vAlign w:val="center"/>
                </w:tcPr>
                <w:p>
                  <w:pPr>
                    <w:jc w:val="center"/>
                    <w:rPr>
                      <w:rFonts w:hAnsi="宋体"/>
                      <w:color w:val="000000"/>
                      <w:szCs w:val="21"/>
                    </w:rPr>
                  </w:pPr>
                  <w:r>
                    <w:rPr>
                      <w:rFonts w:hint="eastAsia" w:hAnsi="宋体"/>
                      <w:color w:val="000000"/>
                      <w:szCs w:val="21"/>
                    </w:rPr>
                    <w:t>废过滤棉</w:t>
                  </w:r>
                </w:p>
              </w:tc>
              <w:tc>
                <w:tcPr>
                  <w:tcW w:w="1582" w:type="dxa"/>
                  <w:shd w:val="clear" w:color="auto" w:fill="auto"/>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582" w:type="dxa"/>
                  <w:shd w:val="clear" w:color="auto" w:fill="auto"/>
                  <w:vAlign w:val="center"/>
                </w:tcPr>
                <w:p>
                  <w:pPr>
                    <w:jc w:val="center"/>
                    <w:rPr>
                      <w:rFonts w:hAnsi="宋体"/>
                      <w:color w:val="000000"/>
                      <w:szCs w:val="21"/>
                    </w:rPr>
                  </w:pPr>
                  <w:r>
                    <w:rPr>
                      <w:rFonts w:hint="eastAsia" w:hAnsi="宋体"/>
                      <w:color w:val="000000"/>
                      <w:sz w:val="24"/>
                    </w:rPr>
                    <w:t>900-015-13</w:t>
                  </w:r>
                </w:p>
              </w:tc>
              <w:tc>
                <w:tcPr>
                  <w:tcW w:w="1929" w:type="dxa"/>
                  <w:vMerge w:val="restart"/>
                  <w:shd w:val="clear" w:color="auto" w:fill="auto"/>
                  <w:vAlign w:val="center"/>
                </w:tcPr>
                <w:p>
                  <w:pPr>
                    <w:jc w:val="center"/>
                    <w:rPr>
                      <w:rFonts w:hAnsi="宋体"/>
                      <w:color w:val="000000"/>
                      <w:szCs w:val="21"/>
                    </w:rPr>
                  </w:pPr>
                  <w:r>
                    <w:rPr>
                      <w:rFonts w:hint="eastAsia" w:hAnsi="宋体"/>
                      <w:color w:val="000000"/>
                      <w:szCs w:val="21"/>
                    </w:rPr>
                    <w:t>U</w:t>
                  </w:r>
                  <w:r>
                    <w:rPr>
                      <w:rFonts w:hAnsi="宋体"/>
                      <w:color w:val="000000"/>
                      <w:szCs w:val="21"/>
                    </w:rPr>
                    <w:t>V</w:t>
                  </w:r>
                  <w:r>
                    <w:rPr>
                      <w:rFonts w:hint="eastAsia" w:hAnsi="宋体"/>
                      <w:color w:val="000000"/>
                      <w:szCs w:val="21"/>
                    </w:rPr>
                    <w:t>光氧催化装置</w:t>
                  </w:r>
                </w:p>
              </w:tc>
              <w:tc>
                <w:tcPr>
                  <w:tcW w:w="1236" w:type="dxa"/>
                  <w:shd w:val="clear" w:color="auto" w:fill="auto"/>
                  <w:vAlign w:val="center"/>
                </w:tcPr>
                <w:p>
                  <w:pPr>
                    <w:jc w:val="center"/>
                    <w:rPr>
                      <w:rFonts w:hAnsi="宋体"/>
                      <w:color w:val="000000"/>
                      <w:szCs w:val="21"/>
                    </w:rPr>
                  </w:pPr>
                  <w:r>
                    <w:rPr>
                      <w:rFonts w:hint="eastAsia" w:hAnsi="宋体"/>
                      <w:color w:val="000000"/>
                      <w:szCs w:val="21"/>
                    </w:rPr>
                    <w:t>0</w:t>
                  </w:r>
                  <w:r>
                    <w:rPr>
                      <w:rFonts w:hAnsi="宋体"/>
                      <w:color w:val="000000"/>
                      <w:szCs w:val="21"/>
                    </w:rPr>
                    <w:t>.02t/a</w:t>
                  </w:r>
                </w:p>
              </w:tc>
              <w:tc>
                <w:tcPr>
                  <w:tcW w:w="1582" w:type="dxa"/>
                  <w:vMerge w:val="restart"/>
                  <w:shd w:val="clear" w:color="auto" w:fill="auto"/>
                  <w:vAlign w:val="center"/>
                </w:tcPr>
                <w:p>
                  <w:pPr>
                    <w:jc w:val="center"/>
                    <w:rPr>
                      <w:rFonts w:hAnsi="宋体"/>
                      <w:color w:val="000000"/>
                      <w:szCs w:val="21"/>
                    </w:rPr>
                  </w:pPr>
                  <w:r>
                    <w:rPr>
                      <w:rFonts w:hint="eastAsia" w:hAnsi="宋体"/>
                      <w:color w:val="000000"/>
                      <w:szCs w:val="21"/>
                    </w:rPr>
                    <w:t>利用厂区原有厂房，改建1座危废暂存间，厂区暂存后由有资质单位处理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582" w:type="dxa"/>
                  <w:shd w:val="clear" w:color="auto" w:fill="auto"/>
                  <w:vAlign w:val="center"/>
                </w:tcPr>
                <w:p>
                  <w:pPr>
                    <w:jc w:val="center"/>
                    <w:rPr>
                      <w:rFonts w:hAnsi="宋体"/>
                      <w:color w:val="000000"/>
                      <w:szCs w:val="21"/>
                    </w:rPr>
                  </w:pPr>
                  <w:r>
                    <w:rPr>
                      <w:rFonts w:hint="eastAsia" w:hAnsi="宋体"/>
                      <w:color w:val="000000"/>
                      <w:szCs w:val="21"/>
                    </w:rPr>
                    <w:t>废催化剂</w:t>
                  </w:r>
                </w:p>
              </w:tc>
              <w:tc>
                <w:tcPr>
                  <w:tcW w:w="1582" w:type="dxa"/>
                  <w:shd w:val="clear" w:color="auto" w:fill="auto"/>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582" w:type="dxa"/>
                  <w:shd w:val="clear" w:color="auto" w:fill="auto"/>
                  <w:vAlign w:val="center"/>
                </w:tcPr>
                <w:p>
                  <w:pPr>
                    <w:jc w:val="center"/>
                    <w:rPr>
                      <w:rFonts w:hAnsi="宋体"/>
                      <w:color w:val="000000"/>
                      <w:szCs w:val="21"/>
                    </w:rPr>
                  </w:pPr>
                  <w:r>
                    <w:rPr>
                      <w:rFonts w:hint="eastAsia" w:hAnsi="宋体"/>
                      <w:color w:val="000000"/>
                      <w:sz w:val="24"/>
                    </w:rPr>
                    <w:t>900-015-13</w:t>
                  </w:r>
                </w:p>
              </w:tc>
              <w:tc>
                <w:tcPr>
                  <w:tcW w:w="1929" w:type="dxa"/>
                  <w:vMerge w:val="continue"/>
                  <w:shd w:val="clear" w:color="auto" w:fill="auto"/>
                  <w:vAlign w:val="center"/>
                </w:tcPr>
                <w:p>
                  <w:pPr>
                    <w:jc w:val="center"/>
                    <w:rPr>
                      <w:rFonts w:hAnsi="宋体"/>
                      <w:color w:val="000000"/>
                      <w:szCs w:val="21"/>
                    </w:rPr>
                  </w:pPr>
                </w:p>
              </w:tc>
              <w:tc>
                <w:tcPr>
                  <w:tcW w:w="1236" w:type="dxa"/>
                  <w:shd w:val="clear" w:color="auto" w:fill="auto"/>
                  <w:vAlign w:val="center"/>
                </w:tcPr>
                <w:p>
                  <w:pPr>
                    <w:jc w:val="center"/>
                    <w:rPr>
                      <w:rFonts w:hAnsi="宋体"/>
                      <w:color w:val="000000"/>
                      <w:szCs w:val="21"/>
                    </w:rPr>
                  </w:pPr>
                  <w:r>
                    <w:rPr>
                      <w:rFonts w:hint="eastAsia" w:hAnsi="宋体"/>
                      <w:color w:val="000000"/>
                      <w:szCs w:val="21"/>
                    </w:rPr>
                    <w:t>0</w:t>
                  </w:r>
                  <w:r>
                    <w:rPr>
                      <w:rFonts w:hAnsi="宋体"/>
                      <w:color w:val="000000"/>
                      <w:szCs w:val="21"/>
                    </w:rPr>
                    <w:t>.03t/a</w:t>
                  </w:r>
                </w:p>
              </w:tc>
              <w:tc>
                <w:tcPr>
                  <w:tcW w:w="1582" w:type="dxa"/>
                  <w:vMerge w:val="continue"/>
                  <w:shd w:val="clear" w:color="auto" w:fill="auto"/>
                  <w:vAlign w:val="center"/>
                </w:tcPr>
                <w:p>
                  <w:pPr>
                    <w:jc w:val="center"/>
                    <w:rPr>
                      <w:rFonts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shd w:val="clear" w:color="auto" w:fill="auto"/>
                  <w:vAlign w:val="center"/>
                </w:tcPr>
                <w:p>
                  <w:pPr>
                    <w:jc w:val="center"/>
                    <w:rPr>
                      <w:rFonts w:hAnsi="宋体"/>
                      <w:color w:val="000000"/>
                      <w:szCs w:val="21"/>
                    </w:rPr>
                  </w:pPr>
                  <w:r>
                    <w:rPr>
                      <w:rFonts w:hint="eastAsia" w:hAnsi="宋体"/>
                      <w:color w:val="000000"/>
                      <w:szCs w:val="21"/>
                    </w:rPr>
                    <w:t>废活性炭</w:t>
                  </w:r>
                </w:p>
              </w:tc>
              <w:tc>
                <w:tcPr>
                  <w:tcW w:w="1582" w:type="dxa"/>
                  <w:shd w:val="clear" w:color="auto" w:fill="auto"/>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582" w:type="dxa"/>
                  <w:shd w:val="clear" w:color="auto" w:fill="auto"/>
                  <w:vAlign w:val="center"/>
                </w:tcPr>
                <w:p>
                  <w:pPr>
                    <w:jc w:val="center"/>
                    <w:rPr>
                      <w:rFonts w:hAnsi="宋体"/>
                      <w:color w:val="000000"/>
                      <w:szCs w:val="21"/>
                    </w:rPr>
                  </w:pPr>
                  <w:r>
                    <w:rPr>
                      <w:rFonts w:hint="eastAsia" w:hAnsi="宋体"/>
                      <w:color w:val="000000"/>
                      <w:sz w:val="24"/>
                    </w:rPr>
                    <w:t>900-015-13</w:t>
                  </w:r>
                </w:p>
              </w:tc>
              <w:tc>
                <w:tcPr>
                  <w:tcW w:w="1929" w:type="dxa"/>
                  <w:shd w:val="clear" w:color="auto" w:fill="auto"/>
                  <w:vAlign w:val="center"/>
                </w:tcPr>
                <w:p>
                  <w:pPr>
                    <w:jc w:val="center"/>
                    <w:rPr>
                      <w:rFonts w:hAnsi="宋体"/>
                      <w:color w:val="000000"/>
                      <w:szCs w:val="21"/>
                    </w:rPr>
                  </w:pPr>
                  <w:r>
                    <w:rPr>
                      <w:rFonts w:hint="eastAsia" w:hAnsi="宋体"/>
                      <w:color w:val="000000"/>
                      <w:szCs w:val="21"/>
                    </w:rPr>
                    <w:t>活性炭吸附装置</w:t>
                  </w:r>
                </w:p>
              </w:tc>
              <w:tc>
                <w:tcPr>
                  <w:tcW w:w="1236" w:type="dxa"/>
                  <w:shd w:val="clear" w:color="auto" w:fill="auto"/>
                  <w:vAlign w:val="center"/>
                </w:tcPr>
                <w:p>
                  <w:pPr>
                    <w:jc w:val="center"/>
                    <w:rPr>
                      <w:rFonts w:hAnsi="宋体"/>
                      <w:color w:val="000000"/>
                      <w:szCs w:val="21"/>
                    </w:rPr>
                  </w:pPr>
                  <w:r>
                    <w:rPr>
                      <w:rFonts w:hint="eastAsia" w:hAnsi="宋体"/>
                      <w:color w:val="000000"/>
                      <w:szCs w:val="21"/>
                    </w:rPr>
                    <w:t>0</w:t>
                  </w:r>
                  <w:r>
                    <w:rPr>
                      <w:rFonts w:hAnsi="宋体"/>
                      <w:color w:val="000000"/>
                      <w:szCs w:val="21"/>
                    </w:rPr>
                    <w:t>.05t/a</w:t>
                  </w:r>
                </w:p>
              </w:tc>
              <w:tc>
                <w:tcPr>
                  <w:tcW w:w="1582" w:type="dxa"/>
                  <w:vMerge w:val="continue"/>
                  <w:shd w:val="clear" w:color="auto" w:fill="auto"/>
                  <w:vAlign w:val="center"/>
                </w:tcPr>
                <w:p>
                  <w:pPr>
                    <w:jc w:val="center"/>
                    <w:rPr>
                      <w:rFonts w:hAnsi="宋体"/>
                      <w:color w:val="000000"/>
                      <w:szCs w:val="21"/>
                    </w:rPr>
                  </w:pPr>
                </w:p>
              </w:tc>
            </w:tr>
          </w:tbl>
          <w:p>
            <w:pPr>
              <w:adjustRightInd w:val="0"/>
              <w:snapToGrid w:val="0"/>
              <w:jc w:val="center"/>
              <w:rPr>
                <w:b/>
                <w:sz w:val="24"/>
              </w:rPr>
            </w:pPr>
          </w:p>
          <w:p>
            <w:pPr>
              <w:adjustRightInd w:val="0"/>
              <w:snapToGrid w:val="0"/>
              <w:jc w:val="center"/>
              <w:rPr>
                <w:b/>
                <w:sz w:val="24"/>
              </w:rPr>
            </w:pPr>
            <w:r>
              <w:rPr>
                <w:rFonts w:hint="eastAsia"/>
                <w:b/>
                <w:sz w:val="24"/>
              </w:rPr>
              <w:t>表7 项目危险废物产生及处理情况</w:t>
            </w:r>
          </w:p>
          <w:tbl>
            <w:tblPr>
              <w:tblStyle w:val="12"/>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756"/>
              <w:gridCol w:w="996"/>
              <w:gridCol w:w="1381"/>
              <w:gridCol w:w="1069"/>
              <w:gridCol w:w="930"/>
              <w:gridCol w:w="493"/>
              <w:gridCol w:w="625"/>
              <w:gridCol w:w="625"/>
              <w:gridCol w:w="768"/>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pPr>
                    <w:jc w:val="center"/>
                    <w:rPr>
                      <w:rFonts w:hAnsi="宋体"/>
                      <w:b/>
                      <w:szCs w:val="21"/>
                    </w:rPr>
                  </w:pPr>
                  <w:r>
                    <w:rPr>
                      <w:rFonts w:hint="eastAsia" w:hAnsi="宋体"/>
                      <w:b/>
                      <w:szCs w:val="21"/>
                    </w:rPr>
                    <w:t>序号</w:t>
                  </w:r>
                </w:p>
              </w:tc>
              <w:tc>
                <w:tcPr>
                  <w:tcW w:w="756" w:type="dxa"/>
                  <w:vAlign w:val="center"/>
                </w:tcPr>
                <w:p>
                  <w:pPr>
                    <w:jc w:val="center"/>
                    <w:rPr>
                      <w:rFonts w:hAnsi="宋体"/>
                      <w:b/>
                      <w:szCs w:val="21"/>
                    </w:rPr>
                  </w:pPr>
                  <w:r>
                    <w:rPr>
                      <w:rFonts w:hint="eastAsia" w:hAnsi="宋体"/>
                      <w:b/>
                      <w:szCs w:val="21"/>
                    </w:rPr>
                    <w:t>危险废物名称</w:t>
                  </w:r>
                </w:p>
              </w:tc>
              <w:tc>
                <w:tcPr>
                  <w:tcW w:w="996" w:type="dxa"/>
                  <w:vAlign w:val="center"/>
                </w:tcPr>
                <w:p>
                  <w:pPr>
                    <w:jc w:val="center"/>
                    <w:rPr>
                      <w:rFonts w:hAnsi="宋体"/>
                      <w:b/>
                      <w:szCs w:val="21"/>
                    </w:rPr>
                  </w:pPr>
                  <w:r>
                    <w:rPr>
                      <w:rFonts w:hint="eastAsia" w:hAnsi="宋体"/>
                      <w:b/>
                      <w:szCs w:val="21"/>
                    </w:rPr>
                    <w:t>危险废物类别</w:t>
                  </w:r>
                </w:p>
              </w:tc>
              <w:tc>
                <w:tcPr>
                  <w:tcW w:w="1381" w:type="dxa"/>
                  <w:vAlign w:val="center"/>
                </w:tcPr>
                <w:p>
                  <w:pPr>
                    <w:jc w:val="center"/>
                    <w:rPr>
                      <w:rFonts w:hAnsi="宋体"/>
                      <w:b/>
                      <w:szCs w:val="21"/>
                    </w:rPr>
                  </w:pPr>
                  <w:r>
                    <w:rPr>
                      <w:rFonts w:hint="eastAsia" w:hAnsi="宋体"/>
                      <w:b/>
                      <w:szCs w:val="21"/>
                    </w:rPr>
                    <w:t>危险废物代码</w:t>
                  </w:r>
                </w:p>
              </w:tc>
              <w:tc>
                <w:tcPr>
                  <w:tcW w:w="1069" w:type="dxa"/>
                  <w:vAlign w:val="center"/>
                </w:tcPr>
                <w:p>
                  <w:pPr>
                    <w:jc w:val="center"/>
                    <w:rPr>
                      <w:rFonts w:hAnsi="宋体"/>
                      <w:b/>
                      <w:szCs w:val="21"/>
                    </w:rPr>
                  </w:pPr>
                  <w:r>
                    <w:rPr>
                      <w:rFonts w:hint="eastAsia" w:hAnsi="宋体"/>
                      <w:b/>
                      <w:szCs w:val="21"/>
                    </w:rPr>
                    <w:t>产生量（t/a</w:t>
                  </w:r>
                  <w:r>
                    <w:rPr>
                      <w:rFonts w:hAnsi="宋体"/>
                      <w:b/>
                      <w:szCs w:val="21"/>
                    </w:rPr>
                    <w:t>）</w:t>
                  </w:r>
                </w:p>
              </w:tc>
              <w:tc>
                <w:tcPr>
                  <w:tcW w:w="930" w:type="dxa"/>
                  <w:vAlign w:val="center"/>
                </w:tcPr>
                <w:p>
                  <w:pPr>
                    <w:jc w:val="center"/>
                    <w:rPr>
                      <w:rFonts w:hAnsi="宋体"/>
                      <w:b/>
                      <w:szCs w:val="21"/>
                    </w:rPr>
                  </w:pPr>
                  <w:r>
                    <w:rPr>
                      <w:rFonts w:hint="eastAsia" w:hAnsi="宋体"/>
                      <w:b/>
                      <w:szCs w:val="21"/>
                    </w:rPr>
                    <w:t>产生工序</w:t>
                  </w:r>
                </w:p>
              </w:tc>
              <w:tc>
                <w:tcPr>
                  <w:tcW w:w="493" w:type="dxa"/>
                  <w:vAlign w:val="center"/>
                </w:tcPr>
                <w:p>
                  <w:pPr>
                    <w:jc w:val="center"/>
                    <w:rPr>
                      <w:rFonts w:hAnsi="宋体"/>
                      <w:b/>
                      <w:szCs w:val="21"/>
                    </w:rPr>
                  </w:pPr>
                  <w:r>
                    <w:rPr>
                      <w:rFonts w:hint="eastAsia" w:hAnsi="宋体"/>
                      <w:b/>
                      <w:szCs w:val="21"/>
                    </w:rPr>
                    <w:t>形态</w:t>
                  </w:r>
                </w:p>
              </w:tc>
              <w:tc>
                <w:tcPr>
                  <w:tcW w:w="625" w:type="dxa"/>
                  <w:vAlign w:val="center"/>
                </w:tcPr>
                <w:p>
                  <w:pPr>
                    <w:jc w:val="center"/>
                    <w:rPr>
                      <w:rFonts w:hAnsi="宋体"/>
                      <w:b/>
                      <w:szCs w:val="21"/>
                    </w:rPr>
                  </w:pPr>
                  <w:r>
                    <w:rPr>
                      <w:rFonts w:hint="eastAsia" w:hAnsi="宋体"/>
                      <w:b/>
                      <w:szCs w:val="21"/>
                    </w:rPr>
                    <w:t>有害成分</w:t>
                  </w:r>
                </w:p>
              </w:tc>
              <w:tc>
                <w:tcPr>
                  <w:tcW w:w="625" w:type="dxa"/>
                  <w:vAlign w:val="center"/>
                </w:tcPr>
                <w:p>
                  <w:pPr>
                    <w:jc w:val="center"/>
                    <w:rPr>
                      <w:rFonts w:hAnsi="宋体"/>
                      <w:b/>
                      <w:szCs w:val="21"/>
                    </w:rPr>
                  </w:pPr>
                  <w:r>
                    <w:rPr>
                      <w:rFonts w:hint="eastAsia" w:hAnsi="宋体"/>
                      <w:b/>
                      <w:szCs w:val="21"/>
                    </w:rPr>
                    <w:t>产废周期</w:t>
                  </w:r>
                </w:p>
              </w:tc>
              <w:tc>
                <w:tcPr>
                  <w:tcW w:w="768" w:type="dxa"/>
                  <w:vAlign w:val="center"/>
                </w:tcPr>
                <w:p>
                  <w:pPr>
                    <w:jc w:val="center"/>
                    <w:rPr>
                      <w:rFonts w:hAnsi="宋体"/>
                      <w:b/>
                      <w:szCs w:val="21"/>
                    </w:rPr>
                  </w:pPr>
                  <w:r>
                    <w:rPr>
                      <w:rFonts w:hint="eastAsia" w:hAnsi="宋体"/>
                      <w:b/>
                      <w:szCs w:val="21"/>
                    </w:rPr>
                    <w:t>危险特性</w:t>
                  </w:r>
                </w:p>
              </w:tc>
              <w:tc>
                <w:tcPr>
                  <w:tcW w:w="1357" w:type="dxa"/>
                  <w:vAlign w:val="center"/>
                </w:tcPr>
                <w:p>
                  <w:pPr>
                    <w:jc w:val="center"/>
                    <w:rPr>
                      <w:rFonts w:hAnsi="宋体"/>
                      <w:b/>
                      <w:szCs w:val="21"/>
                    </w:rPr>
                  </w:pPr>
                  <w:r>
                    <w:rPr>
                      <w:rFonts w:hint="eastAsia" w:hAnsi="宋体"/>
                      <w:b/>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pPr>
                    <w:jc w:val="center"/>
                    <w:rPr>
                      <w:rFonts w:hAnsi="宋体"/>
                      <w:szCs w:val="21"/>
                    </w:rPr>
                  </w:pPr>
                  <w:r>
                    <w:rPr>
                      <w:rFonts w:hint="eastAsia" w:hAnsi="宋体"/>
                      <w:szCs w:val="21"/>
                    </w:rPr>
                    <w:t>1</w:t>
                  </w:r>
                </w:p>
              </w:tc>
              <w:tc>
                <w:tcPr>
                  <w:tcW w:w="756" w:type="dxa"/>
                  <w:vAlign w:val="center"/>
                </w:tcPr>
                <w:p>
                  <w:pPr>
                    <w:jc w:val="center"/>
                    <w:rPr>
                      <w:rFonts w:hAnsi="宋体"/>
                      <w:color w:val="000000"/>
                      <w:szCs w:val="21"/>
                    </w:rPr>
                  </w:pPr>
                  <w:r>
                    <w:rPr>
                      <w:rFonts w:hint="eastAsia" w:hAnsi="宋体"/>
                      <w:color w:val="000000"/>
                      <w:szCs w:val="21"/>
                    </w:rPr>
                    <w:t>废过滤棉</w:t>
                  </w:r>
                </w:p>
              </w:tc>
              <w:tc>
                <w:tcPr>
                  <w:tcW w:w="996" w:type="dxa"/>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381" w:type="dxa"/>
                  <w:vAlign w:val="center"/>
                </w:tcPr>
                <w:p>
                  <w:pPr>
                    <w:jc w:val="center"/>
                    <w:rPr>
                      <w:rFonts w:hAnsi="宋体"/>
                      <w:color w:val="000000"/>
                      <w:szCs w:val="21"/>
                    </w:rPr>
                  </w:pPr>
                  <w:r>
                    <w:rPr>
                      <w:rFonts w:hint="eastAsia" w:hAnsi="宋体"/>
                      <w:color w:val="000000"/>
                      <w:sz w:val="24"/>
                    </w:rPr>
                    <w:t>900-015-13</w:t>
                  </w:r>
                </w:p>
              </w:tc>
              <w:tc>
                <w:tcPr>
                  <w:tcW w:w="1069" w:type="dxa"/>
                  <w:vAlign w:val="center"/>
                </w:tcPr>
                <w:p>
                  <w:pPr>
                    <w:jc w:val="center"/>
                    <w:rPr>
                      <w:rFonts w:hAnsi="宋体"/>
                      <w:color w:val="000000"/>
                      <w:szCs w:val="21"/>
                    </w:rPr>
                  </w:pPr>
                  <w:r>
                    <w:rPr>
                      <w:rFonts w:hint="eastAsia" w:hAnsi="宋体"/>
                      <w:color w:val="000000"/>
                      <w:szCs w:val="21"/>
                    </w:rPr>
                    <w:t>0</w:t>
                  </w:r>
                  <w:r>
                    <w:rPr>
                      <w:rFonts w:hAnsi="宋体"/>
                      <w:color w:val="000000"/>
                      <w:szCs w:val="21"/>
                    </w:rPr>
                    <w:t>.02</w:t>
                  </w:r>
                </w:p>
              </w:tc>
              <w:tc>
                <w:tcPr>
                  <w:tcW w:w="930" w:type="dxa"/>
                  <w:vMerge w:val="restart"/>
                  <w:vAlign w:val="center"/>
                </w:tcPr>
                <w:p>
                  <w:pPr>
                    <w:jc w:val="center"/>
                    <w:rPr>
                      <w:rFonts w:hAnsi="宋体"/>
                      <w:color w:val="000000"/>
                      <w:szCs w:val="21"/>
                    </w:rPr>
                  </w:pPr>
                  <w:r>
                    <w:rPr>
                      <w:rFonts w:hint="eastAsia" w:hAnsi="宋体"/>
                      <w:color w:val="000000"/>
                      <w:szCs w:val="21"/>
                    </w:rPr>
                    <w:t>U</w:t>
                  </w:r>
                  <w:r>
                    <w:rPr>
                      <w:rFonts w:hAnsi="宋体"/>
                      <w:color w:val="000000"/>
                      <w:szCs w:val="21"/>
                    </w:rPr>
                    <w:t>V</w:t>
                  </w:r>
                  <w:r>
                    <w:rPr>
                      <w:rFonts w:hint="eastAsia" w:hAnsi="宋体"/>
                      <w:color w:val="000000"/>
                      <w:szCs w:val="21"/>
                    </w:rPr>
                    <w:t>光氧催化装置</w:t>
                  </w:r>
                </w:p>
              </w:tc>
              <w:tc>
                <w:tcPr>
                  <w:tcW w:w="493" w:type="dxa"/>
                  <w:vMerge w:val="restart"/>
                  <w:vAlign w:val="center"/>
                </w:tcPr>
                <w:p>
                  <w:pPr>
                    <w:jc w:val="center"/>
                    <w:rPr>
                      <w:rFonts w:hAnsi="宋体"/>
                      <w:szCs w:val="21"/>
                    </w:rPr>
                  </w:pPr>
                  <w:r>
                    <w:rPr>
                      <w:rFonts w:hint="eastAsia" w:hAnsi="宋体"/>
                      <w:szCs w:val="21"/>
                    </w:rPr>
                    <w:t>固态</w:t>
                  </w:r>
                </w:p>
              </w:tc>
              <w:tc>
                <w:tcPr>
                  <w:tcW w:w="625" w:type="dxa"/>
                  <w:vAlign w:val="center"/>
                </w:tcPr>
                <w:p>
                  <w:pPr>
                    <w:jc w:val="center"/>
                    <w:rPr>
                      <w:rFonts w:hAnsi="宋体"/>
                      <w:szCs w:val="21"/>
                    </w:rPr>
                  </w:pPr>
                  <w:r>
                    <w:rPr>
                      <w:rFonts w:hint="eastAsia" w:hAnsi="宋体"/>
                      <w:szCs w:val="21"/>
                    </w:rPr>
                    <w:t>有机废气</w:t>
                  </w:r>
                </w:p>
              </w:tc>
              <w:tc>
                <w:tcPr>
                  <w:tcW w:w="625" w:type="dxa"/>
                  <w:vAlign w:val="center"/>
                </w:tcPr>
                <w:p>
                  <w:pPr>
                    <w:jc w:val="center"/>
                    <w:rPr>
                      <w:rFonts w:hAnsi="宋体"/>
                      <w:szCs w:val="21"/>
                    </w:rPr>
                  </w:pPr>
                  <w:r>
                    <w:rPr>
                      <w:rFonts w:hint="eastAsia" w:hAnsi="宋体"/>
                      <w:szCs w:val="21"/>
                    </w:rPr>
                    <w:t>半年</w:t>
                  </w:r>
                </w:p>
              </w:tc>
              <w:tc>
                <w:tcPr>
                  <w:tcW w:w="768" w:type="dxa"/>
                  <w:vAlign w:val="center"/>
                </w:tcPr>
                <w:p>
                  <w:pPr>
                    <w:jc w:val="center"/>
                    <w:rPr>
                      <w:rFonts w:hAnsi="宋体"/>
                      <w:szCs w:val="21"/>
                    </w:rPr>
                  </w:pPr>
                  <w:r>
                    <w:rPr>
                      <w:rFonts w:hint="eastAsia" w:hAnsi="宋体"/>
                      <w:szCs w:val="21"/>
                    </w:rPr>
                    <w:t>Ln/T</w:t>
                  </w:r>
                </w:p>
              </w:tc>
              <w:tc>
                <w:tcPr>
                  <w:tcW w:w="1357" w:type="dxa"/>
                  <w:vMerge w:val="restart"/>
                  <w:vAlign w:val="center"/>
                </w:tcPr>
                <w:p>
                  <w:pPr>
                    <w:jc w:val="center"/>
                    <w:rPr>
                      <w:rFonts w:hAnsi="宋体"/>
                      <w:szCs w:val="21"/>
                    </w:rPr>
                  </w:pPr>
                  <w:r>
                    <w:rPr>
                      <w:rFonts w:hint="eastAsia"/>
                      <w:szCs w:val="21"/>
                    </w:rPr>
                    <w:t>暂存于危险废物暂</w:t>
                  </w:r>
                </w:p>
                <w:p>
                  <w:pPr>
                    <w:jc w:val="center"/>
                    <w:rPr>
                      <w:rFonts w:hAnsi="宋体"/>
                      <w:szCs w:val="21"/>
                    </w:rPr>
                  </w:pPr>
                  <w:r>
                    <w:rPr>
                      <w:rFonts w:hint="eastAsia"/>
                      <w:szCs w:val="21"/>
                    </w:rPr>
                    <w:t>存间，定期交有资质单位处理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pPr>
                    <w:jc w:val="center"/>
                    <w:rPr>
                      <w:rFonts w:hAnsi="宋体"/>
                      <w:szCs w:val="21"/>
                    </w:rPr>
                  </w:pPr>
                  <w:r>
                    <w:rPr>
                      <w:rFonts w:hint="eastAsia" w:hAnsi="宋体"/>
                      <w:szCs w:val="21"/>
                    </w:rPr>
                    <w:t>2</w:t>
                  </w:r>
                </w:p>
              </w:tc>
              <w:tc>
                <w:tcPr>
                  <w:tcW w:w="756" w:type="dxa"/>
                  <w:vAlign w:val="center"/>
                </w:tcPr>
                <w:p>
                  <w:pPr>
                    <w:jc w:val="center"/>
                    <w:rPr>
                      <w:rFonts w:hAnsi="宋体"/>
                      <w:color w:val="000000"/>
                      <w:szCs w:val="21"/>
                    </w:rPr>
                  </w:pPr>
                  <w:r>
                    <w:rPr>
                      <w:rFonts w:hint="eastAsia" w:hAnsi="宋体"/>
                      <w:color w:val="000000"/>
                      <w:szCs w:val="21"/>
                    </w:rPr>
                    <w:t>废催化剂</w:t>
                  </w:r>
                </w:p>
              </w:tc>
              <w:tc>
                <w:tcPr>
                  <w:tcW w:w="996" w:type="dxa"/>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381" w:type="dxa"/>
                  <w:vAlign w:val="center"/>
                </w:tcPr>
                <w:p>
                  <w:pPr>
                    <w:jc w:val="center"/>
                    <w:rPr>
                      <w:rFonts w:hAnsi="宋体"/>
                      <w:color w:val="000000"/>
                      <w:szCs w:val="21"/>
                    </w:rPr>
                  </w:pPr>
                  <w:r>
                    <w:rPr>
                      <w:rFonts w:hint="eastAsia" w:hAnsi="宋体"/>
                      <w:color w:val="000000"/>
                      <w:sz w:val="24"/>
                    </w:rPr>
                    <w:t>900-015-13</w:t>
                  </w:r>
                </w:p>
              </w:tc>
              <w:tc>
                <w:tcPr>
                  <w:tcW w:w="1069" w:type="dxa"/>
                  <w:vAlign w:val="center"/>
                </w:tcPr>
                <w:p>
                  <w:pPr>
                    <w:jc w:val="center"/>
                    <w:rPr>
                      <w:rFonts w:hAnsi="宋体"/>
                      <w:color w:val="000000"/>
                      <w:szCs w:val="21"/>
                    </w:rPr>
                  </w:pPr>
                  <w:r>
                    <w:rPr>
                      <w:rFonts w:hint="eastAsia" w:hAnsi="宋体"/>
                      <w:color w:val="000000"/>
                      <w:szCs w:val="21"/>
                    </w:rPr>
                    <w:t>0</w:t>
                  </w:r>
                  <w:r>
                    <w:rPr>
                      <w:rFonts w:hAnsi="宋体"/>
                      <w:color w:val="000000"/>
                      <w:szCs w:val="21"/>
                    </w:rPr>
                    <w:t>.03</w:t>
                  </w:r>
                </w:p>
              </w:tc>
              <w:tc>
                <w:tcPr>
                  <w:tcW w:w="930" w:type="dxa"/>
                  <w:vMerge w:val="continue"/>
                  <w:vAlign w:val="center"/>
                </w:tcPr>
                <w:p>
                  <w:pPr>
                    <w:jc w:val="center"/>
                    <w:rPr>
                      <w:rFonts w:hAnsi="宋体"/>
                      <w:color w:val="000000"/>
                      <w:szCs w:val="21"/>
                    </w:rPr>
                  </w:pPr>
                </w:p>
              </w:tc>
              <w:tc>
                <w:tcPr>
                  <w:tcW w:w="493" w:type="dxa"/>
                  <w:vMerge w:val="continue"/>
                  <w:vAlign w:val="center"/>
                </w:tcPr>
                <w:p>
                  <w:pPr>
                    <w:jc w:val="center"/>
                    <w:rPr>
                      <w:rFonts w:hAnsi="宋体"/>
                      <w:szCs w:val="21"/>
                    </w:rPr>
                  </w:pPr>
                </w:p>
              </w:tc>
              <w:tc>
                <w:tcPr>
                  <w:tcW w:w="625" w:type="dxa"/>
                  <w:vAlign w:val="center"/>
                </w:tcPr>
                <w:p>
                  <w:pPr>
                    <w:jc w:val="center"/>
                    <w:rPr>
                      <w:rFonts w:hAnsi="宋体"/>
                      <w:szCs w:val="21"/>
                    </w:rPr>
                  </w:pPr>
                  <w:r>
                    <w:rPr>
                      <w:rFonts w:hint="eastAsia" w:hAnsi="宋体"/>
                      <w:szCs w:val="21"/>
                    </w:rPr>
                    <w:t>有机废气</w:t>
                  </w:r>
                </w:p>
              </w:tc>
              <w:tc>
                <w:tcPr>
                  <w:tcW w:w="625" w:type="dxa"/>
                  <w:vAlign w:val="center"/>
                </w:tcPr>
                <w:p>
                  <w:pPr>
                    <w:jc w:val="center"/>
                    <w:rPr>
                      <w:rFonts w:hAnsi="宋体"/>
                      <w:szCs w:val="21"/>
                    </w:rPr>
                  </w:pPr>
                  <w:r>
                    <w:rPr>
                      <w:rFonts w:hint="eastAsia" w:hAnsi="宋体"/>
                      <w:szCs w:val="21"/>
                    </w:rPr>
                    <w:t>半年</w:t>
                  </w:r>
                </w:p>
              </w:tc>
              <w:tc>
                <w:tcPr>
                  <w:tcW w:w="768" w:type="dxa"/>
                  <w:vAlign w:val="center"/>
                </w:tcPr>
                <w:p>
                  <w:pPr>
                    <w:jc w:val="center"/>
                    <w:rPr>
                      <w:rFonts w:hAnsi="宋体"/>
                      <w:szCs w:val="21"/>
                    </w:rPr>
                  </w:pPr>
                  <w:r>
                    <w:rPr>
                      <w:rFonts w:hint="eastAsia" w:hAnsi="宋体"/>
                      <w:szCs w:val="21"/>
                    </w:rPr>
                    <w:t>Ln/T</w:t>
                  </w:r>
                </w:p>
              </w:tc>
              <w:tc>
                <w:tcPr>
                  <w:tcW w:w="1357"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pPr>
                    <w:jc w:val="center"/>
                    <w:rPr>
                      <w:rFonts w:hAnsi="宋体"/>
                      <w:szCs w:val="21"/>
                    </w:rPr>
                  </w:pPr>
                  <w:r>
                    <w:rPr>
                      <w:rFonts w:hAnsi="宋体"/>
                      <w:szCs w:val="21"/>
                    </w:rPr>
                    <w:t>3</w:t>
                  </w:r>
                </w:p>
              </w:tc>
              <w:tc>
                <w:tcPr>
                  <w:tcW w:w="756" w:type="dxa"/>
                  <w:vAlign w:val="center"/>
                </w:tcPr>
                <w:p>
                  <w:pPr>
                    <w:jc w:val="center"/>
                    <w:rPr>
                      <w:rFonts w:hAnsi="宋体"/>
                      <w:color w:val="000000"/>
                      <w:szCs w:val="21"/>
                    </w:rPr>
                  </w:pPr>
                  <w:r>
                    <w:rPr>
                      <w:rFonts w:hint="eastAsia" w:hAnsi="宋体"/>
                      <w:color w:val="000000"/>
                      <w:szCs w:val="21"/>
                    </w:rPr>
                    <w:t>废活性炭</w:t>
                  </w:r>
                </w:p>
              </w:tc>
              <w:tc>
                <w:tcPr>
                  <w:tcW w:w="996" w:type="dxa"/>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381" w:type="dxa"/>
                  <w:vAlign w:val="center"/>
                </w:tcPr>
                <w:p>
                  <w:pPr>
                    <w:jc w:val="center"/>
                    <w:rPr>
                      <w:rFonts w:hAnsi="宋体"/>
                      <w:color w:val="000000"/>
                      <w:szCs w:val="21"/>
                    </w:rPr>
                  </w:pPr>
                  <w:r>
                    <w:rPr>
                      <w:rFonts w:hint="eastAsia" w:hAnsi="宋体"/>
                      <w:color w:val="000000"/>
                      <w:sz w:val="24"/>
                    </w:rPr>
                    <w:t>900-015-13</w:t>
                  </w:r>
                </w:p>
              </w:tc>
              <w:tc>
                <w:tcPr>
                  <w:tcW w:w="1069" w:type="dxa"/>
                  <w:vAlign w:val="center"/>
                </w:tcPr>
                <w:p>
                  <w:pPr>
                    <w:jc w:val="center"/>
                    <w:rPr>
                      <w:rFonts w:hAnsi="宋体"/>
                      <w:color w:val="000000"/>
                      <w:szCs w:val="21"/>
                    </w:rPr>
                  </w:pPr>
                  <w:r>
                    <w:rPr>
                      <w:rFonts w:hint="eastAsia" w:hAnsi="宋体"/>
                      <w:color w:val="000000"/>
                      <w:szCs w:val="21"/>
                    </w:rPr>
                    <w:t>0</w:t>
                  </w:r>
                  <w:r>
                    <w:rPr>
                      <w:rFonts w:hAnsi="宋体"/>
                      <w:color w:val="000000"/>
                      <w:szCs w:val="21"/>
                    </w:rPr>
                    <w:t>.05</w:t>
                  </w:r>
                </w:p>
              </w:tc>
              <w:tc>
                <w:tcPr>
                  <w:tcW w:w="930" w:type="dxa"/>
                  <w:vAlign w:val="center"/>
                </w:tcPr>
                <w:p>
                  <w:pPr>
                    <w:jc w:val="center"/>
                    <w:rPr>
                      <w:rFonts w:hAnsi="宋体"/>
                      <w:color w:val="000000"/>
                      <w:szCs w:val="21"/>
                    </w:rPr>
                  </w:pPr>
                  <w:r>
                    <w:rPr>
                      <w:rFonts w:hint="eastAsia" w:hAnsi="宋体"/>
                      <w:color w:val="000000"/>
                      <w:szCs w:val="21"/>
                    </w:rPr>
                    <w:t>活性炭吸附装置</w:t>
                  </w:r>
                </w:p>
              </w:tc>
              <w:tc>
                <w:tcPr>
                  <w:tcW w:w="493" w:type="dxa"/>
                  <w:vAlign w:val="center"/>
                </w:tcPr>
                <w:p>
                  <w:pPr>
                    <w:jc w:val="center"/>
                    <w:rPr>
                      <w:rFonts w:hAnsi="宋体"/>
                      <w:szCs w:val="21"/>
                    </w:rPr>
                  </w:pPr>
                  <w:r>
                    <w:rPr>
                      <w:rFonts w:hint="eastAsia" w:hAnsi="宋体"/>
                      <w:szCs w:val="21"/>
                    </w:rPr>
                    <w:t>固态</w:t>
                  </w:r>
                </w:p>
              </w:tc>
              <w:tc>
                <w:tcPr>
                  <w:tcW w:w="625" w:type="dxa"/>
                  <w:vAlign w:val="center"/>
                </w:tcPr>
                <w:p>
                  <w:pPr>
                    <w:jc w:val="center"/>
                    <w:rPr>
                      <w:rFonts w:hAnsi="宋体"/>
                      <w:szCs w:val="21"/>
                    </w:rPr>
                  </w:pPr>
                  <w:r>
                    <w:rPr>
                      <w:rFonts w:hint="eastAsia" w:hAnsi="宋体"/>
                      <w:szCs w:val="21"/>
                    </w:rPr>
                    <w:t>有机废气</w:t>
                  </w:r>
                </w:p>
              </w:tc>
              <w:tc>
                <w:tcPr>
                  <w:tcW w:w="625" w:type="dxa"/>
                  <w:vAlign w:val="center"/>
                </w:tcPr>
                <w:p>
                  <w:pPr>
                    <w:jc w:val="center"/>
                    <w:rPr>
                      <w:rFonts w:hAnsi="宋体"/>
                      <w:szCs w:val="21"/>
                    </w:rPr>
                  </w:pPr>
                  <w:r>
                    <w:rPr>
                      <w:rFonts w:hint="eastAsia" w:hAnsi="宋体"/>
                      <w:szCs w:val="21"/>
                    </w:rPr>
                    <w:t>半年</w:t>
                  </w:r>
                </w:p>
              </w:tc>
              <w:tc>
                <w:tcPr>
                  <w:tcW w:w="768" w:type="dxa"/>
                  <w:vAlign w:val="center"/>
                </w:tcPr>
                <w:p>
                  <w:pPr>
                    <w:jc w:val="center"/>
                    <w:rPr>
                      <w:rFonts w:hAnsi="宋体"/>
                      <w:szCs w:val="21"/>
                    </w:rPr>
                  </w:pPr>
                  <w:r>
                    <w:rPr>
                      <w:rFonts w:hint="eastAsia" w:hAnsi="宋体"/>
                      <w:szCs w:val="21"/>
                    </w:rPr>
                    <w:t>Ln/T</w:t>
                  </w:r>
                </w:p>
              </w:tc>
              <w:tc>
                <w:tcPr>
                  <w:tcW w:w="1357" w:type="dxa"/>
                  <w:vMerge w:val="continue"/>
                  <w:vAlign w:val="center"/>
                </w:tcPr>
                <w:p>
                  <w:pPr>
                    <w:jc w:val="center"/>
                    <w:rPr>
                      <w:szCs w:val="21"/>
                    </w:rPr>
                  </w:pPr>
                </w:p>
              </w:tc>
            </w:tr>
          </w:tbl>
          <w:p>
            <w:pPr>
              <w:spacing w:line="480" w:lineRule="exact"/>
              <w:ind w:firstLine="480" w:firstLineChars="200"/>
              <w:rPr>
                <w:rFonts w:hAnsi="宋体"/>
                <w:color w:val="000000"/>
                <w:sz w:val="24"/>
              </w:rPr>
            </w:pPr>
          </w:p>
          <w:p>
            <w:pPr>
              <w:adjustRightInd w:val="0"/>
              <w:snapToGrid w:val="0"/>
              <w:jc w:val="center"/>
              <w:rPr>
                <w:b/>
                <w:sz w:val="24"/>
              </w:rPr>
            </w:pPr>
            <w:r>
              <w:rPr>
                <w:rFonts w:hint="eastAsia"/>
                <w:b/>
                <w:sz w:val="24"/>
              </w:rPr>
              <w:t>表8建设项目危险废物贮存场所（设施）基本情况</w:t>
            </w:r>
          </w:p>
          <w:tbl>
            <w:tblPr>
              <w:tblStyle w:val="12"/>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445"/>
              <w:gridCol w:w="931"/>
              <w:gridCol w:w="1113"/>
              <w:gridCol w:w="1405"/>
              <w:gridCol w:w="828"/>
              <w:gridCol w:w="797"/>
              <w:gridCol w:w="929"/>
              <w:gridCol w:w="787"/>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序号</w:t>
                  </w:r>
                </w:p>
              </w:tc>
              <w:tc>
                <w:tcPr>
                  <w:tcW w:w="14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贮存场所（设施名称）</w:t>
                  </w:r>
                </w:p>
              </w:tc>
              <w:tc>
                <w:tcPr>
                  <w:tcW w:w="93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危险废物名称</w:t>
                  </w:r>
                </w:p>
              </w:tc>
              <w:tc>
                <w:tcPr>
                  <w:tcW w:w="111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危险废物类别</w:t>
                  </w:r>
                </w:p>
              </w:tc>
              <w:tc>
                <w:tcPr>
                  <w:tcW w:w="14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危险废物代码</w:t>
                  </w:r>
                </w:p>
              </w:tc>
              <w:tc>
                <w:tcPr>
                  <w:tcW w:w="8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位置</w:t>
                  </w:r>
                </w:p>
              </w:tc>
              <w:tc>
                <w:tcPr>
                  <w:tcW w:w="79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占地面积</w:t>
                  </w:r>
                </w:p>
              </w:tc>
              <w:tc>
                <w:tcPr>
                  <w:tcW w:w="92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贮存方式</w:t>
                  </w:r>
                </w:p>
              </w:tc>
              <w:tc>
                <w:tcPr>
                  <w:tcW w:w="78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贮存能力</w:t>
                  </w:r>
                </w:p>
              </w:tc>
              <w:tc>
                <w:tcPr>
                  <w:tcW w:w="73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szCs w:val="21"/>
                    </w:rPr>
                  </w:pPr>
                  <w:r>
                    <w:rPr>
                      <w:rFonts w:hint="eastAsia"/>
                      <w:b/>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szCs w:val="21"/>
                    </w:rPr>
                    <w:t>1</w:t>
                  </w:r>
                </w:p>
              </w:tc>
              <w:tc>
                <w:tcPr>
                  <w:tcW w:w="1445" w:type="dxa"/>
                  <w:vMerge w:val="restart"/>
                  <w:tcBorders>
                    <w:top w:val="single" w:color="auto" w:sz="4" w:space="0"/>
                    <w:left w:val="single" w:color="auto" w:sz="4" w:space="0"/>
                    <w:right w:val="single" w:color="auto" w:sz="4" w:space="0"/>
                  </w:tcBorders>
                  <w:vAlign w:val="center"/>
                </w:tcPr>
                <w:p>
                  <w:pPr>
                    <w:spacing w:line="240" w:lineRule="exact"/>
                    <w:jc w:val="center"/>
                    <w:rPr>
                      <w:szCs w:val="21"/>
                    </w:rPr>
                  </w:pPr>
                  <w:r>
                    <w:rPr>
                      <w:rFonts w:hint="eastAsia"/>
                      <w:szCs w:val="21"/>
                    </w:rPr>
                    <w:t>危废暂存间</w:t>
                  </w:r>
                </w:p>
              </w:tc>
              <w:tc>
                <w:tcPr>
                  <w:tcW w:w="931" w:type="dxa"/>
                  <w:tcBorders>
                    <w:top w:val="single" w:color="auto" w:sz="4" w:space="0"/>
                    <w:left w:val="single" w:color="auto" w:sz="4" w:space="0"/>
                    <w:right w:val="single" w:color="auto" w:sz="4" w:space="0"/>
                  </w:tcBorders>
                  <w:vAlign w:val="center"/>
                </w:tcPr>
                <w:p>
                  <w:pPr>
                    <w:jc w:val="center"/>
                    <w:rPr>
                      <w:rFonts w:hAnsi="宋体"/>
                      <w:color w:val="000000"/>
                      <w:szCs w:val="21"/>
                    </w:rPr>
                  </w:pPr>
                  <w:r>
                    <w:rPr>
                      <w:rFonts w:hint="eastAsia" w:hAnsi="宋体"/>
                      <w:color w:val="000000"/>
                      <w:szCs w:val="21"/>
                    </w:rPr>
                    <w:t>废过滤棉</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40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 w:val="24"/>
                    </w:rPr>
                    <w:t>900-015-13</w:t>
                  </w:r>
                </w:p>
              </w:tc>
              <w:tc>
                <w:tcPr>
                  <w:tcW w:w="828" w:type="dxa"/>
                  <w:vMerge w:val="restart"/>
                  <w:tcBorders>
                    <w:top w:val="single" w:color="auto" w:sz="4" w:space="0"/>
                    <w:left w:val="single" w:color="auto" w:sz="4" w:space="0"/>
                    <w:right w:val="single" w:color="auto" w:sz="4" w:space="0"/>
                  </w:tcBorders>
                  <w:vAlign w:val="center"/>
                </w:tcPr>
                <w:p>
                  <w:pPr>
                    <w:jc w:val="left"/>
                    <w:rPr>
                      <w:szCs w:val="21"/>
                    </w:rPr>
                  </w:pPr>
                  <w:r>
                    <w:rPr>
                      <w:rFonts w:hint="eastAsia"/>
                      <w:szCs w:val="21"/>
                    </w:rPr>
                    <w:t>3#库房北侧</w:t>
                  </w:r>
                </w:p>
              </w:tc>
              <w:tc>
                <w:tcPr>
                  <w:tcW w:w="797" w:type="dxa"/>
                  <w:vMerge w:val="restart"/>
                  <w:tcBorders>
                    <w:top w:val="single" w:color="auto" w:sz="4" w:space="0"/>
                    <w:left w:val="single" w:color="auto" w:sz="4" w:space="0"/>
                    <w:right w:val="single" w:color="auto" w:sz="4" w:space="0"/>
                  </w:tcBorders>
                  <w:vAlign w:val="center"/>
                </w:tcPr>
                <w:p>
                  <w:pPr>
                    <w:spacing w:line="240" w:lineRule="exact"/>
                    <w:jc w:val="center"/>
                    <w:rPr>
                      <w:szCs w:val="21"/>
                    </w:rPr>
                  </w:pPr>
                  <w:r>
                    <w:rPr>
                      <w:szCs w:val="21"/>
                    </w:rPr>
                    <w:t>3m</w:t>
                  </w:r>
                  <w:r>
                    <w:rPr>
                      <w:szCs w:val="21"/>
                      <w:vertAlign w:val="superscript"/>
                    </w:rPr>
                    <w:t>2</w:t>
                  </w:r>
                </w:p>
                <w:p>
                  <w:pPr>
                    <w:jc w:val="left"/>
                    <w:rPr>
                      <w:szCs w:val="21"/>
                    </w:rPr>
                  </w:pPr>
                </w:p>
              </w:tc>
              <w:tc>
                <w:tcPr>
                  <w:tcW w:w="929" w:type="dxa"/>
                  <w:vMerge w:val="restart"/>
                  <w:tcBorders>
                    <w:top w:val="single" w:color="auto" w:sz="4" w:space="0"/>
                    <w:left w:val="single" w:color="auto" w:sz="4" w:space="0"/>
                    <w:right w:val="single" w:color="auto" w:sz="4" w:space="0"/>
                  </w:tcBorders>
                  <w:vAlign w:val="center"/>
                </w:tcPr>
                <w:p>
                  <w:pPr>
                    <w:spacing w:line="240" w:lineRule="exact"/>
                    <w:jc w:val="center"/>
                    <w:rPr>
                      <w:szCs w:val="21"/>
                    </w:rPr>
                  </w:pPr>
                  <w:r>
                    <w:rPr>
                      <w:rFonts w:hint="eastAsia"/>
                      <w:szCs w:val="21"/>
                    </w:rPr>
                    <w:t>密闭容器桶装</w:t>
                  </w:r>
                </w:p>
              </w:tc>
              <w:tc>
                <w:tcPr>
                  <w:tcW w:w="787" w:type="dxa"/>
                  <w:tcBorders>
                    <w:top w:val="single" w:color="auto" w:sz="4" w:space="0"/>
                    <w:left w:val="single" w:color="auto" w:sz="4" w:space="0"/>
                    <w:right w:val="single" w:color="auto" w:sz="4" w:space="0"/>
                  </w:tcBorders>
                  <w:vAlign w:val="center"/>
                </w:tcPr>
                <w:p>
                  <w:pPr>
                    <w:spacing w:line="240" w:lineRule="exact"/>
                    <w:jc w:val="center"/>
                    <w:rPr>
                      <w:szCs w:val="21"/>
                    </w:rPr>
                  </w:pPr>
                  <w:r>
                    <w:rPr>
                      <w:szCs w:val="21"/>
                    </w:rPr>
                    <w:t>0.2t</w:t>
                  </w:r>
                </w:p>
              </w:tc>
              <w:tc>
                <w:tcPr>
                  <w:tcW w:w="730" w:type="dxa"/>
                  <w:tcBorders>
                    <w:top w:val="single" w:color="auto" w:sz="4" w:space="0"/>
                    <w:left w:val="single" w:color="auto" w:sz="4" w:space="0"/>
                    <w:right w:val="single" w:color="auto" w:sz="4" w:space="0"/>
                  </w:tcBorders>
                  <w:vAlign w:val="center"/>
                </w:tcPr>
                <w:p>
                  <w:pPr>
                    <w:spacing w:line="240" w:lineRule="exact"/>
                    <w:jc w:val="center"/>
                    <w:rPr>
                      <w:szCs w:val="21"/>
                    </w:rPr>
                  </w:pPr>
                  <w:r>
                    <w:rPr>
                      <w:szCs w:val="21"/>
                    </w:rPr>
                    <w:t>1</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rFonts w:hint="eastAsia"/>
                      <w:szCs w:val="21"/>
                    </w:rPr>
                    <w:t>2</w:t>
                  </w:r>
                </w:p>
              </w:tc>
              <w:tc>
                <w:tcPr>
                  <w:tcW w:w="1445" w:type="dxa"/>
                  <w:vMerge w:val="continue"/>
                  <w:tcBorders>
                    <w:top w:val="single" w:color="auto" w:sz="4" w:space="0"/>
                    <w:left w:val="single" w:color="auto" w:sz="4" w:space="0"/>
                    <w:right w:val="single" w:color="auto" w:sz="4" w:space="0"/>
                  </w:tcBorders>
                  <w:vAlign w:val="center"/>
                </w:tcPr>
                <w:p>
                  <w:pPr>
                    <w:spacing w:line="240" w:lineRule="exact"/>
                    <w:jc w:val="center"/>
                    <w:rPr>
                      <w:szCs w:val="21"/>
                    </w:rPr>
                  </w:pPr>
                </w:p>
              </w:tc>
              <w:tc>
                <w:tcPr>
                  <w:tcW w:w="931" w:type="dxa"/>
                  <w:tcBorders>
                    <w:top w:val="single" w:color="auto" w:sz="4" w:space="0"/>
                    <w:left w:val="single" w:color="auto" w:sz="4" w:space="0"/>
                    <w:right w:val="single" w:color="auto" w:sz="4" w:space="0"/>
                  </w:tcBorders>
                  <w:vAlign w:val="center"/>
                </w:tcPr>
                <w:p>
                  <w:pPr>
                    <w:jc w:val="center"/>
                    <w:rPr>
                      <w:rFonts w:hAnsi="宋体"/>
                      <w:color w:val="000000"/>
                      <w:szCs w:val="21"/>
                    </w:rPr>
                  </w:pPr>
                  <w:r>
                    <w:rPr>
                      <w:rFonts w:hint="eastAsia" w:hAnsi="宋体"/>
                      <w:color w:val="000000"/>
                      <w:szCs w:val="21"/>
                    </w:rPr>
                    <w:t>废催</w:t>
                  </w:r>
                </w:p>
                <w:p>
                  <w:pPr>
                    <w:jc w:val="center"/>
                    <w:rPr>
                      <w:rFonts w:hAnsi="宋体"/>
                      <w:color w:val="000000"/>
                      <w:szCs w:val="21"/>
                    </w:rPr>
                  </w:pPr>
                  <w:r>
                    <w:rPr>
                      <w:rFonts w:hint="eastAsia" w:hAnsi="宋体"/>
                      <w:color w:val="000000"/>
                      <w:szCs w:val="21"/>
                    </w:rPr>
                    <w:t>化剂</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40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 w:val="24"/>
                    </w:rPr>
                    <w:t>900-015-13</w:t>
                  </w:r>
                </w:p>
              </w:tc>
              <w:tc>
                <w:tcPr>
                  <w:tcW w:w="828" w:type="dxa"/>
                  <w:vMerge w:val="continue"/>
                  <w:tcBorders>
                    <w:top w:val="single" w:color="auto" w:sz="4" w:space="0"/>
                    <w:left w:val="single" w:color="auto" w:sz="4" w:space="0"/>
                    <w:right w:val="single" w:color="auto" w:sz="4" w:space="0"/>
                  </w:tcBorders>
                  <w:vAlign w:val="center"/>
                </w:tcPr>
                <w:p>
                  <w:pPr>
                    <w:jc w:val="left"/>
                    <w:rPr>
                      <w:szCs w:val="21"/>
                    </w:rPr>
                  </w:pPr>
                </w:p>
              </w:tc>
              <w:tc>
                <w:tcPr>
                  <w:tcW w:w="797" w:type="dxa"/>
                  <w:vMerge w:val="continue"/>
                  <w:tcBorders>
                    <w:top w:val="single" w:color="auto" w:sz="4" w:space="0"/>
                    <w:left w:val="single" w:color="auto" w:sz="4" w:space="0"/>
                    <w:right w:val="single" w:color="auto" w:sz="4" w:space="0"/>
                  </w:tcBorders>
                  <w:vAlign w:val="center"/>
                </w:tcPr>
                <w:p>
                  <w:pPr>
                    <w:spacing w:line="240" w:lineRule="exact"/>
                    <w:jc w:val="center"/>
                    <w:rPr>
                      <w:szCs w:val="21"/>
                    </w:rPr>
                  </w:pPr>
                </w:p>
              </w:tc>
              <w:tc>
                <w:tcPr>
                  <w:tcW w:w="929" w:type="dxa"/>
                  <w:vMerge w:val="continue"/>
                  <w:tcBorders>
                    <w:top w:val="single" w:color="auto" w:sz="4" w:space="0"/>
                    <w:left w:val="single" w:color="auto" w:sz="4" w:space="0"/>
                    <w:right w:val="single" w:color="auto" w:sz="4" w:space="0"/>
                  </w:tcBorders>
                  <w:vAlign w:val="center"/>
                </w:tcPr>
                <w:p>
                  <w:pPr>
                    <w:spacing w:line="240" w:lineRule="exact"/>
                    <w:jc w:val="center"/>
                    <w:rPr>
                      <w:szCs w:val="21"/>
                    </w:rPr>
                  </w:pPr>
                </w:p>
              </w:tc>
              <w:tc>
                <w:tcPr>
                  <w:tcW w:w="787" w:type="dxa"/>
                  <w:tcBorders>
                    <w:top w:val="single" w:color="auto" w:sz="4" w:space="0"/>
                    <w:left w:val="single" w:color="auto" w:sz="4" w:space="0"/>
                    <w:right w:val="single" w:color="auto" w:sz="4" w:space="0"/>
                  </w:tcBorders>
                  <w:vAlign w:val="center"/>
                </w:tcPr>
                <w:p>
                  <w:pPr>
                    <w:spacing w:line="240" w:lineRule="exact"/>
                    <w:jc w:val="center"/>
                    <w:rPr>
                      <w:szCs w:val="21"/>
                    </w:rPr>
                  </w:pPr>
                  <w:r>
                    <w:rPr>
                      <w:rFonts w:hint="eastAsia"/>
                      <w:szCs w:val="21"/>
                    </w:rPr>
                    <w:t>0</w:t>
                  </w:r>
                  <w:r>
                    <w:rPr>
                      <w:szCs w:val="21"/>
                    </w:rPr>
                    <w:t>.3t</w:t>
                  </w:r>
                </w:p>
              </w:tc>
              <w:tc>
                <w:tcPr>
                  <w:tcW w:w="730" w:type="dxa"/>
                  <w:tcBorders>
                    <w:top w:val="single" w:color="auto" w:sz="4" w:space="0"/>
                    <w:left w:val="single" w:color="auto" w:sz="4" w:space="0"/>
                    <w:right w:val="single" w:color="auto" w:sz="4" w:space="0"/>
                  </w:tcBorders>
                  <w:vAlign w:val="center"/>
                </w:tcPr>
                <w:p>
                  <w:pPr>
                    <w:spacing w:line="240" w:lineRule="exact"/>
                    <w:jc w:val="center"/>
                    <w:rPr>
                      <w:szCs w:val="21"/>
                    </w:rPr>
                  </w:pPr>
                  <w:r>
                    <w:rPr>
                      <w:szCs w:val="21"/>
                    </w:rPr>
                    <w:t>1</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Cs w:val="21"/>
                    </w:rPr>
                  </w:pPr>
                  <w:r>
                    <w:rPr>
                      <w:szCs w:val="21"/>
                    </w:rPr>
                    <w:t>3</w:t>
                  </w:r>
                </w:p>
              </w:tc>
              <w:tc>
                <w:tcPr>
                  <w:tcW w:w="1445" w:type="dxa"/>
                  <w:vMerge w:val="continue"/>
                  <w:tcBorders>
                    <w:left w:val="single" w:color="auto" w:sz="4" w:space="0"/>
                    <w:bottom w:val="single" w:color="auto" w:sz="4" w:space="0"/>
                    <w:right w:val="single" w:color="auto" w:sz="4" w:space="0"/>
                  </w:tcBorders>
                  <w:vAlign w:val="center"/>
                </w:tcPr>
                <w:p>
                  <w:pPr>
                    <w:widowControl/>
                    <w:jc w:val="left"/>
                    <w:rPr>
                      <w:szCs w:val="21"/>
                    </w:rPr>
                  </w:pPr>
                </w:p>
              </w:tc>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Cs w:val="21"/>
                    </w:rPr>
                    <w:t>废活</w:t>
                  </w:r>
                </w:p>
                <w:p>
                  <w:pPr>
                    <w:jc w:val="center"/>
                    <w:rPr>
                      <w:rFonts w:hAnsi="宋体"/>
                      <w:color w:val="000000"/>
                      <w:szCs w:val="21"/>
                    </w:rPr>
                  </w:pPr>
                  <w:r>
                    <w:rPr>
                      <w:rFonts w:hint="eastAsia" w:hAnsi="宋体"/>
                      <w:color w:val="000000"/>
                      <w:szCs w:val="21"/>
                    </w:rPr>
                    <w:t>性炭</w:t>
                  </w:r>
                </w:p>
              </w:tc>
              <w:tc>
                <w:tcPr>
                  <w:tcW w:w="111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Cs w:val="21"/>
                    </w:rPr>
                    <w:t>H</w:t>
                  </w:r>
                  <w:r>
                    <w:rPr>
                      <w:rFonts w:hAnsi="宋体"/>
                      <w:color w:val="000000"/>
                      <w:szCs w:val="21"/>
                    </w:rPr>
                    <w:t>W49</w:t>
                  </w:r>
                </w:p>
              </w:tc>
              <w:tc>
                <w:tcPr>
                  <w:tcW w:w="1405"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szCs w:val="21"/>
                    </w:rPr>
                  </w:pPr>
                  <w:r>
                    <w:rPr>
                      <w:rFonts w:hint="eastAsia" w:hAnsi="宋体"/>
                      <w:color w:val="000000"/>
                      <w:sz w:val="24"/>
                    </w:rPr>
                    <w:t>900-015-13</w:t>
                  </w:r>
                </w:p>
              </w:tc>
              <w:tc>
                <w:tcPr>
                  <w:tcW w:w="828" w:type="dxa"/>
                  <w:vMerge w:val="continue"/>
                  <w:tcBorders>
                    <w:left w:val="single" w:color="auto" w:sz="4" w:space="0"/>
                    <w:bottom w:val="single" w:color="auto" w:sz="4" w:space="0"/>
                    <w:right w:val="single" w:color="auto" w:sz="4" w:space="0"/>
                  </w:tcBorders>
                  <w:vAlign w:val="center"/>
                </w:tcPr>
                <w:p>
                  <w:pPr>
                    <w:jc w:val="left"/>
                    <w:rPr>
                      <w:szCs w:val="21"/>
                    </w:rPr>
                  </w:pPr>
                </w:p>
              </w:tc>
              <w:tc>
                <w:tcPr>
                  <w:tcW w:w="797" w:type="dxa"/>
                  <w:vMerge w:val="continue"/>
                  <w:tcBorders>
                    <w:left w:val="single" w:color="auto" w:sz="4" w:space="0"/>
                    <w:bottom w:val="single" w:color="auto" w:sz="4" w:space="0"/>
                    <w:right w:val="single" w:color="auto" w:sz="4" w:space="0"/>
                  </w:tcBorders>
                  <w:vAlign w:val="center"/>
                </w:tcPr>
                <w:p>
                  <w:pPr>
                    <w:jc w:val="left"/>
                    <w:rPr>
                      <w:szCs w:val="21"/>
                    </w:rPr>
                  </w:pPr>
                </w:p>
              </w:tc>
              <w:tc>
                <w:tcPr>
                  <w:tcW w:w="929" w:type="dxa"/>
                  <w:vMerge w:val="continue"/>
                  <w:tcBorders>
                    <w:left w:val="single" w:color="auto" w:sz="4" w:space="0"/>
                    <w:bottom w:val="single" w:color="auto" w:sz="4" w:space="0"/>
                    <w:right w:val="single" w:color="auto" w:sz="4" w:space="0"/>
                  </w:tcBorders>
                  <w:vAlign w:val="center"/>
                </w:tcPr>
                <w:p>
                  <w:pPr>
                    <w:spacing w:line="240" w:lineRule="exact"/>
                    <w:jc w:val="center"/>
                    <w:rPr>
                      <w:szCs w:val="21"/>
                    </w:rPr>
                  </w:pPr>
                </w:p>
              </w:tc>
              <w:tc>
                <w:tcPr>
                  <w:tcW w:w="787" w:type="dxa"/>
                  <w:tcBorders>
                    <w:left w:val="single" w:color="auto" w:sz="4" w:space="0"/>
                    <w:bottom w:val="single" w:color="auto" w:sz="4" w:space="0"/>
                    <w:right w:val="single" w:color="auto" w:sz="4" w:space="0"/>
                  </w:tcBorders>
                  <w:vAlign w:val="center"/>
                </w:tcPr>
                <w:p>
                  <w:pPr>
                    <w:spacing w:line="240" w:lineRule="exact"/>
                    <w:jc w:val="center"/>
                    <w:rPr>
                      <w:szCs w:val="21"/>
                    </w:rPr>
                  </w:pPr>
                  <w:r>
                    <w:rPr>
                      <w:szCs w:val="21"/>
                    </w:rPr>
                    <w:t>0.5t</w:t>
                  </w:r>
                </w:p>
              </w:tc>
              <w:tc>
                <w:tcPr>
                  <w:tcW w:w="730" w:type="dxa"/>
                  <w:tcBorders>
                    <w:left w:val="single" w:color="auto" w:sz="4" w:space="0"/>
                    <w:bottom w:val="single" w:color="auto" w:sz="4" w:space="0"/>
                    <w:right w:val="single" w:color="auto" w:sz="4" w:space="0"/>
                  </w:tcBorders>
                  <w:vAlign w:val="center"/>
                </w:tcPr>
                <w:p>
                  <w:pPr>
                    <w:spacing w:line="240" w:lineRule="exact"/>
                    <w:jc w:val="center"/>
                    <w:rPr>
                      <w:szCs w:val="21"/>
                    </w:rPr>
                  </w:pPr>
                  <w:r>
                    <w:rPr>
                      <w:szCs w:val="21"/>
                    </w:rPr>
                    <w:t>1</w:t>
                  </w:r>
                  <w:r>
                    <w:rPr>
                      <w:rFonts w:hint="eastAsia"/>
                      <w:szCs w:val="21"/>
                    </w:rPr>
                    <w:t>年</w:t>
                  </w:r>
                </w:p>
              </w:tc>
            </w:tr>
          </w:tbl>
          <w:p>
            <w:pPr>
              <w:spacing w:line="360" w:lineRule="auto"/>
              <w:ind w:firstLine="480" w:firstLineChars="200"/>
              <w:rPr>
                <w:kern w:val="0"/>
                <w:sz w:val="24"/>
              </w:rPr>
            </w:pPr>
            <w:r>
              <w:rPr>
                <w:rFonts w:hint="eastAsia"/>
                <w:caps/>
                <w:sz w:val="24"/>
              </w:rPr>
              <w:t>综上，本项目固体废物均得到合理处置，对环境影响很小。</w:t>
            </w:r>
          </w:p>
          <w:p>
            <w:pPr>
              <w:spacing w:line="480" w:lineRule="exact"/>
              <w:ind w:firstLine="480" w:firstLineChars="200"/>
              <w:rPr>
                <w:rFonts w:hAnsi="宋体"/>
                <w:color w:val="000000"/>
                <w:sz w:val="24"/>
              </w:rPr>
            </w:pPr>
          </w:p>
          <w:p>
            <w:pPr>
              <w:spacing w:line="480" w:lineRule="exact"/>
              <w:ind w:firstLine="480" w:firstLineChars="200"/>
              <w:rPr>
                <w:rFonts w:hAnsi="宋体"/>
                <w:color w:val="000000"/>
                <w:sz w:val="24"/>
              </w:rPr>
            </w:pPr>
          </w:p>
          <w:p>
            <w:pPr>
              <w:spacing w:line="480" w:lineRule="exact"/>
              <w:ind w:firstLine="480" w:firstLineChars="200"/>
              <w:rPr>
                <w:rFonts w:hAnsi="宋体"/>
                <w:color w:val="000000"/>
                <w:sz w:val="24"/>
              </w:rPr>
            </w:pPr>
          </w:p>
          <w:p>
            <w:pPr>
              <w:spacing w:line="480" w:lineRule="exact"/>
              <w:ind w:firstLine="480" w:firstLineChars="200"/>
              <w:rPr>
                <w:rFonts w:hAnsi="宋体"/>
                <w:color w:val="000000"/>
                <w:sz w:val="24"/>
              </w:rPr>
            </w:pPr>
          </w:p>
          <w:p>
            <w:pPr>
              <w:spacing w:line="480" w:lineRule="exact"/>
              <w:ind w:firstLine="480" w:firstLineChars="200"/>
              <w:rPr>
                <w:rFonts w:hAnsi="宋体"/>
                <w:color w:val="000000"/>
                <w:sz w:val="24"/>
              </w:rPr>
            </w:pPr>
          </w:p>
          <w:p>
            <w:pPr>
              <w:adjustRightInd w:val="0"/>
              <w:snapToGrid w:val="0"/>
              <w:spacing w:line="360" w:lineRule="auto"/>
              <w:ind w:firstLine="480" w:firstLineChars="200"/>
              <w:rPr>
                <w:rFonts w:ascii="宋体" w:hAnsi="宋体"/>
                <w:color w:val="000000"/>
                <w:sz w:val="24"/>
              </w:rPr>
            </w:pPr>
          </w:p>
        </w:tc>
      </w:tr>
    </w:tbl>
    <w:p>
      <w:pPr>
        <w:rPr>
          <w:rFonts w:ascii="宋体" w:hAnsi="宋体"/>
          <w:b/>
          <w:color w:val="000000"/>
          <w:sz w:val="24"/>
        </w:rPr>
        <w:sectPr>
          <w:pgSz w:w="11906" w:h="16838"/>
          <w:pgMar w:top="1440" w:right="1080" w:bottom="1440" w:left="1080" w:header="851" w:footer="992" w:gutter="0"/>
          <w:cols w:space="425" w:num="1"/>
          <w:docGrid w:type="lines" w:linePitch="312" w:charSpace="0"/>
        </w:sectPr>
      </w:pPr>
    </w:p>
    <w:p>
      <w:pPr>
        <w:spacing w:line="360" w:lineRule="auto"/>
        <w:rPr>
          <w:rFonts w:ascii="宋体" w:hAnsi="宋体"/>
          <w:b/>
          <w:color w:val="000000"/>
          <w:sz w:val="24"/>
        </w:rPr>
      </w:pPr>
      <w:r>
        <w:rPr>
          <w:rFonts w:ascii="宋体" w:hAnsi="宋体"/>
          <w:b/>
          <w:color w:val="000000"/>
          <w:sz w:val="24"/>
        </w:rPr>
        <w:t>表四</w:t>
      </w:r>
    </w:p>
    <w:tbl>
      <w:tblPr>
        <w:tblStyle w:val="12"/>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9962" w:type="dxa"/>
            <w:vAlign w:val="center"/>
          </w:tcPr>
          <w:p>
            <w:pPr>
              <w:widowControl/>
              <w:adjustRightInd w:val="0"/>
              <w:snapToGrid w:val="0"/>
              <w:spacing w:line="360" w:lineRule="auto"/>
              <w:jc w:val="left"/>
              <w:rPr>
                <w:rFonts w:asciiTheme="minorEastAsia" w:hAnsiTheme="minorEastAsia" w:eastAsiaTheme="minorEastAsia"/>
                <w:b/>
                <w:snapToGrid w:val="0"/>
                <w:sz w:val="28"/>
                <w:szCs w:val="28"/>
              </w:rPr>
            </w:pPr>
            <w:r>
              <w:rPr>
                <w:rFonts w:asciiTheme="minorEastAsia" w:hAnsiTheme="minorEastAsia" w:eastAsiaTheme="minorEastAsia"/>
                <w:snapToGrid w:val="0"/>
                <w:sz w:val="24"/>
              </w:rPr>
              <w:br w:type="page"/>
            </w:r>
            <w:r>
              <w:rPr>
                <w:rFonts w:asciiTheme="minorEastAsia" w:hAnsiTheme="minorEastAsia" w:eastAsiaTheme="minorEastAsia"/>
                <w:b/>
                <w:snapToGrid w:val="0"/>
                <w:sz w:val="28"/>
                <w:szCs w:val="28"/>
              </w:rPr>
              <w:t>建设项目环境影响报告表主要结论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bookmarkStart w:id="6" w:name="_Toc28606"/>
            <w:r>
              <w:rPr>
                <w:rFonts w:asciiTheme="minorEastAsia" w:hAnsiTheme="minorEastAsia" w:eastAsiaTheme="minorEastAsia"/>
                <w:snapToGrid w:val="0"/>
                <w:sz w:val="24"/>
              </w:rPr>
              <w:t>环境影响报告表主要结论与建议</w:t>
            </w:r>
            <w:bookmarkEnd w:id="6"/>
            <w:r>
              <w:rPr>
                <w:rFonts w:hint="eastAsia" w:asciiTheme="minorEastAsia" w:hAnsiTheme="minorEastAsia" w:eastAsiaTheme="minorEastAsia"/>
                <w:snapToGrid w:val="0"/>
                <w:sz w:val="24"/>
              </w:rPr>
              <w:t>如下：</w:t>
            </w:r>
          </w:p>
          <w:p>
            <w:pPr>
              <w:pStyle w:val="22"/>
              <w:widowControl/>
              <w:adjustRightInd w:val="0"/>
              <w:snapToGrid w:val="0"/>
              <w:spacing w:line="360" w:lineRule="auto"/>
              <w:ind w:firstLine="480" w:firstLineChars="200"/>
              <w:jc w:val="left"/>
              <w:rPr>
                <w:rFonts w:asciiTheme="minorEastAsia" w:hAnsiTheme="minorEastAsia" w:eastAsiaTheme="minorEastAsia"/>
                <w:snapToGrid w:val="0"/>
                <w:spacing w:val="0"/>
                <w:kern w:val="2"/>
                <w:sz w:val="24"/>
                <w:szCs w:val="24"/>
              </w:rPr>
            </w:pPr>
            <w:r>
              <w:rPr>
                <w:rFonts w:asciiTheme="minorEastAsia" w:hAnsiTheme="minorEastAsia" w:eastAsiaTheme="minorEastAsia"/>
                <w:snapToGrid w:val="0"/>
                <w:spacing w:val="0"/>
                <w:kern w:val="2"/>
                <w:sz w:val="24"/>
                <w:szCs w:val="24"/>
              </w:rPr>
              <w:t>1、项目概况</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建设地点：本项目位于卢龙县双望镇三分村卢龙县铧宠铸造有限公司厂区内，厂区中心地理坐标为东经</w:t>
            </w:r>
            <w:r>
              <w:rPr>
                <w:rFonts w:asciiTheme="minorEastAsia" w:hAnsiTheme="minorEastAsia" w:eastAsiaTheme="minorEastAsia"/>
                <w:snapToGrid w:val="0"/>
                <w:sz w:val="24"/>
              </w:rPr>
              <w:t>119°2′24.80″，北纬39°54′15.47″</w:t>
            </w:r>
            <w:r>
              <w:rPr>
                <w:rFonts w:hint="eastAsia" w:asciiTheme="minorEastAsia" w:hAnsiTheme="minorEastAsia" w:eastAsiaTheme="minorEastAsia"/>
                <w:snapToGrid w:val="0"/>
                <w:sz w:val="24"/>
              </w:rPr>
              <w:t>。厂区以北是空地；以南是102国道，国道以南是空地；厂区以西是空地，空地以西是闲置的罐头厂；厂区以东是空地。最近的敏感目标为厂区南侧2</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0m范家庄村。项目地理位置图见附图1。项目周边关系见附图2。</w:t>
            </w:r>
          </w:p>
          <w:p>
            <w:pPr>
              <w:pStyle w:val="27"/>
              <w:widowControl/>
              <w:adjustRightInd w:val="0"/>
              <w:snapToGrid w:val="0"/>
              <w:spacing w:line="360" w:lineRule="auto"/>
              <w:ind w:firstLine="48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建设规模及内容：本项目建成后，废旧钢铁经中频感应电炉熔化、浇铸、冷却、抛丸等工序，形成成品。对原生产线进行改造，增加撞箱2台，电加热炉3台，除尘设备2套，有机废气治理设备1套，变压器1台，年产精密铸件5</w:t>
            </w:r>
            <w:r>
              <w:rPr>
                <w:rFonts w:asciiTheme="minorEastAsia" w:hAnsiTheme="minorEastAsia" w:eastAsiaTheme="minorEastAsia"/>
                <w:snapToGrid w:val="0"/>
                <w:sz w:val="24"/>
              </w:rPr>
              <w:t>400</w:t>
            </w:r>
            <w:r>
              <w:rPr>
                <w:rFonts w:hint="eastAsia" w:asciiTheme="minorEastAsia" w:hAnsiTheme="minorEastAsia" w:eastAsiaTheme="minorEastAsia"/>
                <w:snapToGrid w:val="0"/>
                <w:sz w:val="24"/>
              </w:rPr>
              <w:t>吨。</w:t>
            </w:r>
          </w:p>
          <w:p>
            <w:pPr>
              <w:pStyle w:val="27"/>
              <w:widowControl/>
              <w:adjustRightInd w:val="0"/>
              <w:snapToGrid w:val="0"/>
              <w:spacing w:line="360" w:lineRule="auto"/>
              <w:ind w:firstLine="48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w:t>
            </w:r>
            <w:r>
              <w:rPr>
                <w:rFonts w:asciiTheme="minorEastAsia" w:hAnsiTheme="minorEastAsia" w:eastAsiaTheme="minorEastAsia"/>
                <w:snapToGrid w:val="0"/>
                <w:sz w:val="24"/>
              </w:rPr>
              <w:t>项目用水</w:t>
            </w:r>
            <w:r>
              <w:rPr>
                <w:rFonts w:hint="eastAsia" w:asciiTheme="minorEastAsia" w:hAnsiTheme="minorEastAsia" w:eastAsiaTheme="minorEastAsia"/>
                <w:snapToGrid w:val="0"/>
                <w:sz w:val="24"/>
              </w:rPr>
              <w:t>取自厂区自备水井；项目用电依托厂区内现有供电设施。</w:t>
            </w:r>
          </w:p>
          <w:p>
            <w:pPr>
              <w:pStyle w:val="27"/>
              <w:widowControl/>
              <w:adjustRightInd w:val="0"/>
              <w:snapToGrid w:val="0"/>
              <w:spacing w:line="360" w:lineRule="auto"/>
              <w:ind w:firstLine="48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项目投资：本项目总投资</w:t>
            </w:r>
            <w:r>
              <w:rPr>
                <w:rFonts w:asciiTheme="minorEastAsia" w:hAnsiTheme="minorEastAsia" w:eastAsiaTheme="minorEastAsia"/>
                <w:snapToGrid w:val="0"/>
                <w:sz w:val="24"/>
              </w:rPr>
              <w:t>660</w:t>
            </w:r>
            <w:r>
              <w:rPr>
                <w:rFonts w:hint="eastAsia" w:asciiTheme="minorEastAsia" w:hAnsiTheme="minorEastAsia" w:eastAsiaTheme="minorEastAsia"/>
                <w:snapToGrid w:val="0"/>
                <w:sz w:val="24"/>
              </w:rPr>
              <w:t>万元，其中环保投资</w:t>
            </w:r>
            <w:r>
              <w:rPr>
                <w:rFonts w:asciiTheme="minorEastAsia" w:hAnsiTheme="minorEastAsia" w:eastAsiaTheme="minorEastAsia"/>
                <w:snapToGrid w:val="0"/>
                <w:sz w:val="24"/>
              </w:rPr>
              <w:t>57</w:t>
            </w:r>
            <w:r>
              <w:rPr>
                <w:rFonts w:hint="eastAsia" w:asciiTheme="minorEastAsia" w:hAnsiTheme="minorEastAsia" w:eastAsiaTheme="minorEastAsia"/>
                <w:snapToGrid w:val="0"/>
                <w:sz w:val="24"/>
              </w:rPr>
              <w:t>元，占总投资的</w:t>
            </w:r>
            <w:r>
              <w:rPr>
                <w:rFonts w:asciiTheme="minorEastAsia" w:hAnsiTheme="minorEastAsia" w:eastAsiaTheme="minorEastAsia"/>
                <w:snapToGrid w:val="0"/>
                <w:sz w:val="24"/>
              </w:rPr>
              <w:t>8.64</w:t>
            </w:r>
            <w:r>
              <w:rPr>
                <w:rFonts w:hint="eastAsia" w:asciiTheme="minorEastAsia" w:hAnsiTheme="minorEastAsia" w:eastAsiaTheme="minorEastAsia"/>
                <w:snapToGrid w:val="0"/>
                <w:sz w:val="24"/>
              </w:rPr>
              <w:t>%。</w:t>
            </w:r>
          </w:p>
          <w:p>
            <w:pPr>
              <w:pStyle w:val="27"/>
              <w:widowControl/>
              <w:adjustRightInd w:val="0"/>
              <w:snapToGrid w:val="0"/>
              <w:spacing w:line="360" w:lineRule="auto"/>
              <w:ind w:firstLine="48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劳动定员机工作制度：本项目全厂劳动定员</w:t>
            </w:r>
            <w:r>
              <w:rPr>
                <w:rFonts w:asciiTheme="minorEastAsia" w:hAnsiTheme="minorEastAsia" w:eastAsiaTheme="minorEastAsia"/>
                <w:snapToGrid w:val="0"/>
                <w:sz w:val="24"/>
              </w:rPr>
              <w:t>20</w:t>
            </w:r>
            <w:r>
              <w:rPr>
                <w:rFonts w:hint="eastAsia" w:asciiTheme="minorEastAsia" w:hAnsiTheme="minorEastAsia" w:eastAsiaTheme="minorEastAsia"/>
                <w:snapToGrid w:val="0"/>
                <w:sz w:val="24"/>
              </w:rPr>
              <w:t>人，工作制度为</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班制，每班8小时，年工作3</w:t>
            </w:r>
            <w:r>
              <w:rPr>
                <w:rFonts w:asciiTheme="minorEastAsia" w:hAnsiTheme="minorEastAsia" w:eastAsiaTheme="minorEastAsia"/>
                <w:snapToGrid w:val="0"/>
                <w:sz w:val="24"/>
              </w:rPr>
              <w:t>00</w:t>
            </w:r>
            <w:r>
              <w:rPr>
                <w:rFonts w:hint="eastAsia" w:asciiTheme="minorEastAsia" w:hAnsiTheme="minorEastAsia" w:eastAsiaTheme="minorEastAsia"/>
                <w:snapToGrid w:val="0"/>
                <w:sz w:val="24"/>
              </w:rPr>
              <w:t>天。技改前后劳动定员及工作制度不发生变化。</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、公用工程</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供电：</w:t>
            </w:r>
            <w:r>
              <w:rPr>
                <w:rFonts w:hint="eastAsia" w:asciiTheme="minorEastAsia" w:hAnsiTheme="minorEastAsia" w:eastAsiaTheme="minorEastAsia"/>
                <w:snapToGrid w:val="0"/>
                <w:sz w:val="24"/>
              </w:rPr>
              <w:t>技改后现有工程</w:t>
            </w:r>
            <w:r>
              <w:rPr>
                <w:rFonts w:asciiTheme="minorEastAsia" w:hAnsiTheme="minorEastAsia" w:eastAsiaTheme="minorEastAsia"/>
                <w:snapToGrid w:val="0"/>
                <w:sz w:val="24"/>
              </w:rPr>
              <w:t>供电引自卢龙县</w:t>
            </w:r>
            <w:r>
              <w:rPr>
                <w:rFonts w:hint="eastAsia" w:asciiTheme="minorEastAsia" w:hAnsiTheme="minorEastAsia" w:eastAsiaTheme="minorEastAsia"/>
                <w:snapToGrid w:val="0"/>
                <w:sz w:val="24"/>
              </w:rPr>
              <w:t>双望镇</w:t>
            </w:r>
            <w:r>
              <w:rPr>
                <w:rFonts w:asciiTheme="minorEastAsia" w:hAnsiTheme="minorEastAsia" w:eastAsiaTheme="minorEastAsia"/>
                <w:snapToGrid w:val="0"/>
                <w:sz w:val="24"/>
              </w:rPr>
              <w:t>电网</w:t>
            </w:r>
            <w:r>
              <w:rPr>
                <w:rFonts w:hint="eastAsia" w:asciiTheme="minorEastAsia" w:hAnsiTheme="minorEastAsia" w:eastAsiaTheme="minorEastAsia"/>
                <w:snapToGrid w:val="0"/>
                <w:sz w:val="24"/>
              </w:rPr>
              <w:t>，厂区设有2台4</w:t>
            </w:r>
            <w:r>
              <w:rPr>
                <w:rFonts w:asciiTheme="minorEastAsia" w:hAnsiTheme="minorEastAsia" w:eastAsiaTheme="minorEastAsia"/>
                <w:snapToGrid w:val="0"/>
                <w:sz w:val="24"/>
              </w:rPr>
              <w:t>00KVA</w:t>
            </w:r>
            <w:r>
              <w:rPr>
                <w:rFonts w:hint="eastAsia" w:asciiTheme="minorEastAsia" w:hAnsiTheme="minorEastAsia" w:eastAsiaTheme="minorEastAsia"/>
                <w:snapToGrid w:val="0"/>
                <w:sz w:val="24"/>
              </w:rPr>
              <w:t>变压器，</w:t>
            </w:r>
            <w:r>
              <w:rPr>
                <w:rFonts w:asciiTheme="minorEastAsia" w:hAnsiTheme="minorEastAsia" w:eastAsiaTheme="minorEastAsia"/>
                <w:snapToGrid w:val="0"/>
                <w:sz w:val="24"/>
              </w:rPr>
              <w:t>1</w:t>
            </w:r>
            <w:r>
              <w:rPr>
                <w:rFonts w:hint="eastAsia" w:asciiTheme="minorEastAsia" w:hAnsiTheme="minorEastAsia" w:eastAsiaTheme="minorEastAsia"/>
                <w:snapToGrid w:val="0"/>
                <w:sz w:val="24"/>
              </w:rPr>
              <w:t>台2</w:t>
            </w:r>
            <w:r>
              <w:rPr>
                <w:rFonts w:asciiTheme="minorEastAsia" w:hAnsiTheme="minorEastAsia" w:eastAsiaTheme="minorEastAsia"/>
                <w:snapToGrid w:val="0"/>
                <w:sz w:val="24"/>
              </w:rPr>
              <w:t>50KVA</w:t>
            </w:r>
            <w:r>
              <w:rPr>
                <w:rFonts w:hint="eastAsia" w:asciiTheme="minorEastAsia" w:hAnsiTheme="minorEastAsia" w:eastAsiaTheme="minorEastAsia"/>
                <w:snapToGrid w:val="0"/>
                <w:sz w:val="24"/>
              </w:rPr>
              <w:t>变压器，年耗电量</w:t>
            </w:r>
            <w:r>
              <w:rPr>
                <w:rFonts w:asciiTheme="minorEastAsia" w:hAnsiTheme="minorEastAsia" w:eastAsiaTheme="minorEastAsia"/>
                <w:snapToGrid w:val="0"/>
                <w:sz w:val="24"/>
              </w:rPr>
              <w:t>4.12</w:t>
            </w:r>
            <w:r>
              <w:rPr>
                <w:rFonts w:hint="eastAsia" w:asciiTheme="minorEastAsia" w:hAnsiTheme="minorEastAsia" w:eastAsiaTheme="minorEastAsia"/>
                <w:snapToGrid w:val="0"/>
                <w:sz w:val="24"/>
              </w:rPr>
              <w:t>×1</w:t>
            </w:r>
            <w:r>
              <w:rPr>
                <w:rFonts w:asciiTheme="minorEastAsia" w:hAnsiTheme="minorEastAsia" w:eastAsiaTheme="minorEastAsia"/>
                <w:snapToGrid w:val="0"/>
                <w:sz w:val="24"/>
              </w:rPr>
              <w:t>06</w:t>
            </w:r>
            <w:r>
              <w:rPr>
                <w:rFonts w:hint="eastAsia" w:asciiTheme="minorEastAsia" w:hAnsiTheme="minorEastAsia" w:eastAsiaTheme="minorEastAsia"/>
                <w:snapToGrid w:val="0"/>
                <w:sz w:val="24"/>
              </w:rPr>
              <w:t>kwh。</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供暖：</w:t>
            </w:r>
            <w:r>
              <w:rPr>
                <w:rFonts w:hint="eastAsia" w:asciiTheme="minorEastAsia" w:hAnsiTheme="minorEastAsia" w:eastAsiaTheme="minorEastAsia"/>
                <w:snapToGrid w:val="0"/>
                <w:sz w:val="24"/>
              </w:rPr>
              <w:t>技改后供暖措施不发生变化，生产区不采暖，办公区采用电采暖</w:t>
            </w:r>
            <w:r>
              <w:rPr>
                <w:rFonts w:asciiTheme="minorEastAsia" w:hAnsiTheme="minorEastAsia" w:eastAsiaTheme="minorEastAsia"/>
                <w:snapToGrid w:val="0"/>
                <w:sz w:val="24"/>
              </w:rPr>
              <w:t xml:space="preserve">。 </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供水：</w:t>
            </w:r>
            <w:r>
              <w:rPr>
                <w:rFonts w:hint="eastAsia" w:asciiTheme="minorEastAsia" w:hAnsiTheme="minorEastAsia" w:eastAsiaTheme="minorEastAsia"/>
                <w:snapToGrid w:val="0"/>
                <w:sz w:val="24"/>
              </w:rPr>
              <w:t>技改后</w:t>
            </w:r>
            <w:r>
              <w:rPr>
                <w:rFonts w:asciiTheme="minorEastAsia" w:hAnsiTheme="minorEastAsia" w:eastAsiaTheme="minorEastAsia"/>
                <w:snapToGrid w:val="0"/>
                <w:sz w:val="24"/>
              </w:rPr>
              <w:t>供水水源</w:t>
            </w:r>
            <w:r>
              <w:rPr>
                <w:rFonts w:hint="eastAsia" w:asciiTheme="minorEastAsia" w:hAnsiTheme="minorEastAsia" w:eastAsiaTheme="minorEastAsia"/>
                <w:snapToGrid w:val="0"/>
                <w:sz w:val="24"/>
              </w:rPr>
              <w:t>仍为</w:t>
            </w:r>
            <w:r>
              <w:rPr>
                <w:rFonts w:asciiTheme="minorEastAsia" w:hAnsiTheme="minorEastAsia" w:eastAsiaTheme="minorEastAsia"/>
                <w:snapToGrid w:val="0"/>
                <w:sz w:val="24"/>
              </w:rPr>
              <w:t>厂内自备</w:t>
            </w:r>
            <w:r>
              <w:rPr>
                <w:rFonts w:hint="eastAsia" w:asciiTheme="minorEastAsia" w:hAnsiTheme="minorEastAsia" w:eastAsiaTheme="minorEastAsia"/>
                <w:snapToGrid w:val="0"/>
                <w:sz w:val="24"/>
              </w:rPr>
              <w:t>水</w:t>
            </w:r>
            <w:r>
              <w:rPr>
                <w:rFonts w:asciiTheme="minorEastAsia" w:hAnsiTheme="minorEastAsia" w:eastAsiaTheme="minorEastAsia"/>
                <w:snapToGrid w:val="0"/>
                <w:sz w:val="24"/>
              </w:rPr>
              <w:t>井。项目</w:t>
            </w:r>
            <w:r>
              <w:rPr>
                <w:rFonts w:hint="eastAsia" w:asciiTheme="minorEastAsia" w:hAnsiTheme="minorEastAsia" w:eastAsiaTheme="minorEastAsia"/>
                <w:snapToGrid w:val="0"/>
                <w:sz w:val="24"/>
              </w:rPr>
              <w:t>总</w:t>
            </w:r>
            <w:r>
              <w:rPr>
                <w:rFonts w:asciiTheme="minorEastAsia" w:hAnsiTheme="minorEastAsia" w:eastAsiaTheme="minorEastAsia"/>
                <w:snapToGrid w:val="0"/>
                <w:sz w:val="24"/>
              </w:rPr>
              <w:t>用水量为43m3/d</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主要用于设备冷却</w:t>
            </w:r>
            <w:r>
              <w:rPr>
                <w:rFonts w:hint="eastAsia" w:asciiTheme="minorEastAsia" w:hAnsiTheme="minorEastAsia" w:eastAsiaTheme="minorEastAsia"/>
                <w:snapToGrid w:val="0"/>
                <w:sz w:val="24"/>
              </w:rPr>
              <w:t>、喷淋抑尘及员工生活用水</w:t>
            </w:r>
            <w:r>
              <w:rPr>
                <w:rFonts w:asciiTheme="minorEastAsia" w:hAnsiTheme="minorEastAsia" w:eastAsiaTheme="minorEastAsia"/>
                <w:snapToGrid w:val="0"/>
                <w:sz w:val="24"/>
              </w:rPr>
              <w:t>。</w:t>
            </w:r>
            <w:r>
              <w:rPr>
                <w:rFonts w:hint="eastAsia" w:asciiTheme="minorEastAsia" w:hAnsiTheme="minorEastAsia" w:eastAsiaTheme="minorEastAsia"/>
                <w:snapToGrid w:val="0"/>
                <w:sz w:val="24"/>
              </w:rPr>
              <w:t>其中生活用水量</w:t>
            </w:r>
            <w:r>
              <w:rPr>
                <w:rFonts w:asciiTheme="minorEastAsia" w:hAnsiTheme="minorEastAsia" w:eastAsiaTheme="minorEastAsia"/>
                <w:snapToGrid w:val="0"/>
                <w:sz w:val="24"/>
              </w:rPr>
              <w:t>1.0m3/d</w:t>
            </w:r>
            <w:r>
              <w:rPr>
                <w:rFonts w:hint="eastAsia" w:asciiTheme="minorEastAsia" w:hAnsiTheme="minorEastAsia" w:eastAsiaTheme="minorEastAsia"/>
                <w:snapToGrid w:val="0"/>
                <w:sz w:val="24"/>
              </w:rPr>
              <w:t>；中频电炉补充用水量</w:t>
            </w:r>
            <w:r>
              <w:rPr>
                <w:rFonts w:asciiTheme="minorEastAsia" w:hAnsiTheme="minorEastAsia" w:eastAsiaTheme="minorEastAsia"/>
                <w:snapToGrid w:val="0"/>
                <w:sz w:val="24"/>
              </w:rPr>
              <w:t>0.5m3/d</w:t>
            </w:r>
            <w:r>
              <w:rPr>
                <w:rFonts w:hint="eastAsia" w:asciiTheme="minorEastAsia" w:hAnsiTheme="minorEastAsia" w:eastAsiaTheme="minorEastAsia"/>
                <w:snapToGrid w:val="0"/>
                <w:sz w:val="24"/>
              </w:rPr>
              <w:t>，循环用水量</w:t>
            </w:r>
            <w:r>
              <w:rPr>
                <w:rFonts w:asciiTheme="minorEastAsia" w:hAnsiTheme="minorEastAsia" w:eastAsiaTheme="minorEastAsia"/>
                <w:snapToGrid w:val="0"/>
                <w:sz w:val="24"/>
              </w:rPr>
              <w:t>39.5m3/d</w:t>
            </w:r>
            <w:r>
              <w:rPr>
                <w:rFonts w:hint="eastAsia" w:asciiTheme="minorEastAsia" w:hAnsiTheme="minorEastAsia" w:eastAsiaTheme="minorEastAsia"/>
                <w:snapToGrid w:val="0"/>
                <w:sz w:val="24"/>
              </w:rPr>
              <w:t>；喷淋用水</w:t>
            </w:r>
            <w:r>
              <w:rPr>
                <w:rFonts w:asciiTheme="minorEastAsia" w:hAnsiTheme="minorEastAsia" w:eastAsiaTheme="minorEastAsia"/>
                <w:snapToGrid w:val="0"/>
                <w:sz w:val="24"/>
              </w:rPr>
              <w:t>2.0m3</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d</w:t>
            </w:r>
            <w:r>
              <w:rPr>
                <w:rFonts w:hint="eastAsia" w:asciiTheme="minorEastAsia" w:hAnsiTheme="minorEastAsia" w:eastAsiaTheme="minorEastAsia"/>
                <w:snapToGrid w:val="0"/>
                <w:sz w:val="24"/>
              </w:rPr>
              <w:t>。</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排水：</w:t>
            </w:r>
            <w:r>
              <w:rPr>
                <w:rFonts w:hint="eastAsia" w:asciiTheme="minorEastAsia" w:hAnsiTheme="minorEastAsia" w:eastAsiaTheme="minorEastAsia"/>
                <w:snapToGrid w:val="0"/>
                <w:sz w:val="24"/>
              </w:rPr>
              <w:t>技改后废水不外排</w:t>
            </w:r>
            <w:r>
              <w:rPr>
                <w:rFonts w:asciiTheme="minorEastAsia" w:hAnsiTheme="minorEastAsia" w:eastAsiaTheme="minorEastAsia"/>
                <w:snapToGrid w:val="0"/>
                <w:sz w:val="24"/>
              </w:rPr>
              <w:t>，</w:t>
            </w:r>
            <w:r>
              <w:rPr>
                <w:rFonts w:hint="eastAsia" w:asciiTheme="minorEastAsia" w:hAnsiTheme="minorEastAsia" w:eastAsiaTheme="minorEastAsia"/>
                <w:snapToGrid w:val="0"/>
                <w:sz w:val="24"/>
              </w:rPr>
              <w:t>冷却水循环使用；生活污水主要为职工盥洗水，水质简单，直接用于厂区泼洒抑尘，不外排；喷淋用水自然蒸发，不外排</w:t>
            </w:r>
            <w:r>
              <w:rPr>
                <w:rFonts w:asciiTheme="minorEastAsia" w:hAnsiTheme="minorEastAsia" w:eastAsiaTheme="minorEastAsia"/>
                <w:snapToGrid w:val="0"/>
                <w:sz w:val="24"/>
              </w:rPr>
              <w:t>。</w:t>
            </w:r>
          </w:p>
          <w:p>
            <w:pPr>
              <w:pStyle w:val="27"/>
              <w:widowControl/>
              <w:adjustRightInd w:val="0"/>
              <w:snapToGrid w:val="0"/>
              <w:spacing w:line="360" w:lineRule="auto"/>
              <w:ind w:firstLine="48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3</w:t>
            </w:r>
            <w:r>
              <w:rPr>
                <w:rFonts w:asciiTheme="minorEastAsia" w:hAnsiTheme="minorEastAsia" w:eastAsiaTheme="minorEastAsia"/>
                <w:snapToGrid w:val="0"/>
                <w:sz w:val="24"/>
              </w:rPr>
              <w:t>、环境质量现状情况</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根据秦皇岛市环保局卢龙县分局2017年《环境质量报告书》，县城区可吸入颗粒物年日均值为0.107mg/m3，超出国家环境空气质量二级标准要求（0.070 mg/m3）；二氧化硫年日均值为0.043 mg/m3，超出国家环境空气质量二级标准要求（0.06 mg/m3）；二氧化氮年日均值为0.040mg/m3，符合国家环境空气质量一级标准要求（0.04mg/m3）；一氧化碳年日均值3.6mg/m3</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符合国家环境空气质量一级标准要求（4mg/m3）；臭氧年日最大8小时均值0.208 mg/m3，超出国家环境空气质量二级标准要求（0.160 mg/m3），细颗粒物年日均值0.066 mg/m3，超出国家环境空气质量二级标准要求（0.035 mg/m3）。</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卢龙县位于华北平原，地表土层松动，春冬两季气候干燥，多风少雨易造成大风扬尘天气，加之锅炉烟尘、水泥粉尘及市政工程扬尘，造成环境空气尘污染。近年来卢龙县加大了烟尘治理工作的力度，取缔了热效率、脱硫除尘效率低的各种小锅炉，代之以除尘、脱硫效率高，燃煤含硫量低的大锅炉，使各项污染物浓度均有所下降。</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地下水环境符合《地下水质量标准》</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GB/T14848-2017</w:t>
            </w:r>
            <w:r>
              <w:rPr>
                <w:rFonts w:hint="eastAsia" w:asciiTheme="minorEastAsia" w:hAnsiTheme="minorEastAsia" w:eastAsiaTheme="minorEastAsia"/>
                <w:snapToGrid w:val="0"/>
                <w:sz w:val="24"/>
              </w:rPr>
              <w:t>）Ⅲ</w:t>
            </w:r>
            <w:r>
              <w:rPr>
                <w:rFonts w:asciiTheme="minorEastAsia" w:hAnsiTheme="minorEastAsia" w:eastAsiaTheme="minorEastAsia"/>
                <w:snapToGrid w:val="0"/>
                <w:sz w:val="24"/>
              </w:rPr>
              <w:t>类标准。</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本项目所在区域环境噪声主要来源于交通、生产噪声等，区域声环境质量符合《声环境质量标准》</w:t>
            </w:r>
            <w:r>
              <w:rPr>
                <w:rFonts w:asciiTheme="minorEastAsia" w:hAnsiTheme="minorEastAsia" w:eastAsiaTheme="minorEastAsia"/>
                <w:snapToGrid w:val="0"/>
                <w:sz w:val="24"/>
              </w:rPr>
              <w:t>（GB3096-2008）2</w:t>
            </w:r>
            <w:r>
              <w:rPr>
                <w:rFonts w:hint="eastAsia" w:asciiTheme="minorEastAsia" w:hAnsiTheme="minorEastAsia" w:eastAsiaTheme="minorEastAsia"/>
                <w:snapToGrid w:val="0"/>
                <w:sz w:val="24"/>
              </w:rPr>
              <w:t>、4</w:t>
            </w:r>
            <w:r>
              <w:rPr>
                <w:rFonts w:asciiTheme="minorEastAsia" w:hAnsiTheme="minorEastAsia" w:eastAsiaTheme="minorEastAsia"/>
                <w:snapToGrid w:val="0"/>
                <w:sz w:val="24"/>
              </w:rPr>
              <w:t>a</w:t>
            </w:r>
            <w:r>
              <w:rPr>
                <w:rFonts w:hint="eastAsia" w:asciiTheme="minorEastAsia" w:hAnsiTheme="minorEastAsia" w:eastAsiaTheme="minorEastAsia"/>
                <w:snapToGrid w:val="0"/>
                <w:sz w:val="24"/>
              </w:rPr>
              <w:t>类标准</w:t>
            </w:r>
            <w:r>
              <w:rPr>
                <w:rFonts w:asciiTheme="minorEastAsia" w:hAnsiTheme="minorEastAsia" w:eastAsiaTheme="minorEastAsia"/>
                <w:snapToGrid w:val="0"/>
                <w:sz w:val="24"/>
              </w:rPr>
              <w:t>。</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环境影响分析结论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营运期环境影响</w:t>
            </w:r>
            <w:r>
              <w:rPr>
                <w:rFonts w:hint="eastAsia" w:asciiTheme="minorEastAsia" w:hAnsiTheme="minorEastAsia" w:eastAsiaTheme="minorEastAsia"/>
                <w:snapToGrid w:val="0"/>
                <w:sz w:val="24"/>
              </w:rPr>
              <w:t>分析</w:t>
            </w:r>
            <w:r>
              <w:rPr>
                <w:rFonts w:asciiTheme="minorEastAsia" w:hAnsiTheme="minorEastAsia" w:eastAsiaTheme="minorEastAsia"/>
                <w:snapToGrid w:val="0"/>
                <w:sz w:val="24"/>
              </w:rPr>
              <w:t>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1、大气环境影响分析结论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本项目废气主要为铸造生产加工过程产生的熔化烟尘、造型和浇铸过程中产生的有机废气、铸件脱离及抛丸工序产生的粉尘等。</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废气排放防治措施</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本项目生产过程中产生的废气，企业采取以下措施：</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（1）中频电炉熔化废气，在中频电炉上方设置顶吸式集气罩，烟尘由集气罩收集经布袋除尘器（2台中频电炉一备一用，共用1套布袋除尘器）处理后经1根1</w:t>
            </w:r>
            <w:r>
              <w:rPr>
                <w:rFonts w:asciiTheme="minorEastAsia" w:hAnsiTheme="minorEastAsia" w:eastAsiaTheme="minorEastAsia"/>
                <w:snapToGrid w:val="0"/>
                <w:sz w:val="24"/>
              </w:rPr>
              <w:t>5</w:t>
            </w:r>
            <w:r>
              <w:rPr>
                <w:rFonts w:hint="eastAsia" w:asciiTheme="minorEastAsia" w:hAnsiTheme="minorEastAsia" w:eastAsiaTheme="minorEastAsia"/>
                <w:snapToGrid w:val="0"/>
                <w:sz w:val="24"/>
              </w:rPr>
              <w:t>高排气筒排放；</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（2）造型与浇铸废气，造型及浇铸工序上方设置顶吸式集气罩，废气由集气罩收集后，共用1套“过滤棉+U</w:t>
            </w:r>
            <w:r>
              <w:rPr>
                <w:rFonts w:asciiTheme="minorEastAsia" w:hAnsiTheme="minorEastAsia" w:eastAsiaTheme="minorEastAsia"/>
                <w:snapToGrid w:val="0"/>
                <w:sz w:val="24"/>
              </w:rPr>
              <w:t>V</w:t>
            </w:r>
            <w:r>
              <w:rPr>
                <w:rFonts w:hint="eastAsia" w:asciiTheme="minorEastAsia" w:hAnsiTheme="minorEastAsia" w:eastAsiaTheme="minorEastAsia"/>
                <w:snapToGrid w:val="0"/>
                <w:sz w:val="24"/>
              </w:rPr>
              <w:t>光氧催化装置+活性炭吸附装置”处理后，共经1根</w:t>
            </w:r>
            <w:r>
              <w:rPr>
                <w:rFonts w:asciiTheme="minorEastAsia" w:hAnsiTheme="minorEastAsia" w:eastAsiaTheme="minorEastAsia"/>
                <w:snapToGrid w:val="0"/>
                <w:sz w:val="24"/>
              </w:rPr>
              <w:t>15m</w:t>
            </w:r>
            <w:r>
              <w:rPr>
                <w:rFonts w:hint="eastAsia" w:asciiTheme="minorEastAsia" w:hAnsiTheme="minorEastAsia" w:eastAsiaTheme="minorEastAsia"/>
                <w:snapToGrid w:val="0"/>
                <w:sz w:val="24"/>
              </w:rPr>
              <w:t>高排气筒排放；</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（3）抛丸与铸件脱离废气，抛丸机产生的废气经自带的布袋除尘器处理后，再与铸件脱离工序废气共用1套布袋除尘器处理后共经1根1</w:t>
            </w:r>
            <w:r>
              <w:rPr>
                <w:rFonts w:asciiTheme="minorEastAsia" w:hAnsiTheme="minorEastAsia" w:eastAsiaTheme="minorEastAsia"/>
                <w:snapToGrid w:val="0"/>
                <w:sz w:val="24"/>
              </w:rPr>
              <w:t>5m</w:t>
            </w:r>
            <w:r>
              <w:rPr>
                <w:rFonts w:hint="eastAsia" w:asciiTheme="minorEastAsia" w:hAnsiTheme="minorEastAsia" w:eastAsiaTheme="minorEastAsia"/>
                <w:snapToGrid w:val="0"/>
                <w:sz w:val="24"/>
              </w:rPr>
              <w:t>高排气筒排放。铸件脱离工序设有</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两台撞箱（一备一用），每台撞箱上方配备一个顶吸式集气罩，一台布袋除尘器，1根1</w:t>
            </w:r>
            <w:r>
              <w:rPr>
                <w:rFonts w:asciiTheme="minorEastAsia" w:hAnsiTheme="minorEastAsia" w:eastAsiaTheme="minorEastAsia"/>
                <w:snapToGrid w:val="0"/>
                <w:sz w:val="24"/>
              </w:rPr>
              <w:t>5m</w:t>
            </w:r>
            <w:r>
              <w:rPr>
                <w:rFonts w:hint="eastAsia" w:asciiTheme="minorEastAsia" w:hAnsiTheme="minorEastAsia" w:eastAsiaTheme="minorEastAsia"/>
                <w:snapToGrid w:val="0"/>
                <w:sz w:val="24"/>
              </w:rPr>
              <w:t>高排气筒）；</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4）针对无组织排放废气，为减少无组织废气产生量，厂区车间进行全封闭，设备设置在密闭的车间内；废砂在冷却区内袋装暂存，并用苫布覆盖，冷却区三面围挡，进出口设置苫布门帘，地面硬化，并配有喷淋设施。</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废气达标排放分析</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（1）企业中频电炉烟尘排放浓度为8</w:t>
            </w:r>
            <w:r>
              <w:rPr>
                <w:rFonts w:asciiTheme="minorEastAsia" w:hAnsiTheme="minorEastAsia" w:eastAsiaTheme="minorEastAsia"/>
                <w:snapToGrid w:val="0"/>
                <w:sz w:val="24"/>
              </w:rPr>
              <w:t>.36</w:t>
            </w:r>
            <w:r>
              <w:rPr>
                <w:rFonts w:hint="eastAsia" w:asciiTheme="minorEastAsia" w:hAnsiTheme="minorEastAsia" w:eastAsiaTheme="minorEastAsia"/>
                <w:snapToGrid w:val="0"/>
                <w:sz w:val="24"/>
              </w:rPr>
              <w:t>mg</w:t>
            </w:r>
            <w:r>
              <w:rPr>
                <w:rFonts w:asciiTheme="minorEastAsia" w:hAnsiTheme="minorEastAsia" w:eastAsiaTheme="minorEastAsia"/>
                <w:snapToGrid w:val="0"/>
                <w:sz w:val="24"/>
              </w:rPr>
              <w:t>/m3</w:t>
            </w:r>
            <w:r>
              <w:rPr>
                <w:rFonts w:hint="eastAsia" w:asciiTheme="minorEastAsia" w:hAnsiTheme="minorEastAsia" w:eastAsiaTheme="minorEastAsia"/>
                <w:snapToGrid w:val="0"/>
                <w:sz w:val="24"/>
              </w:rPr>
              <w:t>，满足《京津冀及周边2</w:t>
            </w:r>
            <w:r>
              <w:rPr>
                <w:rFonts w:asciiTheme="minorEastAsia" w:hAnsiTheme="minorEastAsia" w:eastAsiaTheme="minorEastAsia"/>
                <w:snapToGrid w:val="0"/>
                <w:sz w:val="24"/>
              </w:rPr>
              <w:t>018-2019</w:t>
            </w:r>
            <w:r>
              <w:rPr>
                <w:rFonts w:hint="eastAsia" w:asciiTheme="minorEastAsia" w:hAnsiTheme="minorEastAsia" w:eastAsiaTheme="minorEastAsia"/>
                <w:snapToGrid w:val="0"/>
                <w:sz w:val="24"/>
              </w:rPr>
              <w:t>年秋冬季大气污染物综合治理攻坚行动方案》中1</w:t>
            </w:r>
            <w:r>
              <w:rPr>
                <w:rFonts w:asciiTheme="minorEastAsia" w:hAnsiTheme="minorEastAsia" w:eastAsiaTheme="minorEastAsia"/>
                <w:snapToGrid w:val="0"/>
                <w:sz w:val="24"/>
              </w:rPr>
              <w:t>8</w:t>
            </w:r>
            <w:r>
              <w:rPr>
                <w:rFonts w:hint="eastAsia" w:asciiTheme="minorEastAsia" w:hAnsiTheme="minorEastAsia" w:eastAsiaTheme="minorEastAsia"/>
                <w:snapToGrid w:val="0"/>
                <w:sz w:val="24"/>
              </w:rPr>
              <w:t>条“实施工业炉窑深度治理”限值要求。</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（2）浇铸工序产生的废气颗粒物排放浓度为1</w:t>
            </w:r>
            <w:r>
              <w:rPr>
                <w:rFonts w:asciiTheme="minorEastAsia" w:hAnsiTheme="minorEastAsia" w:eastAsiaTheme="minorEastAsia"/>
                <w:snapToGrid w:val="0"/>
                <w:sz w:val="24"/>
              </w:rPr>
              <w:t>.25</w:t>
            </w:r>
            <w:r>
              <w:rPr>
                <w:rFonts w:hint="eastAsia" w:asciiTheme="minorEastAsia" w:hAnsiTheme="minorEastAsia" w:eastAsiaTheme="minorEastAsia"/>
                <w:snapToGrid w:val="0"/>
                <w:sz w:val="24"/>
              </w:rPr>
              <w:t>mg</w:t>
            </w:r>
            <w:r>
              <w:rPr>
                <w:rFonts w:asciiTheme="minorEastAsia" w:hAnsiTheme="minorEastAsia" w:eastAsiaTheme="minorEastAsia"/>
                <w:snapToGrid w:val="0"/>
                <w:sz w:val="24"/>
              </w:rPr>
              <w:t>/m3</w:t>
            </w:r>
            <w:r>
              <w:rPr>
                <w:rFonts w:hint="eastAsia" w:asciiTheme="minorEastAsia" w:hAnsiTheme="minorEastAsia" w:eastAsiaTheme="minorEastAsia"/>
                <w:snapToGrid w:val="0"/>
                <w:sz w:val="24"/>
              </w:rPr>
              <w:t>，排放速率为0</w:t>
            </w:r>
            <w:r>
              <w:rPr>
                <w:rFonts w:asciiTheme="minorEastAsia" w:hAnsiTheme="minorEastAsia" w:eastAsiaTheme="minorEastAsia"/>
                <w:snapToGrid w:val="0"/>
                <w:sz w:val="24"/>
              </w:rPr>
              <w:t>.01kg/h</w:t>
            </w:r>
            <w:r>
              <w:rPr>
                <w:rFonts w:hint="eastAsia" w:asciiTheme="minorEastAsia" w:hAnsiTheme="minorEastAsia" w:eastAsiaTheme="minorEastAsia"/>
                <w:snapToGrid w:val="0"/>
                <w:sz w:val="24"/>
              </w:rPr>
              <w:t>，排放浓度及排放速率满足《大气污染物综合排放标准》（G</w:t>
            </w:r>
            <w:r>
              <w:rPr>
                <w:rFonts w:asciiTheme="minorEastAsia" w:hAnsiTheme="minorEastAsia" w:eastAsiaTheme="minorEastAsia"/>
                <w:snapToGrid w:val="0"/>
                <w:sz w:val="24"/>
              </w:rPr>
              <w:t>B16297-1996</w:t>
            </w:r>
            <w:r>
              <w:rPr>
                <w:rFonts w:hint="eastAsia" w:asciiTheme="minorEastAsia" w:hAnsiTheme="minorEastAsia" w:eastAsiaTheme="minorEastAsia"/>
                <w:snapToGrid w:val="0"/>
                <w:sz w:val="24"/>
              </w:rPr>
              <w:t>）表</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中二级标准要求；造型与浇铸产生的有机废气非甲烷总烃排放浓度为</w:t>
            </w:r>
            <w:r>
              <w:rPr>
                <w:rFonts w:asciiTheme="minorEastAsia" w:hAnsiTheme="minorEastAsia" w:eastAsiaTheme="minorEastAsia"/>
                <w:snapToGrid w:val="0"/>
                <w:sz w:val="24"/>
              </w:rPr>
              <w:t>8.75</w:t>
            </w:r>
            <w:r>
              <w:rPr>
                <w:rFonts w:hint="eastAsia" w:asciiTheme="minorEastAsia" w:hAnsiTheme="minorEastAsia" w:eastAsiaTheme="minorEastAsia"/>
                <w:snapToGrid w:val="0"/>
                <w:sz w:val="24"/>
              </w:rPr>
              <w:t>mg</w:t>
            </w:r>
            <w:r>
              <w:rPr>
                <w:rFonts w:asciiTheme="minorEastAsia" w:hAnsiTheme="minorEastAsia" w:eastAsiaTheme="minorEastAsia"/>
                <w:snapToGrid w:val="0"/>
                <w:sz w:val="24"/>
              </w:rPr>
              <w:t>/m3</w:t>
            </w:r>
            <w:r>
              <w:rPr>
                <w:rFonts w:hint="eastAsia" w:asciiTheme="minorEastAsia" w:hAnsiTheme="minorEastAsia" w:eastAsiaTheme="minorEastAsia"/>
                <w:snapToGrid w:val="0"/>
                <w:sz w:val="24"/>
              </w:rPr>
              <w:t>，满足《工业企业挥发性有机物排放控制标准》（D</w:t>
            </w:r>
            <w:r>
              <w:rPr>
                <w:rFonts w:asciiTheme="minorEastAsia" w:hAnsiTheme="minorEastAsia" w:eastAsiaTheme="minorEastAsia"/>
                <w:snapToGrid w:val="0"/>
                <w:sz w:val="24"/>
              </w:rPr>
              <w:t>B13/2322-2016</w:t>
            </w:r>
            <w:r>
              <w:rPr>
                <w:rFonts w:hint="eastAsia" w:asciiTheme="minorEastAsia" w:hAnsiTheme="minorEastAsia" w:eastAsiaTheme="minorEastAsia"/>
                <w:snapToGrid w:val="0"/>
                <w:sz w:val="24"/>
              </w:rPr>
              <w:t>）表1其他行业排放标准限值。</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（3）抛丸与铸件脱离废气排放浓度为</w:t>
            </w:r>
            <w:r>
              <w:rPr>
                <w:rFonts w:asciiTheme="minorEastAsia" w:hAnsiTheme="minorEastAsia" w:eastAsiaTheme="minorEastAsia"/>
                <w:snapToGrid w:val="0"/>
                <w:sz w:val="24"/>
              </w:rPr>
              <w:t>6.76</w:t>
            </w:r>
            <w:r>
              <w:rPr>
                <w:rFonts w:hint="eastAsia" w:asciiTheme="minorEastAsia" w:hAnsiTheme="minorEastAsia" w:eastAsiaTheme="minorEastAsia"/>
                <w:snapToGrid w:val="0"/>
                <w:sz w:val="24"/>
              </w:rPr>
              <w:t>mg</w:t>
            </w:r>
            <w:r>
              <w:rPr>
                <w:rFonts w:asciiTheme="minorEastAsia" w:hAnsiTheme="minorEastAsia" w:eastAsiaTheme="minorEastAsia"/>
                <w:snapToGrid w:val="0"/>
                <w:sz w:val="24"/>
              </w:rPr>
              <w:t>/m3</w:t>
            </w:r>
            <w:r>
              <w:rPr>
                <w:rFonts w:hint="eastAsia" w:asciiTheme="minorEastAsia" w:hAnsiTheme="minorEastAsia" w:eastAsiaTheme="minorEastAsia"/>
                <w:snapToGrid w:val="0"/>
                <w:sz w:val="24"/>
              </w:rPr>
              <w:t>，排放速率为0</w:t>
            </w:r>
            <w:r>
              <w:rPr>
                <w:rFonts w:asciiTheme="minorEastAsia" w:hAnsiTheme="minorEastAsia" w:eastAsiaTheme="minorEastAsia"/>
                <w:snapToGrid w:val="0"/>
                <w:sz w:val="24"/>
              </w:rPr>
              <w:t>.05</w:t>
            </w:r>
            <w:r>
              <w:rPr>
                <w:rFonts w:hint="eastAsia" w:asciiTheme="minorEastAsia" w:hAnsiTheme="minorEastAsia" w:eastAsiaTheme="minorEastAsia"/>
                <w:snapToGrid w:val="0"/>
                <w:sz w:val="24"/>
              </w:rPr>
              <w:t>kg</w:t>
            </w:r>
            <w:r>
              <w:rPr>
                <w:rFonts w:asciiTheme="minorEastAsia" w:hAnsiTheme="minorEastAsia" w:eastAsiaTheme="minorEastAsia"/>
                <w:snapToGrid w:val="0"/>
                <w:sz w:val="24"/>
              </w:rPr>
              <w:t>/h</w:t>
            </w:r>
            <w:r>
              <w:rPr>
                <w:rFonts w:hint="eastAsia" w:asciiTheme="minorEastAsia" w:hAnsiTheme="minorEastAsia" w:eastAsiaTheme="minorEastAsia"/>
                <w:snapToGrid w:val="0"/>
                <w:sz w:val="24"/>
              </w:rPr>
              <w:t>，满足《大气污染物综合排放标准》（G</w:t>
            </w:r>
            <w:r>
              <w:rPr>
                <w:rFonts w:asciiTheme="minorEastAsia" w:hAnsiTheme="minorEastAsia" w:eastAsiaTheme="minorEastAsia"/>
                <w:snapToGrid w:val="0"/>
                <w:sz w:val="24"/>
              </w:rPr>
              <w:t>B16297-1996</w:t>
            </w:r>
            <w:r>
              <w:rPr>
                <w:rFonts w:hint="eastAsia" w:asciiTheme="minorEastAsia" w:hAnsiTheme="minorEastAsia" w:eastAsiaTheme="minorEastAsia"/>
                <w:snapToGrid w:val="0"/>
                <w:sz w:val="24"/>
              </w:rPr>
              <w:t>）表</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中二级标准要求。</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（4）企业无组织排放废气较小，采取了车间封闭、喷淋等措施后，无组织排放颗粒物满足《工业炉窑大气污染物排放标准》（</w:t>
            </w:r>
            <w:r>
              <w:rPr>
                <w:rFonts w:asciiTheme="minorEastAsia" w:hAnsiTheme="minorEastAsia" w:eastAsiaTheme="minorEastAsia"/>
                <w:snapToGrid w:val="0"/>
                <w:sz w:val="24"/>
              </w:rPr>
              <w:t>DB13/1640-2012</w:t>
            </w:r>
            <w:r>
              <w:rPr>
                <w:rFonts w:hint="eastAsia" w:asciiTheme="minorEastAsia" w:hAnsiTheme="minorEastAsia" w:eastAsiaTheme="minorEastAsia"/>
                <w:snapToGrid w:val="0"/>
                <w:sz w:val="24"/>
              </w:rPr>
              <w:t>）表3工业炉窑无组织排放颗粒物排放限值，无组织排放有机废气非甲烷总烃满足《工业企业挥发性有机物排放控制标准》（D</w:t>
            </w:r>
            <w:r>
              <w:rPr>
                <w:rFonts w:asciiTheme="minorEastAsia" w:hAnsiTheme="minorEastAsia" w:eastAsiaTheme="minorEastAsia"/>
                <w:snapToGrid w:val="0"/>
                <w:sz w:val="24"/>
              </w:rPr>
              <w:t>B13/2322-2016</w:t>
            </w:r>
            <w:r>
              <w:rPr>
                <w:rFonts w:hint="eastAsia" w:asciiTheme="minorEastAsia" w:hAnsiTheme="minorEastAsia" w:eastAsiaTheme="minorEastAsia"/>
                <w:snapToGrid w:val="0"/>
                <w:sz w:val="24"/>
              </w:rPr>
              <w:t>）表</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企业边界大气污染物浓度限值中其他企业限值要求。</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2、水环境影响分析结论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本项目技改后厂区设备冷却水循环使用不外排，生活</w:t>
            </w:r>
            <w:r>
              <w:rPr>
                <w:rFonts w:hint="eastAsia" w:asciiTheme="minorEastAsia" w:hAnsiTheme="minorEastAsia" w:eastAsiaTheme="minorEastAsia"/>
                <w:snapToGrid w:val="0"/>
                <w:sz w:val="24"/>
                <w:lang w:eastAsia="zh-CN"/>
              </w:rPr>
              <w:t>污水处理厂</w:t>
            </w:r>
            <w:r>
              <w:rPr>
                <w:rFonts w:hint="eastAsia" w:asciiTheme="minorEastAsia" w:hAnsiTheme="minorEastAsia" w:eastAsiaTheme="minorEastAsia"/>
                <w:snapToGrid w:val="0"/>
                <w:sz w:val="24"/>
              </w:rPr>
              <w:t>区内泼洒抑尘，不外排。</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3、噪声影响分析结论</w:t>
            </w:r>
          </w:p>
          <w:p>
            <w:pPr>
              <w:widowControl/>
              <w:adjustRightInd w:val="0"/>
              <w:snapToGrid w:val="0"/>
              <w:spacing w:line="360" w:lineRule="auto"/>
              <w:ind w:firstLine="480" w:firstLineChars="200"/>
              <w:jc w:val="left"/>
              <w:textAlignment w:val="baseline"/>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本项目技改后</w:t>
            </w:r>
            <w:r>
              <w:rPr>
                <w:rFonts w:asciiTheme="minorEastAsia" w:hAnsiTheme="minorEastAsia" w:eastAsiaTheme="minorEastAsia"/>
                <w:snapToGrid w:val="0"/>
                <w:sz w:val="24"/>
              </w:rPr>
              <w:t>营运期主要是</w:t>
            </w:r>
            <w:r>
              <w:rPr>
                <w:rFonts w:hint="eastAsia" w:asciiTheme="minorEastAsia" w:hAnsiTheme="minorEastAsia" w:eastAsiaTheme="minorEastAsia"/>
                <w:snapToGrid w:val="0"/>
                <w:sz w:val="24"/>
              </w:rPr>
              <w:t>生产设备及风机</w:t>
            </w:r>
            <w:r>
              <w:rPr>
                <w:rFonts w:asciiTheme="minorEastAsia" w:hAnsiTheme="minorEastAsia" w:eastAsiaTheme="minorEastAsia"/>
                <w:snapToGrid w:val="0"/>
                <w:sz w:val="24"/>
              </w:rPr>
              <w:t>等机器设备运行时产生的噪声，噪声值在70～85dB（A）之间。各设备均选用低噪声设备，所有设备均设置于车间内，并对底部进行基础减振，厂房进行隔声处理</w:t>
            </w:r>
            <w:r>
              <w:rPr>
                <w:rFonts w:hint="eastAsia" w:asciiTheme="minorEastAsia" w:hAnsiTheme="minorEastAsia" w:eastAsiaTheme="minorEastAsia"/>
                <w:snapToGrid w:val="0"/>
                <w:sz w:val="24"/>
              </w:rPr>
              <w:t>等措施后，经过距离衰减后，使用噪声预测模式预测，昼间噪声值在</w:t>
            </w:r>
            <w:r>
              <w:rPr>
                <w:rFonts w:asciiTheme="minorEastAsia" w:hAnsiTheme="minorEastAsia" w:eastAsiaTheme="minorEastAsia"/>
                <w:snapToGrid w:val="0"/>
                <w:sz w:val="24"/>
              </w:rPr>
              <w:t>53.38</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56.41dB（A）</w:t>
            </w:r>
            <w:r>
              <w:rPr>
                <w:rFonts w:hint="eastAsia" w:asciiTheme="minorEastAsia" w:hAnsiTheme="minorEastAsia" w:eastAsiaTheme="minorEastAsia"/>
                <w:snapToGrid w:val="0"/>
                <w:sz w:val="24"/>
              </w:rPr>
              <w:t>，夜间噪声值在</w:t>
            </w:r>
            <w:r>
              <w:rPr>
                <w:rFonts w:asciiTheme="minorEastAsia" w:hAnsiTheme="minorEastAsia" w:eastAsiaTheme="minorEastAsia"/>
                <w:snapToGrid w:val="0"/>
                <w:sz w:val="24"/>
              </w:rPr>
              <w:t>44.91</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47.85dB（A）</w:t>
            </w:r>
            <w:r>
              <w:rPr>
                <w:rFonts w:hint="eastAsia" w:asciiTheme="minorEastAsia" w:hAnsiTheme="minorEastAsia" w:eastAsiaTheme="minorEastAsia"/>
                <w:snapToGrid w:val="0"/>
                <w:sz w:val="24"/>
              </w:rPr>
              <w:t>，厂界能够达到《工业企业厂界环境噪声排放标准》（GB12348-2008）中</w:t>
            </w:r>
            <w:r>
              <w:rPr>
                <w:rFonts w:asciiTheme="minorEastAsia" w:hAnsiTheme="minorEastAsia" w:eastAsiaTheme="minorEastAsia"/>
                <w:snapToGrid w:val="0"/>
                <w:sz w:val="24"/>
              </w:rPr>
              <w:t>2</w:t>
            </w:r>
            <w:r>
              <w:rPr>
                <w:rFonts w:hint="eastAsia" w:asciiTheme="minorEastAsia" w:hAnsiTheme="minorEastAsia" w:eastAsiaTheme="minorEastAsia"/>
                <w:snapToGrid w:val="0"/>
                <w:sz w:val="24"/>
              </w:rPr>
              <w:t>类、4标准的要求。</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4、固废环境影响分析</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本项目技改后产生的固废主要为一般固废和危险废物。</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1）一般固废为冷却脱壳、中频电炉、浇铸工序产生的废砂，交由生产厂家回收；中频电炉除尘器产生的除尘灰，抛丸工序产生的铁砂混合物、抛丸、撞箱除尘器产生的除尘灰外售废铁收购站，职工生活垃圾交环卫部门处理。一般固体全部得到合理处置。</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（2）本项目产生的危险废物主要为U</w:t>
            </w:r>
            <w:r>
              <w:rPr>
                <w:rFonts w:asciiTheme="minorEastAsia" w:hAnsiTheme="minorEastAsia" w:eastAsiaTheme="minorEastAsia"/>
                <w:snapToGrid w:val="0"/>
                <w:sz w:val="24"/>
              </w:rPr>
              <w:t>V</w:t>
            </w:r>
            <w:r>
              <w:rPr>
                <w:rFonts w:hint="eastAsia" w:asciiTheme="minorEastAsia" w:hAnsiTheme="minorEastAsia" w:eastAsiaTheme="minorEastAsia"/>
                <w:snapToGrid w:val="0"/>
                <w:sz w:val="24"/>
              </w:rPr>
              <w:t>光氧催化装置中废过滤棉、废催化剂，活性炭吸附装置中的废活性炭。危险废物在厂区危废间暂存后，交有资质单位处理，得到合理处置。</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5、</w:t>
            </w:r>
            <w:r>
              <w:rPr>
                <w:rFonts w:asciiTheme="minorEastAsia" w:hAnsiTheme="minorEastAsia" w:eastAsiaTheme="minorEastAsia"/>
                <w:snapToGrid w:val="0"/>
                <w:sz w:val="24"/>
              </w:rPr>
              <w:t>总量控制结论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本项目技改完成后，全厂污染物总量控制指标</w:t>
            </w:r>
            <w:r>
              <w:rPr>
                <w:rFonts w:asciiTheme="minorEastAsia" w:hAnsiTheme="minorEastAsia" w:eastAsiaTheme="minorEastAsia"/>
                <w:snapToGrid w:val="0"/>
                <w:sz w:val="24"/>
              </w:rPr>
              <w:t>建议值为：COD</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0</w:t>
            </w:r>
            <w:r>
              <w:rPr>
                <w:rFonts w:hint="eastAsia" w:asciiTheme="minorEastAsia" w:hAnsiTheme="minorEastAsia" w:eastAsiaTheme="minorEastAsia"/>
                <w:snapToGrid w:val="0"/>
                <w:sz w:val="24"/>
              </w:rPr>
              <w:t>t/a</w:t>
            </w:r>
            <w:r>
              <w:rPr>
                <w:rFonts w:asciiTheme="minorEastAsia" w:hAnsiTheme="minorEastAsia" w:eastAsiaTheme="minorEastAsia"/>
                <w:snapToGrid w:val="0"/>
                <w:sz w:val="24"/>
              </w:rPr>
              <w:t>、氨氮</w:t>
            </w: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0</w:t>
            </w:r>
            <w:r>
              <w:rPr>
                <w:rFonts w:hint="eastAsia" w:asciiTheme="minorEastAsia" w:hAnsiTheme="minorEastAsia" w:eastAsiaTheme="minorEastAsia"/>
                <w:snapToGrid w:val="0"/>
                <w:sz w:val="24"/>
              </w:rPr>
              <w:t>t/a、</w:t>
            </w:r>
            <w:r>
              <w:rPr>
                <w:rFonts w:asciiTheme="minorEastAsia" w:hAnsiTheme="minorEastAsia" w:eastAsiaTheme="minorEastAsia"/>
                <w:snapToGrid w:val="0"/>
                <w:sz w:val="24"/>
              </w:rPr>
              <w:t>SO2：0t/a，NO</w:t>
            </w:r>
            <w:r>
              <w:rPr>
                <w:rFonts w:hint="eastAsia" w:asciiTheme="minorEastAsia" w:hAnsiTheme="minorEastAsia" w:eastAsiaTheme="minorEastAsia"/>
                <w:snapToGrid w:val="0"/>
                <w:sz w:val="24"/>
              </w:rPr>
              <w:t>x</w:t>
            </w:r>
            <w:r>
              <w:rPr>
                <w:rFonts w:asciiTheme="minorEastAsia" w:hAnsiTheme="minorEastAsia" w:eastAsiaTheme="minorEastAsia"/>
                <w:snapToGrid w:val="0"/>
                <w:sz w:val="24"/>
              </w:rPr>
              <w:t>：0t/a</w:t>
            </w:r>
            <w:r>
              <w:rPr>
                <w:rFonts w:hint="eastAsia" w:asciiTheme="minorEastAsia" w:hAnsiTheme="minorEastAsia" w:eastAsiaTheme="minorEastAsia"/>
                <w:snapToGrid w:val="0"/>
                <w:sz w:val="24"/>
              </w:rPr>
              <w:t>，非甲烷总烃：0</w:t>
            </w:r>
            <w:r>
              <w:rPr>
                <w:rFonts w:asciiTheme="minorEastAsia" w:hAnsiTheme="minorEastAsia" w:eastAsiaTheme="minorEastAsia"/>
                <w:snapToGrid w:val="0"/>
                <w:sz w:val="24"/>
              </w:rPr>
              <w:t>.24t/a</w:t>
            </w:r>
            <w:r>
              <w:rPr>
                <w:rFonts w:hint="eastAsia" w:asciiTheme="minorEastAsia" w:hAnsiTheme="minorEastAsia" w:eastAsiaTheme="minorEastAsia"/>
                <w:snapToGrid w:val="0"/>
                <w:sz w:val="24"/>
              </w:rPr>
              <w:t>。</w:t>
            </w:r>
          </w:p>
          <w:p>
            <w:pPr>
              <w:pStyle w:val="22"/>
              <w:widowControl/>
              <w:adjustRightInd w:val="0"/>
              <w:snapToGrid w:val="0"/>
              <w:spacing w:line="360" w:lineRule="auto"/>
              <w:ind w:firstLine="480" w:firstLineChars="200"/>
              <w:jc w:val="left"/>
              <w:rPr>
                <w:rFonts w:asciiTheme="minorEastAsia" w:hAnsiTheme="minorEastAsia" w:eastAsiaTheme="minorEastAsia"/>
                <w:snapToGrid w:val="0"/>
                <w:spacing w:val="0"/>
                <w:kern w:val="2"/>
                <w:sz w:val="24"/>
                <w:szCs w:val="24"/>
              </w:rPr>
            </w:pPr>
            <w:r>
              <w:rPr>
                <w:rFonts w:hint="eastAsia" w:asciiTheme="minorEastAsia" w:hAnsiTheme="minorEastAsia" w:eastAsiaTheme="minorEastAsia"/>
                <w:snapToGrid w:val="0"/>
                <w:spacing w:val="0"/>
                <w:kern w:val="2"/>
                <w:sz w:val="24"/>
                <w:szCs w:val="24"/>
              </w:rPr>
              <w:t>6、</w:t>
            </w:r>
            <w:r>
              <w:rPr>
                <w:rFonts w:asciiTheme="minorEastAsia" w:hAnsiTheme="minorEastAsia" w:eastAsiaTheme="minorEastAsia"/>
                <w:snapToGrid w:val="0"/>
                <w:spacing w:val="0"/>
                <w:kern w:val="2"/>
                <w:sz w:val="24"/>
                <w:szCs w:val="24"/>
              </w:rPr>
              <w:t>综合结论</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本项目建设符合国家和河北省相关的现行产业政策要求，项目选址合理，环保设施较为先进，在严格采取本次环评提出的各项环保措施后，各污染物均达标排放，可以满足当地环境功能区划的要求。在全面加强监督管理，认真落实各项环保措施的条件下，从环境保护的角度分析，本项目的建设是可行的。</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bookmarkStart w:id="7" w:name="_Toc3108"/>
            <w:r>
              <w:rPr>
                <w:rFonts w:hint="eastAsia" w:asciiTheme="minorEastAsia" w:hAnsiTheme="minorEastAsia" w:eastAsiaTheme="minorEastAsia"/>
                <w:snapToGrid w:val="0"/>
                <w:sz w:val="24"/>
              </w:rPr>
              <w:t>7、建设项目环保 “三同时”验收内容</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为保护环境，最大限度减少污染物排放量，针对项目特点，本环评提出以下要求和建议：</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（1）严格执行“三同时”制度，确保各类污染防治措施及环保设施运行使用；</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（2）加强设备维护、维修工作，确保各类环保设施正常运行；</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hint="eastAsia" w:asciiTheme="minorEastAsia" w:hAnsiTheme="minorEastAsia" w:eastAsiaTheme="minorEastAsia"/>
                <w:snapToGrid w:val="0"/>
                <w:sz w:val="24"/>
              </w:rPr>
              <w:t>（</w:t>
            </w:r>
            <w:r>
              <w:rPr>
                <w:rFonts w:asciiTheme="minorEastAsia" w:hAnsiTheme="minorEastAsia" w:eastAsiaTheme="minorEastAsia"/>
                <w:snapToGrid w:val="0"/>
                <w:sz w:val="24"/>
              </w:rPr>
              <w:t>3</w:t>
            </w:r>
            <w:r>
              <w:rPr>
                <w:rFonts w:hint="eastAsia" w:asciiTheme="minorEastAsia" w:hAnsiTheme="minorEastAsia" w:eastAsiaTheme="minorEastAsia"/>
                <w:snapToGrid w:val="0"/>
                <w:sz w:val="24"/>
              </w:rPr>
              <w:t>）重视环境风险的影响，采取环境风险防范措施及事故应急处理措施。</w:t>
            </w:r>
          </w:p>
          <w:p>
            <w:pPr>
              <w:pStyle w:val="17"/>
              <w:widowControl/>
              <w:snapToGrid w:val="0"/>
              <w:spacing w:line="480" w:lineRule="exact"/>
              <w:ind w:firstLine="482" w:firstLineChars="200"/>
              <w:jc w:val="center"/>
              <w:rPr>
                <w:rFonts w:cs="Times New Roman" w:asciiTheme="minorEastAsia" w:hAnsiTheme="minorEastAsia" w:eastAsiaTheme="minorEastAsia"/>
                <w:b/>
                <w:snapToGrid w:val="0"/>
                <w:color w:val="auto"/>
                <w:kern w:val="2"/>
              </w:rPr>
            </w:pPr>
            <w:r>
              <w:rPr>
                <w:rFonts w:hint="eastAsia" w:cs="Times New Roman" w:asciiTheme="minorEastAsia" w:hAnsiTheme="minorEastAsia" w:eastAsiaTheme="minorEastAsia"/>
                <w:b/>
                <w:snapToGrid w:val="0"/>
                <w:color w:val="auto"/>
                <w:kern w:val="2"/>
              </w:rPr>
              <w:t>“三同时”验收一览表</w:t>
            </w:r>
          </w:p>
          <w:tbl>
            <w:tblPr>
              <w:tblStyle w:val="12"/>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134"/>
              <w:gridCol w:w="2268"/>
              <w:gridCol w:w="1418"/>
              <w:gridCol w:w="1546"/>
              <w:gridCol w:w="849"/>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adjustRightInd w:val="0"/>
                    <w:snapToGrid w:val="0"/>
                    <w:spacing w:line="300" w:lineRule="exact"/>
                    <w:jc w:val="left"/>
                    <w:rPr>
                      <w:b/>
                      <w:color w:val="000000"/>
                    </w:rPr>
                  </w:pPr>
                  <w:r>
                    <w:rPr>
                      <w:rFonts w:hint="eastAsia"/>
                      <w:b/>
                      <w:color w:val="000000"/>
                    </w:rPr>
                    <w:t>治理</w:t>
                  </w:r>
                  <w:r>
                    <w:rPr>
                      <w:b/>
                      <w:color w:val="000000"/>
                    </w:rPr>
                    <w:t>对象</w:t>
                  </w:r>
                </w:p>
              </w:tc>
              <w:tc>
                <w:tcPr>
                  <w:tcW w:w="1134" w:type="dxa"/>
                  <w:vAlign w:val="center"/>
                </w:tcPr>
                <w:p>
                  <w:pPr>
                    <w:pStyle w:val="34"/>
                    <w:adjustRightInd w:val="0"/>
                    <w:snapToGrid w:val="0"/>
                    <w:spacing w:line="300" w:lineRule="exact"/>
                    <w:jc w:val="left"/>
                    <w:rPr>
                      <w:b/>
                      <w:color w:val="000000"/>
                      <w:kern w:val="0"/>
                      <w:sz w:val="21"/>
                      <w:szCs w:val="21"/>
                    </w:rPr>
                  </w:pPr>
                  <w:r>
                    <w:rPr>
                      <w:rFonts w:hint="eastAsia"/>
                      <w:b/>
                      <w:color w:val="000000"/>
                      <w:kern w:val="0"/>
                      <w:sz w:val="21"/>
                      <w:szCs w:val="21"/>
                    </w:rPr>
                    <w:t>污染源</w:t>
                  </w:r>
                </w:p>
              </w:tc>
              <w:tc>
                <w:tcPr>
                  <w:tcW w:w="1134" w:type="dxa"/>
                  <w:vAlign w:val="center"/>
                </w:tcPr>
                <w:p>
                  <w:pPr>
                    <w:pStyle w:val="34"/>
                    <w:adjustRightInd w:val="0"/>
                    <w:snapToGrid w:val="0"/>
                    <w:spacing w:line="300" w:lineRule="exact"/>
                    <w:jc w:val="left"/>
                    <w:rPr>
                      <w:b/>
                      <w:color w:val="000000"/>
                      <w:kern w:val="0"/>
                      <w:sz w:val="21"/>
                      <w:szCs w:val="21"/>
                    </w:rPr>
                  </w:pPr>
                  <w:r>
                    <w:rPr>
                      <w:rFonts w:hint="eastAsia"/>
                      <w:b/>
                      <w:color w:val="000000"/>
                      <w:kern w:val="0"/>
                      <w:sz w:val="21"/>
                      <w:szCs w:val="21"/>
                    </w:rPr>
                    <w:t>污染物</w:t>
                  </w:r>
                </w:p>
              </w:tc>
              <w:tc>
                <w:tcPr>
                  <w:tcW w:w="2268" w:type="dxa"/>
                  <w:vAlign w:val="center"/>
                </w:tcPr>
                <w:p>
                  <w:pPr>
                    <w:pStyle w:val="34"/>
                    <w:adjustRightInd w:val="0"/>
                    <w:snapToGrid w:val="0"/>
                    <w:spacing w:line="300" w:lineRule="exact"/>
                    <w:jc w:val="left"/>
                    <w:rPr>
                      <w:b/>
                      <w:color w:val="000000"/>
                      <w:sz w:val="21"/>
                      <w:szCs w:val="21"/>
                    </w:rPr>
                  </w:pPr>
                  <w:r>
                    <w:rPr>
                      <w:rFonts w:hint="eastAsia"/>
                      <w:b/>
                      <w:color w:val="000000"/>
                      <w:sz w:val="21"/>
                      <w:szCs w:val="21"/>
                    </w:rPr>
                    <w:t>环保措施</w:t>
                  </w:r>
                </w:p>
              </w:tc>
              <w:tc>
                <w:tcPr>
                  <w:tcW w:w="2964" w:type="dxa"/>
                  <w:gridSpan w:val="2"/>
                  <w:vAlign w:val="center"/>
                </w:tcPr>
                <w:p>
                  <w:pPr>
                    <w:adjustRightInd w:val="0"/>
                    <w:snapToGrid w:val="0"/>
                    <w:spacing w:line="300" w:lineRule="exact"/>
                    <w:jc w:val="center"/>
                    <w:rPr>
                      <w:b/>
                      <w:color w:val="000000"/>
                    </w:rPr>
                  </w:pPr>
                  <w:r>
                    <w:rPr>
                      <w:b/>
                      <w:color w:val="000000"/>
                    </w:rPr>
                    <w:t>验收标准</w:t>
                  </w:r>
                </w:p>
              </w:tc>
              <w:tc>
                <w:tcPr>
                  <w:tcW w:w="849" w:type="dxa"/>
                  <w:vAlign w:val="center"/>
                </w:tcPr>
                <w:p>
                  <w:pPr>
                    <w:adjustRightInd w:val="0"/>
                    <w:snapToGrid w:val="0"/>
                    <w:spacing w:line="300" w:lineRule="exact"/>
                    <w:jc w:val="left"/>
                    <w:rPr>
                      <w:b/>
                      <w:color w:val="000000"/>
                    </w:rPr>
                  </w:pPr>
                  <w:r>
                    <w:rPr>
                      <w:rFonts w:hint="eastAsia"/>
                      <w:b/>
                      <w:color w:val="000000"/>
                    </w:rPr>
                    <w:t>备注</w:t>
                  </w:r>
                </w:p>
              </w:tc>
              <w:tc>
                <w:tcPr>
                  <w:tcW w:w="683" w:type="dxa"/>
                  <w:vAlign w:val="center"/>
                </w:tcPr>
                <w:p>
                  <w:pPr>
                    <w:adjustRightInd w:val="0"/>
                    <w:snapToGrid w:val="0"/>
                    <w:spacing w:line="300" w:lineRule="exact"/>
                    <w:jc w:val="left"/>
                    <w:rPr>
                      <w:b/>
                      <w:color w:val="000000"/>
                    </w:rPr>
                  </w:pPr>
                  <w:r>
                    <w:rPr>
                      <w:rFonts w:hint="eastAsia"/>
                      <w:b/>
                      <w:color w:val="000000"/>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废气</w:t>
                  </w:r>
                </w:p>
              </w:tc>
              <w:tc>
                <w:tcPr>
                  <w:tcW w:w="1134" w:type="dxa"/>
                  <w:vAlign w:val="center"/>
                </w:tcPr>
                <w:p>
                  <w:pPr>
                    <w:pStyle w:val="34"/>
                    <w:widowControl/>
                    <w:adjustRightInd w:val="0"/>
                    <w:snapToGrid w:val="0"/>
                    <w:spacing w:line="300" w:lineRule="exact"/>
                    <w:jc w:val="left"/>
                    <w:rPr>
                      <w:rFonts w:asciiTheme="minorEastAsia" w:hAnsiTheme="minorEastAsia" w:eastAsiaTheme="minorEastAsia"/>
                      <w:snapToGrid w:val="0"/>
                      <w:sz w:val="21"/>
                      <w:szCs w:val="21"/>
                    </w:rPr>
                  </w:pPr>
                  <w:r>
                    <w:rPr>
                      <w:rFonts w:hint="eastAsia" w:asciiTheme="minorEastAsia" w:hAnsiTheme="minorEastAsia" w:eastAsiaTheme="minorEastAsia"/>
                      <w:snapToGrid w:val="0"/>
                      <w:sz w:val="21"/>
                      <w:szCs w:val="21"/>
                    </w:rPr>
                    <w:t>熔化工序</w:t>
                  </w:r>
                </w:p>
              </w:tc>
              <w:tc>
                <w:tcPr>
                  <w:tcW w:w="1134" w:type="dxa"/>
                  <w:vAlign w:val="center"/>
                </w:tcPr>
                <w:p>
                  <w:pPr>
                    <w:pStyle w:val="34"/>
                    <w:widowControl/>
                    <w:adjustRightInd w:val="0"/>
                    <w:snapToGrid w:val="0"/>
                    <w:spacing w:line="300" w:lineRule="exact"/>
                    <w:jc w:val="left"/>
                    <w:rPr>
                      <w:rFonts w:asciiTheme="minorEastAsia" w:hAnsiTheme="minorEastAsia" w:eastAsiaTheme="minorEastAsia"/>
                      <w:snapToGrid w:val="0"/>
                      <w:sz w:val="21"/>
                      <w:szCs w:val="21"/>
                    </w:rPr>
                  </w:pPr>
                  <w:r>
                    <w:rPr>
                      <w:rFonts w:hint="eastAsia" w:asciiTheme="minorEastAsia" w:hAnsiTheme="minorEastAsia" w:eastAsiaTheme="minorEastAsia"/>
                      <w:snapToGrid w:val="0"/>
                      <w:sz w:val="21"/>
                      <w:szCs w:val="21"/>
                    </w:rPr>
                    <w:t>颗粒物</w:t>
                  </w:r>
                </w:p>
              </w:tc>
              <w:tc>
                <w:tcPr>
                  <w:tcW w:w="2268" w:type="dxa"/>
                  <w:vAlign w:val="center"/>
                </w:tcPr>
                <w:p>
                  <w:pPr>
                    <w:pStyle w:val="34"/>
                    <w:widowControl/>
                    <w:adjustRightInd w:val="0"/>
                    <w:snapToGrid w:val="0"/>
                    <w:spacing w:line="300" w:lineRule="exact"/>
                    <w:jc w:val="left"/>
                    <w:rPr>
                      <w:rFonts w:asciiTheme="minorEastAsia" w:hAnsiTheme="minorEastAsia" w:eastAsiaTheme="minorEastAsia"/>
                      <w:snapToGrid w:val="0"/>
                      <w:sz w:val="21"/>
                      <w:szCs w:val="21"/>
                    </w:rPr>
                  </w:pPr>
                  <w:r>
                    <w:rPr>
                      <w:rFonts w:asciiTheme="minorEastAsia" w:hAnsiTheme="minorEastAsia" w:eastAsiaTheme="minorEastAsia"/>
                      <w:snapToGrid w:val="0"/>
                      <w:sz w:val="21"/>
                      <w:szCs w:val="21"/>
                    </w:rPr>
                    <w:t>2</w:t>
                  </w:r>
                  <w:r>
                    <w:rPr>
                      <w:rFonts w:hint="eastAsia" w:asciiTheme="minorEastAsia" w:hAnsiTheme="minorEastAsia" w:eastAsiaTheme="minorEastAsia"/>
                      <w:snapToGrid w:val="0"/>
                      <w:sz w:val="21"/>
                      <w:szCs w:val="21"/>
                    </w:rPr>
                    <w:t>台中频电炉（一备一用）各设一个顶吸式集气罩，共用1台布袋除尘器+</w:t>
                  </w:r>
                  <w:r>
                    <w:rPr>
                      <w:rFonts w:asciiTheme="minorEastAsia" w:hAnsiTheme="minorEastAsia" w:eastAsiaTheme="minorEastAsia"/>
                      <w:snapToGrid w:val="0"/>
                      <w:sz w:val="21"/>
                      <w:szCs w:val="21"/>
                    </w:rPr>
                    <w:t>1</w:t>
                  </w:r>
                  <w:r>
                    <w:rPr>
                      <w:rFonts w:hint="eastAsia" w:asciiTheme="minorEastAsia" w:hAnsiTheme="minorEastAsia" w:eastAsiaTheme="minorEastAsia"/>
                      <w:snapToGrid w:val="0"/>
                      <w:sz w:val="21"/>
                      <w:szCs w:val="21"/>
                    </w:rPr>
                    <w:t>根1</w:t>
                  </w:r>
                  <w:r>
                    <w:rPr>
                      <w:rFonts w:asciiTheme="minorEastAsia" w:hAnsiTheme="minorEastAsia" w:eastAsiaTheme="minorEastAsia"/>
                      <w:snapToGrid w:val="0"/>
                      <w:sz w:val="21"/>
                      <w:szCs w:val="21"/>
                    </w:rPr>
                    <w:t>5m</w:t>
                  </w:r>
                  <w:r>
                    <w:rPr>
                      <w:rFonts w:hint="eastAsia" w:asciiTheme="minorEastAsia" w:hAnsiTheme="minorEastAsia" w:eastAsiaTheme="minorEastAsia"/>
                      <w:snapToGrid w:val="0"/>
                      <w:sz w:val="21"/>
                      <w:szCs w:val="21"/>
                    </w:rPr>
                    <w:t>高排气筒（P</w:t>
                  </w:r>
                  <w:r>
                    <w:rPr>
                      <w:rFonts w:asciiTheme="minorEastAsia" w:hAnsiTheme="minorEastAsia" w:eastAsiaTheme="minorEastAsia"/>
                      <w:snapToGrid w:val="0"/>
                      <w:sz w:val="21"/>
                      <w:szCs w:val="21"/>
                    </w:rPr>
                    <w:t>1</w:t>
                  </w:r>
                  <w:r>
                    <w:rPr>
                      <w:rFonts w:hint="eastAsia" w:asciiTheme="minorEastAsia" w:hAnsiTheme="minorEastAsia" w:eastAsiaTheme="minorEastAsia"/>
                      <w:snapToGrid w:val="0"/>
                      <w:sz w:val="21"/>
                      <w:szCs w:val="21"/>
                    </w:rPr>
                    <w:t>）</w:t>
                  </w:r>
                </w:p>
              </w:tc>
              <w:tc>
                <w:tcPr>
                  <w:tcW w:w="2964" w:type="dxa"/>
                  <w:gridSpan w:val="2"/>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《京津冀及周边2018-2019年秋冬季大气污染综合治理攻坚行动方案》中第18条“实施工业炉窑深度治理”限值要求</w:t>
                  </w:r>
                </w:p>
              </w:tc>
              <w:tc>
                <w:tcPr>
                  <w:tcW w:w="849"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现有工程设施</w:t>
                  </w:r>
                </w:p>
              </w:tc>
              <w:tc>
                <w:tcPr>
                  <w:tcW w:w="683"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铸件脱离、抛丸工序</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有组织排放颗粒物</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抛丸工序首先经自带布袋除尘器处理后（除尘效率80%）再与铸件脱离工序共用1台布袋除尘器处理后经1根15高排气筒（P</w:t>
                  </w:r>
                  <w:r>
                    <w:rPr>
                      <w:rFonts w:asciiTheme="minorEastAsia" w:hAnsiTheme="minorEastAsia" w:eastAsiaTheme="minorEastAsia"/>
                      <w:snapToGrid w:val="0"/>
                      <w:szCs w:val="21"/>
                    </w:rPr>
                    <w:t>3</w:t>
                  </w:r>
                  <w:r>
                    <w:rPr>
                      <w:rFonts w:hint="eastAsia" w:asciiTheme="minorEastAsia" w:hAnsiTheme="minorEastAsia" w:eastAsiaTheme="minorEastAsia"/>
                      <w:snapToGrid w:val="0"/>
                      <w:szCs w:val="21"/>
                    </w:rPr>
                    <w:t>）排放</w:t>
                  </w:r>
                </w:p>
              </w:tc>
              <w:tc>
                <w:tcPr>
                  <w:tcW w:w="2964" w:type="dxa"/>
                  <w:gridSpan w:val="2"/>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《大气污染物综合排放标准》（GB16297-1996）表2中二级标准，即：排放速率≤3.5kg/h，排放浓度≤120mg/m3。</w:t>
                  </w:r>
                </w:p>
              </w:tc>
              <w:tc>
                <w:tcPr>
                  <w:tcW w:w="849"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抛丸工序自带布袋除尘器为利旧</w:t>
                  </w:r>
                </w:p>
              </w:tc>
              <w:tc>
                <w:tcPr>
                  <w:tcW w:w="683"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废气</w:t>
                  </w:r>
                </w:p>
              </w:tc>
              <w:tc>
                <w:tcPr>
                  <w:tcW w:w="113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造型、浇铸工序</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颗粒物</w:t>
                  </w:r>
                </w:p>
              </w:tc>
              <w:tc>
                <w:tcPr>
                  <w:tcW w:w="2268"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过滤棉+U</w:t>
                  </w:r>
                  <w:r>
                    <w:rPr>
                      <w:rFonts w:asciiTheme="minorEastAsia" w:hAnsiTheme="minorEastAsia" w:eastAsiaTheme="minorEastAsia"/>
                      <w:snapToGrid w:val="0"/>
                      <w:szCs w:val="21"/>
                    </w:rPr>
                    <w:t>V</w:t>
                  </w:r>
                  <w:r>
                    <w:rPr>
                      <w:rFonts w:hint="eastAsia" w:asciiTheme="minorEastAsia" w:hAnsiTheme="minorEastAsia" w:eastAsiaTheme="minorEastAsia"/>
                      <w:snapToGrid w:val="0"/>
                      <w:szCs w:val="21"/>
                    </w:rPr>
                    <w:t>光氧催化装置+活性炭吸附装置，处理后经</w:t>
                  </w:r>
                  <w:r>
                    <w:rPr>
                      <w:rFonts w:asciiTheme="minorEastAsia" w:hAnsiTheme="minorEastAsia" w:eastAsiaTheme="minorEastAsia"/>
                      <w:snapToGrid w:val="0"/>
                      <w:szCs w:val="21"/>
                    </w:rPr>
                    <w:t>1</w:t>
                  </w:r>
                  <w:r>
                    <w:rPr>
                      <w:rFonts w:hint="eastAsia" w:asciiTheme="minorEastAsia" w:hAnsiTheme="minorEastAsia" w:eastAsiaTheme="minorEastAsia"/>
                      <w:snapToGrid w:val="0"/>
                      <w:szCs w:val="21"/>
                    </w:rPr>
                    <w:t>根</w:t>
                  </w:r>
                  <w:r>
                    <w:rPr>
                      <w:rFonts w:asciiTheme="minorEastAsia" w:hAnsiTheme="minorEastAsia" w:eastAsiaTheme="minorEastAsia"/>
                      <w:snapToGrid w:val="0"/>
                      <w:szCs w:val="21"/>
                    </w:rPr>
                    <w:t>15</w:t>
                  </w:r>
                  <w:r>
                    <w:rPr>
                      <w:rFonts w:hint="eastAsia" w:asciiTheme="minorEastAsia" w:hAnsiTheme="minorEastAsia" w:eastAsiaTheme="minorEastAsia"/>
                      <w:snapToGrid w:val="0"/>
                      <w:szCs w:val="21"/>
                    </w:rPr>
                    <w:t>m高排气筒（P</w:t>
                  </w:r>
                  <w:r>
                    <w:rPr>
                      <w:rFonts w:asciiTheme="minorEastAsia" w:hAnsiTheme="minorEastAsia" w:eastAsiaTheme="minorEastAsia"/>
                      <w:snapToGrid w:val="0"/>
                      <w:szCs w:val="21"/>
                    </w:rPr>
                    <w:t>2</w:t>
                  </w:r>
                  <w:r>
                    <w:rPr>
                      <w:rFonts w:hint="eastAsia" w:asciiTheme="minorEastAsia" w:hAnsiTheme="minorEastAsia" w:eastAsiaTheme="minorEastAsia"/>
                      <w:snapToGrid w:val="0"/>
                      <w:szCs w:val="21"/>
                    </w:rPr>
                    <w:t>）</w:t>
                  </w:r>
                </w:p>
              </w:tc>
              <w:tc>
                <w:tcPr>
                  <w:tcW w:w="2964" w:type="dxa"/>
                  <w:gridSpan w:val="2"/>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《大气污染物综合排放标准》（GB16297-1996）表2中二级标准，即：排放速率≤3.5kg/h，排放浓度≤120mg/m3</w:t>
                  </w:r>
                </w:p>
              </w:tc>
              <w:tc>
                <w:tcPr>
                  <w:tcW w:w="849"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新上</w:t>
                  </w:r>
                </w:p>
              </w:tc>
              <w:tc>
                <w:tcPr>
                  <w:tcW w:w="683"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有组织排放非甲烷总烃</w:t>
                  </w:r>
                </w:p>
              </w:tc>
              <w:tc>
                <w:tcPr>
                  <w:tcW w:w="226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2964" w:type="dxa"/>
                  <w:gridSpan w:val="2"/>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《工业企业挥发性有机物排放控制标准》（DB13/2322- 2016）表1其他行业排放标准，排放浓度≤</w:t>
                  </w:r>
                  <w:r>
                    <w:rPr>
                      <w:rFonts w:asciiTheme="minorEastAsia" w:hAnsiTheme="minorEastAsia" w:eastAsiaTheme="minorEastAsia"/>
                      <w:snapToGrid w:val="0"/>
                      <w:szCs w:val="21"/>
                    </w:rPr>
                    <w:t>80</w:t>
                  </w:r>
                  <w:r>
                    <w:rPr>
                      <w:rFonts w:hint="eastAsia" w:asciiTheme="minorEastAsia" w:hAnsiTheme="minorEastAsia" w:eastAsiaTheme="minorEastAsia"/>
                      <w:snapToGrid w:val="0"/>
                      <w:szCs w:val="21"/>
                    </w:rPr>
                    <w:t>mg/m3。</w:t>
                  </w: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厂区无组织排放废气</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颗粒物</w:t>
                  </w:r>
                </w:p>
              </w:tc>
              <w:tc>
                <w:tcPr>
                  <w:tcW w:w="2268"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设备设置在密闭的车间内，冷却区三面围挡，进出口设置苫布门帘，铸件脱离区设有喷淋头喷淋，冷却区设有1台雾炮喷淋器；企业厂界四角处安装有机废气超标报警传感装置</w:t>
                  </w:r>
                </w:p>
              </w:tc>
              <w:tc>
                <w:tcPr>
                  <w:tcW w:w="2964" w:type="dxa"/>
                  <w:gridSpan w:val="2"/>
                  <w:vAlign w:val="center"/>
                </w:tcPr>
                <w:p>
                  <w:pPr>
                    <w:pStyle w:val="3"/>
                    <w:widowControl/>
                    <w:snapToGrid w:val="0"/>
                    <w:spacing w:line="300" w:lineRule="exact"/>
                    <w:ind w:firstLine="0"/>
                    <w:rPr>
                      <w:rFonts w:asciiTheme="minorEastAsia" w:hAnsiTheme="minorEastAsia" w:eastAsiaTheme="minorEastAsia"/>
                      <w:snapToGrid w:val="0"/>
                      <w:kern w:val="2"/>
                      <w:sz w:val="21"/>
                      <w:szCs w:val="21"/>
                    </w:rPr>
                  </w:pPr>
                  <w:r>
                    <w:rPr>
                      <w:rFonts w:hint="eastAsia" w:asciiTheme="minorEastAsia" w:hAnsiTheme="minorEastAsia" w:eastAsiaTheme="minorEastAsia"/>
                      <w:snapToGrid w:val="0"/>
                      <w:kern w:val="2"/>
                      <w:sz w:val="21"/>
                      <w:szCs w:val="21"/>
                    </w:rPr>
                    <w:t>《工业炉窑大气污染物排放标准》（D</w:t>
                  </w:r>
                  <w:r>
                    <w:rPr>
                      <w:rFonts w:asciiTheme="minorEastAsia" w:hAnsiTheme="minorEastAsia" w:eastAsiaTheme="minorEastAsia"/>
                      <w:snapToGrid w:val="0"/>
                      <w:kern w:val="2"/>
                      <w:sz w:val="21"/>
                      <w:szCs w:val="21"/>
                    </w:rPr>
                    <w:t>B13/1640-2012</w:t>
                  </w:r>
                  <w:r>
                    <w:rPr>
                      <w:rFonts w:hint="eastAsia" w:asciiTheme="minorEastAsia" w:hAnsiTheme="minorEastAsia" w:eastAsiaTheme="minorEastAsia"/>
                      <w:snapToGrid w:val="0"/>
                      <w:kern w:val="2"/>
                      <w:sz w:val="21"/>
                      <w:szCs w:val="21"/>
                    </w:rPr>
                    <w:t>）表3要求，排放浓度≤</w:t>
                  </w:r>
                  <w:r>
                    <w:rPr>
                      <w:rFonts w:asciiTheme="minorEastAsia" w:hAnsiTheme="minorEastAsia" w:eastAsiaTheme="minorEastAsia"/>
                      <w:snapToGrid w:val="0"/>
                      <w:kern w:val="2"/>
                      <w:sz w:val="21"/>
                      <w:szCs w:val="21"/>
                    </w:rPr>
                    <w:t>1.0</w:t>
                  </w:r>
                  <w:r>
                    <w:rPr>
                      <w:rFonts w:hint="eastAsia" w:asciiTheme="minorEastAsia" w:hAnsiTheme="minorEastAsia" w:eastAsiaTheme="minorEastAsia"/>
                      <w:snapToGrid w:val="0"/>
                      <w:kern w:val="2"/>
                      <w:sz w:val="21"/>
                      <w:szCs w:val="21"/>
                    </w:rPr>
                    <w:t>mg/m3。</w:t>
                  </w:r>
                </w:p>
              </w:tc>
              <w:tc>
                <w:tcPr>
                  <w:tcW w:w="849"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新上</w:t>
                  </w:r>
                </w:p>
              </w:tc>
              <w:tc>
                <w:tcPr>
                  <w:tcW w:w="683"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已落实，车间口设置</w:t>
                  </w:r>
                  <w:r>
                    <w:rPr>
                      <w:rFonts w:hint="eastAsia" w:asciiTheme="minorEastAsia" w:hAnsiTheme="minorEastAsia" w:eastAsiaTheme="minorEastAsia"/>
                      <w:snapToGrid w:val="0"/>
                      <w:szCs w:val="21"/>
                    </w:rPr>
                    <w:t>1台有机废气超标报警传感装置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非甲烷总烃</w:t>
                  </w:r>
                </w:p>
              </w:tc>
              <w:tc>
                <w:tcPr>
                  <w:tcW w:w="226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2964" w:type="dxa"/>
                  <w:gridSpan w:val="2"/>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《工业企业挥发性有机物排放控制标准》（DB13/2322- 2016）表</w:t>
                  </w:r>
                  <w:r>
                    <w:rPr>
                      <w:rFonts w:asciiTheme="minorEastAsia" w:hAnsiTheme="minorEastAsia" w:eastAsiaTheme="minorEastAsia"/>
                      <w:snapToGrid w:val="0"/>
                      <w:szCs w:val="21"/>
                    </w:rPr>
                    <w:t>2</w:t>
                  </w:r>
                  <w:r>
                    <w:rPr>
                      <w:rFonts w:hint="eastAsia" w:asciiTheme="minorEastAsia" w:hAnsiTheme="minorEastAsia" w:eastAsiaTheme="minorEastAsia"/>
                      <w:snapToGrid w:val="0"/>
                      <w:szCs w:val="21"/>
                    </w:rPr>
                    <w:t>中限值要求，排放浓度≤</w:t>
                  </w:r>
                  <w:r>
                    <w:rPr>
                      <w:rFonts w:asciiTheme="minorEastAsia" w:hAnsiTheme="minorEastAsia" w:eastAsiaTheme="minorEastAsia"/>
                      <w:snapToGrid w:val="0"/>
                      <w:szCs w:val="21"/>
                    </w:rPr>
                    <w:t>2.0</w:t>
                  </w:r>
                  <w:r>
                    <w:rPr>
                      <w:rFonts w:hint="eastAsia" w:asciiTheme="minorEastAsia" w:hAnsiTheme="minorEastAsia" w:eastAsiaTheme="minorEastAsia"/>
                      <w:snapToGrid w:val="0"/>
                      <w:szCs w:val="21"/>
                    </w:rPr>
                    <w:t>mg/m3。</w:t>
                  </w: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噪声</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生产车间</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等效A声级</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新增设备设</w:t>
                  </w:r>
                  <w:r>
                    <w:rPr>
                      <w:rFonts w:asciiTheme="minorEastAsia" w:hAnsiTheme="minorEastAsia" w:eastAsiaTheme="minorEastAsia"/>
                      <w:snapToGrid w:val="0"/>
                      <w:szCs w:val="21"/>
                    </w:rPr>
                    <w:t>减震基础、</w:t>
                  </w:r>
                  <w:r>
                    <w:rPr>
                      <w:rFonts w:hint="eastAsia" w:asciiTheme="minorEastAsia" w:hAnsiTheme="minorEastAsia" w:eastAsiaTheme="minorEastAsia"/>
                      <w:snapToGrid w:val="0"/>
                      <w:szCs w:val="21"/>
                    </w:rPr>
                    <w:t>厂房</w:t>
                  </w:r>
                  <w:r>
                    <w:rPr>
                      <w:rFonts w:asciiTheme="minorEastAsia" w:hAnsiTheme="minorEastAsia" w:eastAsiaTheme="minorEastAsia"/>
                      <w:snapToGrid w:val="0"/>
                      <w:szCs w:val="21"/>
                    </w:rPr>
                    <w:t>隔声</w:t>
                  </w:r>
                  <w:r>
                    <w:rPr>
                      <w:rFonts w:hint="eastAsia" w:asciiTheme="minorEastAsia" w:hAnsiTheme="minorEastAsia" w:eastAsiaTheme="minorEastAsia"/>
                      <w:snapToGrid w:val="0"/>
                      <w:szCs w:val="21"/>
                    </w:rPr>
                    <w:t>，生产设备及风机均位于车间内。</w:t>
                  </w:r>
                </w:p>
              </w:tc>
              <w:tc>
                <w:tcPr>
                  <w:tcW w:w="2964" w:type="dxa"/>
                  <w:gridSpan w:val="2"/>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《工业企业厂界环境噪声排放标准》（GB12348-2008）中</w:t>
                  </w:r>
                  <w:r>
                    <w:rPr>
                      <w:rFonts w:asciiTheme="minorEastAsia" w:hAnsiTheme="minorEastAsia" w:eastAsiaTheme="minorEastAsia"/>
                      <w:snapToGrid w:val="0"/>
                      <w:szCs w:val="21"/>
                    </w:rPr>
                    <w:t>2</w:t>
                  </w:r>
                  <w:r>
                    <w:rPr>
                      <w:rFonts w:hint="eastAsia" w:asciiTheme="minorEastAsia" w:hAnsiTheme="minorEastAsia" w:eastAsiaTheme="minorEastAsia"/>
                      <w:snapToGrid w:val="0"/>
                      <w:szCs w:val="21"/>
                    </w:rPr>
                    <w:t>类标准，南</w:t>
                  </w:r>
                  <w:r>
                    <w:rPr>
                      <w:rFonts w:asciiTheme="minorEastAsia" w:hAnsiTheme="minorEastAsia" w:eastAsiaTheme="minorEastAsia"/>
                      <w:snapToGrid w:val="0"/>
                      <w:szCs w:val="21"/>
                    </w:rPr>
                    <w:t>厂界执行</w:t>
                  </w:r>
                  <w:r>
                    <w:rPr>
                      <w:rFonts w:hint="eastAsia" w:asciiTheme="minorEastAsia" w:hAnsiTheme="minorEastAsia" w:eastAsiaTheme="minorEastAsia"/>
                      <w:snapToGrid w:val="0"/>
                      <w:szCs w:val="21"/>
                    </w:rPr>
                    <w:t>4</w:t>
                  </w:r>
                  <w:r>
                    <w:rPr>
                      <w:rFonts w:asciiTheme="minorEastAsia" w:hAnsiTheme="minorEastAsia" w:eastAsiaTheme="minorEastAsia"/>
                      <w:snapToGrid w:val="0"/>
                      <w:szCs w:val="21"/>
                    </w:rPr>
                    <w:t>类标准</w:t>
                  </w:r>
                </w:p>
              </w:tc>
              <w:tc>
                <w:tcPr>
                  <w:tcW w:w="849"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现有工程利旧，新增设新上</w:t>
                  </w:r>
                </w:p>
              </w:tc>
              <w:tc>
                <w:tcPr>
                  <w:tcW w:w="683"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固废</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冷却脱壳</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废覆膜砂</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自然冷却区袋装暂存，生产厂家回收</w:t>
                  </w:r>
                </w:p>
              </w:tc>
              <w:tc>
                <w:tcPr>
                  <w:tcW w:w="1418"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生产一般固废储存在冷却区，冷却区占地面积1</w:t>
                  </w:r>
                  <w:r>
                    <w:rPr>
                      <w:rFonts w:asciiTheme="minorEastAsia" w:hAnsiTheme="minorEastAsia" w:eastAsiaTheme="minorEastAsia"/>
                      <w:snapToGrid w:val="0"/>
                      <w:szCs w:val="21"/>
                    </w:rPr>
                    <w:t>04m</w:t>
                  </w:r>
                  <w:r>
                    <w:rPr>
                      <w:rFonts w:asciiTheme="minorEastAsia" w:hAnsiTheme="minorEastAsia" w:eastAsiaTheme="minorEastAsia"/>
                      <w:snapToGrid w:val="0"/>
                      <w:szCs w:val="21"/>
                      <w:vertAlign w:val="superscript"/>
                    </w:rPr>
                    <w:t>2</w:t>
                  </w:r>
                  <w:r>
                    <w:rPr>
                      <w:rFonts w:hint="eastAsia" w:asciiTheme="minorEastAsia" w:hAnsiTheme="minorEastAsia" w:eastAsiaTheme="minorEastAsia"/>
                      <w:snapToGrid w:val="0"/>
                      <w:szCs w:val="21"/>
                    </w:rPr>
                    <w:t>，冷却区三面围挡，进出口苫布围挡，地面全部硬化。</w:t>
                  </w:r>
                </w:p>
              </w:tc>
              <w:tc>
                <w:tcPr>
                  <w:tcW w:w="1546"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《一般工业固体废物贮存、处置场污染控制标准》（GB18599-2001）及修改单的要求</w:t>
                  </w:r>
                </w:p>
              </w:tc>
              <w:tc>
                <w:tcPr>
                  <w:tcW w:w="849"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现有工程设施</w:t>
                  </w:r>
                </w:p>
              </w:tc>
              <w:tc>
                <w:tcPr>
                  <w:tcW w:w="683"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中频电炉</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废石英砂</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由生产厂家回收</w:t>
                  </w: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中频电炉除尘器</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除尘灰</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外售废铁收购站</w:t>
                  </w: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浇铸工序</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废覆膜砂</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自然冷却区袋装暂存，生产厂家回收</w:t>
                  </w: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抛丸工序</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铁砂混合物</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外售废铁收购站</w:t>
                  </w: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抛丸、铸件脱离工序除尘器</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除尘灰</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外售废铁收购站</w:t>
                  </w: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职工生活</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生活垃圾</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交由环卫部门处理</w:t>
                  </w: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固废</w:t>
                  </w:r>
                </w:p>
              </w:tc>
              <w:tc>
                <w:tcPr>
                  <w:tcW w:w="113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U</w:t>
                  </w:r>
                  <w:r>
                    <w:rPr>
                      <w:rFonts w:asciiTheme="minorEastAsia" w:hAnsiTheme="minorEastAsia" w:eastAsiaTheme="minorEastAsia"/>
                      <w:snapToGrid w:val="0"/>
                      <w:szCs w:val="21"/>
                    </w:rPr>
                    <w:t>V</w:t>
                  </w:r>
                  <w:r>
                    <w:rPr>
                      <w:rFonts w:hint="eastAsia" w:asciiTheme="minorEastAsia" w:hAnsiTheme="minorEastAsia" w:eastAsiaTheme="minorEastAsia"/>
                      <w:snapToGrid w:val="0"/>
                      <w:szCs w:val="21"/>
                    </w:rPr>
                    <w:t>光氧催化装置</w:t>
                  </w:r>
                </w:p>
              </w:tc>
              <w:tc>
                <w:tcPr>
                  <w:tcW w:w="1134" w:type="dxa"/>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废过滤棉</w:t>
                  </w:r>
                </w:p>
              </w:tc>
              <w:tc>
                <w:tcPr>
                  <w:tcW w:w="2268"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设置危险废物暂存间</w:t>
                  </w:r>
                  <w:r>
                    <w:rPr>
                      <w:rFonts w:asciiTheme="minorEastAsia" w:hAnsiTheme="minorEastAsia" w:eastAsiaTheme="minorEastAsia"/>
                      <w:snapToGrid w:val="0"/>
                      <w:szCs w:val="21"/>
                    </w:rPr>
                    <w:t>1</w:t>
                  </w:r>
                  <w:r>
                    <w:rPr>
                      <w:rFonts w:hint="eastAsia" w:asciiTheme="minorEastAsia" w:hAnsiTheme="minorEastAsia" w:eastAsiaTheme="minorEastAsia"/>
                      <w:snapToGrid w:val="0"/>
                      <w:szCs w:val="21"/>
                    </w:rPr>
                    <w:t>座，于厂区内危废暂存间，并交有资质单位处置</w:t>
                  </w:r>
                </w:p>
              </w:tc>
              <w:tc>
                <w:tcPr>
                  <w:tcW w:w="1418" w:type="dxa"/>
                  <w:vMerge w:val="restart"/>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利用厂区内原有厂房改造为危险废物专用暂存间，位于厂区东侧一角，建筑面积</w:t>
                  </w:r>
                  <w:r>
                    <w:rPr>
                      <w:rFonts w:asciiTheme="minorEastAsia" w:hAnsiTheme="minorEastAsia" w:eastAsiaTheme="minorEastAsia"/>
                      <w:snapToGrid w:val="0"/>
                      <w:szCs w:val="21"/>
                    </w:rPr>
                    <w:t>3m</w:t>
                  </w:r>
                  <w:r>
                    <w:rPr>
                      <w:rFonts w:asciiTheme="minorEastAsia" w:hAnsiTheme="minorEastAsia" w:eastAsiaTheme="minorEastAsia"/>
                      <w:snapToGrid w:val="0"/>
                      <w:szCs w:val="21"/>
                      <w:vertAlign w:val="superscript"/>
                    </w:rPr>
                    <w:t>2</w:t>
                  </w:r>
                  <w:r>
                    <w:rPr>
                      <w:rFonts w:hint="eastAsia" w:asciiTheme="minorEastAsia" w:hAnsiTheme="minorEastAsia" w:eastAsiaTheme="minorEastAsia"/>
                      <w:snapToGrid w:val="0"/>
                      <w:szCs w:val="21"/>
                    </w:rPr>
                    <w:t>。</w:t>
                  </w:r>
                </w:p>
              </w:tc>
              <w:tc>
                <w:tcPr>
                  <w:tcW w:w="1546" w:type="dxa"/>
                  <w:vMerge w:val="restart"/>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《危险废物贮存污染控制标准》（GB18597-2001）及其修改单中标准要求</w:t>
                  </w:r>
                </w:p>
              </w:tc>
              <w:tc>
                <w:tcPr>
                  <w:tcW w:w="849" w:type="dxa"/>
                  <w:vMerge w:val="restart"/>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新上</w:t>
                  </w:r>
                </w:p>
              </w:tc>
              <w:tc>
                <w:tcPr>
                  <w:tcW w:w="683"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Merge w:val="continue"/>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废催化剂</w:t>
                  </w:r>
                </w:p>
              </w:tc>
              <w:tc>
                <w:tcPr>
                  <w:tcW w:w="226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418" w:type="dxa"/>
                  <w:vMerge w:val="continue"/>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tcBorders>
                    <w:bottom w:val="single" w:color="auto" w:sz="4" w:space="0"/>
                  </w:tcBorders>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活性炭吸附装置</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废活性炭</w:t>
                  </w:r>
                </w:p>
              </w:tc>
              <w:tc>
                <w:tcPr>
                  <w:tcW w:w="226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418"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546"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废水</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生产废水</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S</w:t>
                  </w:r>
                  <w:r>
                    <w:rPr>
                      <w:rFonts w:asciiTheme="minorEastAsia" w:hAnsiTheme="minorEastAsia" w:eastAsiaTheme="minorEastAsia"/>
                      <w:snapToGrid w:val="0"/>
                      <w:szCs w:val="21"/>
                    </w:rPr>
                    <w:t>S</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利用现有1座循环水池（4</w:t>
                  </w:r>
                  <w:r>
                    <w:rPr>
                      <w:rFonts w:asciiTheme="minorEastAsia" w:hAnsiTheme="minorEastAsia" w:eastAsiaTheme="minorEastAsia"/>
                      <w:snapToGrid w:val="0"/>
                      <w:szCs w:val="21"/>
                    </w:rPr>
                    <w:t>m</w:t>
                  </w:r>
                  <w:r>
                    <w:rPr>
                      <w:rFonts w:hint="eastAsia" w:asciiTheme="minorEastAsia" w:hAnsiTheme="minorEastAsia" w:eastAsiaTheme="minorEastAsia"/>
                      <w:snapToGrid w:val="0"/>
                      <w:szCs w:val="21"/>
                    </w:rPr>
                    <w:t>×3</w:t>
                  </w:r>
                  <w:r>
                    <w:rPr>
                      <w:rFonts w:asciiTheme="minorEastAsia" w:hAnsiTheme="minorEastAsia" w:eastAsiaTheme="minorEastAsia"/>
                      <w:snapToGrid w:val="0"/>
                      <w:szCs w:val="21"/>
                    </w:rPr>
                    <w:t>.5m</w:t>
                  </w:r>
                  <w:r>
                    <w:rPr>
                      <w:rFonts w:hint="eastAsia" w:asciiTheme="minorEastAsia" w:hAnsiTheme="minorEastAsia" w:eastAsiaTheme="minorEastAsia"/>
                      <w:snapToGrid w:val="0"/>
                      <w:szCs w:val="21"/>
                    </w:rPr>
                    <w:t>×3</w:t>
                  </w:r>
                  <w:r>
                    <w:rPr>
                      <w:rFonts w:asciiTheme="minorEastAsia" w:hAnsiTheme="minorEastAsia" w:eastAsiaTheme="minorEastAsia"/>
                      <w:snapToGrid w:val="0"/>
                      <w:szCs w:val="21"/>
                    </w:rPr>
                    <w:t>m</w:t>
                  </w:r>
                  <w:r>
                    <w:rPr>
                      <w:rFonts w:hint="eastAsia" w:asciiTheme="minorEastAsia" w:hAnsiTheme="minorEastAsia" w:eastAsiaTheme="minorEastAsia"/>
                      <w:snapToGrid w:val="0"/>
                      <w:szCs w:val="21"/>
                    </w:rPr>
                    <w:t>）</w:t>
                  </w:r>
                </w:p>
              </w:tc>
              <w:tc>
                <w:tcPr>
                  <w:tcW w:w="2964" w:type="dxa"/>
                  <w:gridSpan w:val="2"/>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不外排</w:t>
                  </w:r>
                </w:p>
              </w:tc>
              <w:tc>
                <w:tcPr>
                  <w:tcW w:w="849"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利旧</w:t>
                  </w:r>
                </w:p>
              </w:tc>
              <w:tc>
                <w:tcPr>
                  <w:tcW w:w="683" w:type="dxa"/>
                  <w:vMerge w:val="restart"/>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生活污水</w:t>
                  </w:r>
                </w:p>
              </w:tc>
              <w:tc>
                <w:tcPr>
                  <w:tcW w:w="113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C</w:t>
                  </w:r>
                  <w:r>
                    <w:rPr>
                      <w:rFonts w:asciiTheme="minorEastAsia" w:hAnsiTheme="minorEastAsia" w:eastAsiaTheme="minorEastAsia"/>
                      <w:snapToGrid w:val="0"/>
                      <w:szCs w:val="21"/>
                    </w:rPr>
                    <w:t>OD</w:t>
                  </w:r>
                  <w:r>
                    <w:rPr>
                      <w:rFonts w:hint="eastAsia" w:asciiTheme="minorEastAsia" w:hAnsiTheme="minorEastAsia" w:eastAsiaTheme="minorEastAsia"/>
                      <w:snapToGrid w:val="0"/>
                      <w:szCs w:val="21"/>
                    </w:rPr>
                    <w:t>、</w:t>
                  </w:r>
                  <w:r>
                    <w:rPr>
                      <w:rFonts w:asciiTheme="minorEastAsia" w:hAnsiTheme="minorEastAsia" w:eastAsiaTheme="minorEastAsia"/>
                      <w:snapToGrid w:val="0"/>
                      <w:szCs w:val="21"/>
                    </w:rPr>
                    <w:t>SS</w:t>
                  </w:r>
                  <w:r>
                    <w:rPr>
                      <w:rFonts w:hint="eastAsia" w:asciiTheme="minorEastAsia" w:hAnsiTheme="minorEastAsia" w:eastAsiaTheme="minorEastAsia"/>
                      <w:snapToGrid w:val="0"/>
                      <w:szCs w:val="21"/>
                    </w:rPr>
                    <w:t>等</w:t>
                  </w:r>
                </w:p>
              </w:tc>
              <w:tc>
                <w:tcPr>
                  <w:tcW w:w="2268"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厂区内设有防渗旱厕，生活污水直接泼洒抑尘</w:t>
                  </w:r>
                </w:p>
              </w:tc>
              <w:tc>
                <w:tcPr>
                  <w:tcW w:w="2964" w:type="dxa"/>
                  <w:gridSpan w:val="2"/>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849"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c>
                <w:tcPr>
                  <w:tcW w:w="683" w:type="dxa"/>
                  <w:vMerge w:val="continue"/>
                  <w:vAlign w:val="center"/>
                </w:tcPr>
                <w:p>
                  <w:pPr>
                    <w:widowControl/>
                    <w:adjustRightInd w:val="0"/>
                    <w:snapToGrid w:val="0"/>
                    <w:spacing w:line="300" w:lineRule="exact"/>
                    <w:jc w:val="left"/>
                    <w:rPr>
                      <w:rFonts w:asciiTheme="minorEastAsia" w:hAnsiTheme="minorEastAsia" w:eastAsiaTheme="min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防渗</w:t>
                  </w:r>
                </w:p>
              </w:tc>
              <w:tc>
                <w:tcPr>
                  <w:tcW w:w="7500" w:type="dxa"/>
                  <w:gridSpan w:val="5"/>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危险废物暂存间</w:t>
                  </w:r>
                  <w:r>
                    <w:rPr>
                      <w:rFonts w:asciiTheme="minorEastAsia" w:hAnsiTheme="minorEastAsia" w:eastAsiaTheme="minorEastAsia"/>
                      <w:snapToGrid w:val="0"/>
                      <w:szCs w:val="21"/>
                    </w:rPr>
                    <w:t>地面及裙角采用C25混凝土，抗渗等级不低于P6，厚度不应小于100mm，采用2mm厚的高密度聚氯乙烯防渗材料或其他具有相同防渗能力的材料，渗透系数不大于10-10cm/s。</w:t>
                  </w:r>
                </w:p>
              </w:tc>
              <w:tc>
                <w:tcPr>
                  <w:tcW w:w="849"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新上</w:t>
                  </w:r>
                </w:p>
              </w:tc>
              <w:tc>
                <w:tcPr>
                  <w:tcW w:w="683" w:type="dxa"/>
                  <w:vAlign w:val="center"/>
                </w:tcPr>
                <w:p>
                  <w:pPr>
                    <w:widowControl/>
                    <w:adjustRightInd w:val="0"/>
                    <w:snapToGrid w:val="0"/>
                    <w:spacing w:line="300" w:lineRule="exact"/>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已落实</w:t>
                  </w:r>
                </w:p>
              </w:tc>
            </w:tr>
          </w:tbl>
          <w:p>
            <w:pPr>
              <w:pStyle w:val="17"/>
              <w:widowControl/>
              <w:snapToGrid w:val="0"/>
              <w:spacing w:line="360" w:lineRule="auto"/>
              <w:ind w:firstLine="480" w:firstLineChars="200"/>
              <w:rPr>
                <w:rFonts w:cs="Times New Roman" w:asciiTheme="minorEastAsia" w:hAnsiTheme="minorEastAsia" w:eastAsiaTheme="minorEastAsia"/>
                <w:snapToGrid w:val="0"/>
                <w:color w:val="auto"/>
                <w:kern w:val="2"/>
              </w:rPr>
            </w:pPr>
          </w:p>
          <w:bookmarkEnd w:id="7"/>
          <w:p>
            <w:pPr>
              <w:widowControl/>
              <w:adjustRightInd w:val="0"/>
              <w:snapToGrid w:val="0"/>
              <w:spacing w:line="360" w:lineRule="auto"/>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环境主管部门的批复：</w:t>
            </w:r>
          </w:p>
          <w:p>
            <w:pPr>
              <w:widowControl/>
              <w:adjustRightInd w:val="0"/>
              <w:snapToGrid w:val="0"/>
              <w:spacing w:line="360" w:lineRule="auto"/>
              <w:ind w:firstLine="480" w:firstLineChars="200"/>
              <w:jc w:val="right"/>
              <w:rPr>
                <w:rFonts w:asciiTheme="minorEastAsia" w:hAnsiTheme="minorEastAsia" w:eastAsiaTheme="minorEastAsia"/>
                <w:snapToGrid w:val="0"/>
                <w:sz w:val="24"/>
              </w:rPr>
            </w:pPr>
            <w:r>
              <w:rPr>
                <w:rFonts w:hint="eastAsia" w:asciiTheme="minorEastAsia" w:hAnsiTheme="minorEastAsia" w:eastAsiaTheme="minorEastAsia"/>
                <w:snapToGrid w:val="0"/>
                <w:sz w:val="24"/>
              </w:rPr>
              <w:t>秦环审表【2019】3号</w:t>
            </w:r>
          </w:p>
          <w:p>
            <w:pPr>
              <w:adjustRightInd w:val="0"/>
              <w:snapToGrid w:val="0"/>
              <w:spacing w:line="360" w:lineRule="auto"/>
              <w:ind w:firstLine="480" w:firstLineChars="200"/>
              <w:rPr>
                <w:rFonts w:ascii="宋体" w:hAnsi="宋体" w:cs="宋体"/>
                <w:sz w:val="24"/>
              </w:rPr>
            </w:pPr>
            <w:r>
              <w:rPr>
                <w:rFonts w:ascii="宋体" w:hAnsi="宋体" w:cs="宋体"/>
                <w:sz w:val="24"/>
              </w:rPr>
              <w:t>卢龙县铧宠铸造有限公司委托河北博鳌项目管理有限公司编制的《卢龙县锌宠铸造有限公司技术改造项目环境影响报告表》收悉。经研究,现批复如下</w:t>
            </w:r>
          </w:p>
          <w:p>
            <w:pPr>
              <w:adjustRightInd w:val="0"/>
              <w:snapToGrid w:val="0"/>
              <w:spacing w:line="360" w:lineRule="auto"/>
              <w:ind w:firstLine="480" w:firstLineChars="200"/>
              <w:rPr>
                <w:sz w:val="24"/>
              </w:rPr>
            </w:pPr>
            <w:r>
              <w:rPr>
                <w:rFonts w:ascii="宋体" w:hAnsi="宋体" w:cs="宋体"/>
                <w:sz w:val="24"/>
              </w:rPr>
              <w:t>项目内容及总体要求</w:t>
            </w:r>
          </w:p>
          <w:p>
            <w:pPr>
              <w:adjustRightInd w:val="0"/>
              <w:snapToGrid w:val="0"/>
              <w:spacing w:line="360" w:lineRule="auto"/>
              <w:ind w:firstLine="480" w:firstLineChars="200"/>
              <w:rPr>
                <w:sz w:val="24"/>
              </w:rPr>
            </w:pPr>
            <w:r>
              <w:rPr>
                <w:rFonts w:ascii="宋体" w:hAnsi="宋体" w:cs="宋体"/>
                <w:sz w:val="24"/>
              </w:rPr>
              <w:t>本项目为技改项目,位于卢龙县双望镇三分村卢龙县铧宠铸造有限公司厂区内不新增占地。本项目建成后,废旧钢铁经中频电炉熔化、浇铸、冷却、抛丸等工序,形成成品,项目对原生产线进行改造,使铸件更加精密,增加电加热炉3台、撞箱2台及除尘设备2套、有机废气治理设备1套、变压器1台,年产精密铸件5400吨</w:t>
            </w:r>
            <w:r>
              <w:rPr>
                <w:rFonts w:hint="eastAsia"/>
                <w:sz w:val="24"/>
              </w:rPr>
              <w:t>。</w:t>
            </w:r>
            <w:r>
              <w:rPr>
                <w:rFonts w:ascii="宋体" w:hAnsi="宋体" w:cs="宋体"/>
                <w:sz w:val="24"/>
              </w:rPr>
              <w:t>项目总投资660万元,其中环保投资57万元,占总投资的8.64%</w:t>
            </w:r>
            <w:r>
              <w:rPr>
                <w:rFonts w:hint="eastAsia"/>
                <w:sz w:val="24"/>
              </w:rPr>
              <w:t>。</w:t>
            </w:r>
            <w:r>
              <w:rPr>
                <w:rFonts w:ascii="宋体" w:hAnsi="宋体" w:cs="宋体"/>
                <w:sz w:val="24"/>
              </w:rPr>
              <w:t>项目己取得卢龙县工业和信息化局的企业投资项目备案信息(备案编号:卢工信技改备字[2018140号),该项目符合当前国家和河北省产业政策要求；项目建设基本符合《铸造行业准入条件》(2018年修订)；卢龙县城乡建设规划管理处出具了关于该项目用地情况的说明,用地性质为工业用地,符合《卢龙县双望镇控制性详细规划》该项目报告表已通过了建设单位组织的专家论证。结合各有关方面意见,在认真落实报告表提出的污染防治措施等相关要求前提下,工程建设对环境的不利影响能够得到减缓和控制。我局原则同意按照环境影响报告表中所列建设项目的内容、建设地点、规模和污染防治措施进行建设。</w:t>
            </w:r>
          </w:p>
          <w:p>
            <w:pPr>
              <w:adjustRightInd w:val="0"/>
              <w:snapToGrid w:val="0"/>
              <w:spacing w:line="360" w:lineRule="auto"/>
              <w:ind w:firstLine="480" w:firstLineChars="200"/>
              <w:rPr>
                <w:sz w:val="24"/>
              </w:rPr>
            </w:pPr>
            <w:r>
              <w:rPr>
                <w:rFonts w:ascii="宋体" w:hAnsi="宋体" w:cs="宋体"/>
                <w:sz w:val="24"/>
              </w:rPr>
              <w:t>二、卢龙县铧宠铸造有限公司要严格落实以下要求</w:t>
            </w:r>
          </w:p>
          <w:p>
            <w:pPr>
              <w:adjustRightInd w:val="0"/>
              <w:snapToGrid w:val="0"/>
              <w:spacing w:line="360" w:lineRule="auto"/>
              <w:ind w:firstLine="480" w:firstLineChars="200"/>
              <w:rPr>
                <w:sz w:val="24"/>
              </w:rPr>
            </w:pPr>
            <w:r>
              <w:rPr>
                <w:rFonts w:ascii="宋体" w:hAnsi="宋体" w:cs="宋体"/>
                <w:sz w:val="24"/>
              </w:rPr>
              <w:t>1、加强施工期环境管理,确保各项环保措施落实到位。建设单位要严格按照《中共秦皇岛市委秦皇岛市人民政府关于强力推进大气污染综合治理的实施意见》(秦发2017]5号)要求,严格执行《河北省建筑施工扬尘防治强化措施18条》,落实各项控制扬尘污染控制措施,减少扬尘对环境的影响,确保施工期各项污染物稳定达标排放；釆用低噪声施工机械,合理安排施工时间,施工阶段作业噪声要满足《建筑施工场界环境噪声排放标准》(GB12523-2011)的要求;建筑垃圾妥善处置；施工单位进行文明施工,减轻施工过程中对环境的影响。</w:t>
            </w:r>
          </w:p>
          <w:p>
            <w:pPr>
              <w:adjustRightInd w:val="0"/>
              <w:snapToGrid w:val="0"/>
              <w:spacing w:line="360" w:lineRule="auto"/>
              <w:ind w:firstLine="480" w:firstLineChars="200"/>
              <w:rPr>
                <w:sz w:val="24"/>
              </w:rPr>
            </w:pPr>
            <w:r>
              <w:rPr>
                <w:rFonts w:ascii="宋体" w:hAnsi="宋体" w:cs="宋体"/>
                <w:sz w:val="24"/>
              </w:rPr>
              <w:t>2、落实大气污染防治措施。中频电炉熔化废气,在中频电炉上方设置顶吸式集气罩,烟尘由集气罩收集经布袋除尘器(2台中频电炉一备一用,共用1套布袋除尘器)处理后经15高排气筒(P1)排放,污染物排放须满足《京津冀及周边2018-2019年秋冬李大气污染物综合治理攻坚行动方案》中18条“实施工业炉密深度治理”限值要求；造型及浇铸工序上方设置顶吸式集气罩,废气由集气罩收集后,共用1套“过滤棉+V光氧催化装置+活性炭吸附装置”处理后,经1根15m高排气筒(P2)排放,烧铸工序产生的颗粒物排放须满足《大气污染物综合排放标准》(GB16297-1996)表2中二级标准要求,造型与浇铸产生的有机废气非甲烷总烃排放须满足《工业企业挥发性有机物排放控制标准》(DB13/2322-2016)表1其他行业排放标准隈值要求；抛丸机产生的废气经自带的布袋除尘器处理后,与铸件脱离废气共用1套布袋除尘器处理后经15m高排气筒(P3)排放,颗粒物排放须满足《大气污染物综合排放标准》(GB16297-1996)表2中二级标准要求；项目厂房进行全封闭,地面硬化,设备设置在密闭的车间内,冷却区三面围挡,进出口设置苫布门帘,并配有喷淋设施,冷却区内废砂袋装,并用苫布覆盖,厂界无组织排放颗粒物须满足《工业炉窑大气污染物排放标准》(DB13/1640-2012)表3工业炉窑无组织排放颗粒物排放限值要求,无组织排放有机废气非甲烷总烃排放浓度须满足《工业企业挥发性有机物排放控制标准》(DB13/2322-2016)表2企业边界大气污染物浓度限值中其他企业限值要求。根据《关于加强重点工业源挥发性有机物排放在线监控工作的通知》(冀环办字函(20171544号)的要求,项目应在车间及厂界安装超标报警传感装置。</w:t>
            </w:r>
          </w:p>
          <w:p>
            <w:pPr>
              <w:adjustRightInd w:val="0"/>
              <w:snapToGrid w:val="0"/>
              <w:spacing w:line="360" w:lineRule="auto"/>
              <w:ind w:firstLine="480" w:firstLineChars="200"/>
              <w:rPr>
                <w:sz w:val="24"/>
              </w:rPr>
            </w:pPr>
            <w:r>
              <w:rPr>
                <w:rFonts w:ascii="宋体" w:hAnsi="宋体" w:cs="宋体"/>
                <w:sz w:val="24"/>
              </w:rPr>
              <w:t>3、项目冷却水循环使用,生活污水直接用于厂区内泼洒抑尘,无废水外排。</w:t>
            </w:r>
          </w:p>
          <w:p>
            <w:pPr>
              <w:adjustRightInd w:val="0"/>
              <w:snapToGrid w:val="0"/>
              <w:spacing w:line="360" w:lineRule="auto"/>
              <w:ind w:firstLine="480" w:firstLineChars="200"/>
              <w:rPr>
                <w:sz w:val="24"/>
              </w:rPr>
            </w:pPr>
            <w:r>
              <w:rPr>
                <w:rFonts w:ascii="宋体" w:hAnsi="宋体" w:cs="宋体"/>
                <w:sz w:val="24"/>
              </w:rPr>
              <w:t>4、严格落实噪声污染防治措施。项目釆用低噪声设备,设备加装减振基础,生产设备置于车间内利用建筑隔声,东、西、北厂界环境噪声须满足《工业企业厂界环境噪声排放标准》(GB12348-2008)2类标准要求、南厂界须满足4类标准要求。</w:t>
            </w:r>
          </w:p>
          <w:p>
            <w:pPr>
              <w:adjustRightInd w:val="0"/>
              <w:snapToGrid w:val="0"/>
              <w:spacing w:line="360" w:lineRule="auto"/>
              <w:ind w:firstLine="480" w:firstLineChars="200"/>
              <w:rPr>
                <w:sz w:val="24"/>
              </w:rPr>
            </w:pPr>
            <w:r>
              <w:rPr>
                <w:rFonts w:ascii="宋体" w:hAnsi="宋体" w:cs="宋体"/>
                <w:sz w:val="24"/>
              </w:rPr>
              <w:t>5、落实好固体废物的收集、处置措施。按照“资源化、减量化、无害化”的固废处置原则进行处置。冷却脱壳和浇铸工序产生的废覆膜砂,在自然冷却区暂存,由生产厂家回收；中频电炉产生的废石英砂由生产厂家回收；除尘器收集的除尘灰和抛丸工序产生的铁砂混合物外售废铁收购站；职工生活垃圾收集后送至环卫部门指定地点统一处理；过滤棉+V光氧催化装置中废过滤棉、废催化剂,活性炭吸附装置中的废活性炭属于危险废物,盛放于专用密封容器内,置于危废暂存间内,定期委托有资质单位处置,项目利用厂区内原有厂房改造为危险废物专用暂存间,危险废物暂存间建设须满足《危险废物储存污染控制标准》(GB18597-20011及修改单要求。</w:t>
            </w:r>
          </w:p>
          <w:p>
            <w:pPr>
              <w:adjustRightInd w:val="0"/>
              <w:snapToGrid w:val="0"/>
              <w:spacing w:line="360" w:lineRule="auto"/>
              <w:ind w:firstLine="480" w:firstLineChars="200"/>
              <w:rPr>
                <w:sz w:val="24"/>
              </w:rPr>
            </w:pPr>
            <w:r>
              <w:rPr>
                <w:rFonts w:ascii="宋体" w:hAnsi="宋体" w:cs="宋体"/>
                <w:sz w:val="24"/>
              </w:rPr>
              <w:t>6、认真落实《报告表》中规定的污染防治措施和清洁生产要求,企业须按照国家排污许可证发放程序和规定,办理排污许可证手续。</w:t>
            </w:r>
          </w:p>
          <w:p>
            <w:pPr>
              <w:adjustRightInd w:val="0"/>
              <w:snapToGrid w:val="0"/>
              <w:spacing w:line="360" w:lineRule="auto"/>
              <w:ind w:firstLine="480" w:firstLineChars="200"/>
              <w:rPr>
                <w:sz w:val="24"/>
              </w:rPr>
            </w:pPr>
            <w:r>
              <w:rPr>
                <w:rFonts w:ascii="宋体" w:hAnsi="宋体" w:cs="宋体"/>
                <w:sz w:val="24"/>
              </w:rPr>
              <w:t>7、落实《报告表》其他环境管理要求。</w:t>
            </w:r>
          </w:p>
          <w:p>
            <w:pPr>
              <w:adjustRightInd w:val="0"/>
              <w:snapToGrid w:val="0"/>
              <w:spacing w:line="360" w:lineRule="auto"/>
              <w:ind w:firstLine="480" w:firstLineChars="200"/>
              <w:rPr>
                <w:sz w:val="24"/>
              </w:rPr>
            </w:pPr>
            <w:r>
              <w:rPr>
                <w:rFonts w:ascii="宋体" w:hAnsi="宋体" w:cs="宋体"/>
                <w:sz w:val="24"/>
              </w:rPr>
              <w:t>三、项目建设必须严格执行配套建设的环境保护设施与主体工程同时设计,同时施工、同时投入使用的环境保护“三同时”制度。项目竣工后,须按规定程序组织环境保护验收,验收合格后,方可正式投入使用;未经验收或者验收不合格的,不得投入生产或者使用。本项目环境影响评价文件经批准后,如设计和施工变化造成工程性质、规模、工艺、防治污染的措施发生重大变动的,应当在调整前重新报批本项目环境影响评价文件。</w:t>
            </w:r>
          </w:p>
          <w:p>
            <w:pPr>
              <w:adjustRightInd w:val="0"/>
              <w:snapToGrid w:val="0"/>
              <w:spacing w:line="360" w:lineRule="auto"/>
              <w:ind w:firstLine="480" w:firstLineChars="200"/>
              <w:rPr>
                <w:sz w:val="24"/>
              </w:rPr>
            </w:pPr>
            <w:r>
              <w:rPr>
                <w:rFonts w:ascii="宋体" w:hAnsi="宋体" w:cs="宋体"/>
                <w:sz w:val="24"/>
              </w:rPr>
              <w:t>四、你单位在接到本批复后的10个工作日内,须将环评报告表及其批复送秦皇岛市生态环境局卢龙县分局等相关部门,日常监督管理由卢龙县分局负责,并按规定接受各级生态环境主管部门的监督检查建设单位须定期向卢龙县分局报告“三同时”完成情况。</w:t>
            </w: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p>
          <w:p>
            <w:pPr>
              <w:widowControl/>
              <w:adjustRightInd w:val="0"/>
              <w:snapToGrid w:val="0"/>
              <w:spacing w:line="360" w:lineRule="auto"/>
              <w:ind w:firstLine="480" w:firstLineChars="200"/>
              <w:jc w:val="left"/>
              <w:rPr>
                <w:rFonts w:asciiTheme="minorEastAsia" w:hAnsiTheme="minorEastAsia" w:eastAsiaTheme="minorEastAsia"/>
                <w:snapToGrid w:val="0"/>
                <w:sz w:val="24"/>
              </w:rPr>
            </w:pPr>
          </w:p>
          <w:p>
            <w:pPr>
              <w:widowControl/>
              <w:adjustRightInd w:val="0"/>
              <w:snapToGrid w:val="0"/>
              <w:spacing w:line="360" w:lineRule="auto"/>
              <w:ind w:right="120" w:firstLine="480" w:firstLineChars="200"/>
              <w:jc w:val="right"/>
              <w:rPr>
                <w:rFonts w:asciiTheme="minorEastAsia" w:hAnsiTheme="minorEastAsia" w:eastAsiaTheme="minorEastAsia"/>
                <w:snapToGrid w:val="0"/>
                <w:sz w:val="24"/>
              </w:rPr>
            </w:pPr>
            <w:r>
              <w:rPr>
                <w:rFonts w:hint="eastAsia" w:asciiTheme="minorEastAsia" w:hAnsiTheme="minorEastAsia" w:eastAsiaTheme="minorEastAsia"/>
                <w:snapToGrid w:val="0"/>
                <w:sz w:val="24"/>
              </w:rPr>
              <w:t>2019年2月21日</w:t>
            </w:r>
          </w:p>
          <w:p>
            <w:pPr>
              <w:widowControl/>
              <w:adjustRightInd w:val="0"/>
              <w:snapToGrid w:val="0"/>
              <w:spacing w:line="480" w:lineRule="exact"/>
              <w:jc w:val="left"/>
              <w:rPr>
                <w:rFonts w:asciiTheme="minorEastAsia" w:hAnsiTheme="minorEastAsia" w:eastAsiaTheme="minorEastAsia"/>
                <w:snapToGrid w:val="0"/>
                <w:sz w:val="24"/>
              </w:rPr>
            </w:pPr>
          </w:p>
          <w:p>
            <w:pPr>
              <w:widowControl/>
              <w:adjustRightInd w:val="0"/>
              <w:snapToGrid w:val="0"/>
              <w:spacing w:line="480" w:lineRule="exact"/>
              <w:ind w:firstLine="480" w:firstLineChars="200"/>
              <w:jc w:val="left"/>
              <w:rPr>
                <w:rFonts w:asciiTheme="minorEastAsia" w:hAnsiTheme="minorEastAsia" w:eastAsiaTheme="minorEastAsia"/>
                <w:snapToGrid w:val="0"/>
                <w:sz w:val="24"/>
              </w:rPr>
            </w:pPr>
            <w:r>
              <w:rPr>
                <w:rFonts w:asciiTheme="minorEastAsia" w:hAnsiTheme="minorEastAsia" w:eastAsiaTheme="minorEastAsia"/>
                <w:snapToGrid w:val="0"/>
                <w:sz w:val="24"/>
              </w:rPr>
              <w:t>环评审批意见落实情况</w:t>
            </w:r>
          </w:p>
          <w:tbl>
            <w:tblPr>
              <w:tblStyle w:val="12"/>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35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asciiTheme="minorEastAsia" w:hAnsiTheme="minorEastAsia" w:eastAsiaTheme="minorEastAsia"/>
                      <w:snapToGrid w:val="0"/>
                      <w:szCs w:val="21"/>
                    </w:rPr>
                    <w:t>序号</w:t>
                  </w:r>
                </w:p>
              </w:tc>
              <w:tc>
                <w:tcPr>
                  <w:tcW w:w="8358" w:type="dxa"/>
                  <w:vAlign w:val="center"/>
                </w:tcPr>
                <w:p>
                  <w:pPr>
                    <w:widowControl/>
                    <w:adjustRightInd w:val="0"/>
                    <w:snapToGrid w:val="0"/>
                    <w:jc w:val="left"/>
                    <w:rPr>
                      <w:rFonts w:asciiTheme="minorEastAsia" w:hAnsiTheme="minorEastAsia" w:eastAsiaTheme="minorEastAsia"/>
                      <w:snapToGrid w:val="0"/>
                      <w:szCs w:val="21"/>
                    </w:rPr>
                  </w:pPr>
                  <w:r>
                    <w:rPr>
                      <w:rFonts w:asciiTheme="minorEastAsia" w:hAnsiTheme="minorEastAsia" w:eastAsiaTheme="minorEastAsia"/>
                      <w:snapToGrid w:val="0"/>
                      <w:szCs w:val="21"/>
                    </w:rPr>
                    <w:t>审批意见内容</w:t>
                  </w:r>
                </w:p>
              </w:tc>
              <w:tc>
                <w:tcPr>
                  <w:tcW w:w="749" w:type="dxa"/>
                  <w:vAlign w:val="center"/>
                </w:tcPr>
                <w:p>
                  <w:pPr>
                    <w:widowControl/>
                    <w:adjustRightInd w:val="0"/>
                    <w:snapToGrid w:val="0"/>
                    <w:jc w:val="left"/>
                    <w:rPr>
                      <w:rFonts w:asciiTheme="minorEastAsia" w:hAnsiTheme="minorEastAsia" w:eastAsiaTheme="minorEastAsia"/>
                      <w:snapToGrid w:val="0"/>
                      <w:szCs w:val="21"/>
                    </w:rPr>
                  </w:pPr>
                  <w:r>
                    <w:rPr>
                      <w:rFonts w:asciiTheme="minorEastAsia" w:hAnsiTheme="minorEastAsia" w:eastAsiaTheme="minorEastAsia"/>
                      <w:snapToGrid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1</w:t>
                  </w:r>
                </w:p>
              </w:tc>
              <w:tc>
                <w:tcPr>
                  <w:tcW w:w="8358" w:type="dxa"/>
                  <w:vAlign w:val="center"/>
                </w:tcPr>
                <w:p>
                  <w:pPr>
                    <w:widowControl/>
                    <w:adjustRightInd w:val="0"/>
                    <w:snapToGrid w:val="0"/>
                    <w:jc w:val="left"/>
                    <w:rPr>
                      <w:rFonts w:asciiTheme="minorEastAsia" w:hAnsiTheme="minorEastAsia" w:eastAsiaTheme="minorEastAsia"/>
                      <w:snapToGrid w:val="0"/>
                      <w:szCs w:val="21"/>
                    </w:rPr>
                  </w:pPr>
                  <w:r>
                    <w:rPr>
                      <w:rFonts w:cs="宋体" w:asciiTheme="minorEastAsia" w:hAnsiTheme="minorEastAsia" w:eastAsiaTheme="minorEastAsia"/>
                      <w:szCs w:val="21"/>
                    </w:rPr>
                    <w:t>本项目为技改项目,位于卢龙县双望镇三分村卢龙县铧宠铸造有限公司厂区内不新增占地。本项目建成后,废旧钢铁经中频电炉熔化、浇铸、冷却、抛丸等工序,形成成品,项目对原生产线进行改造,使铸件更加精密,增加电加热炉3台、撞箱2台及除尘设备2套、有机废气治理设备1套、变压器1台,年产精密铸件5400吨</w:t>
                  </w:r>
                  <w:r>
                    <w:rPr>
                      <w:rFonts w:hint="eastAsia" w:cs="宋体" w:asciiTheme="minorEastAsia" w:hAnsiTheme="minorEastAsia" w:eastAsiaTheme="minorEastAsia"/>
                      <w:szCs w:val="21"/>
                    </w:rPr>
                    <w:t>。</w:t>
                  </w:r>
                  <w:r>
                    <w:rPr>
                      <w:rFonts w:cs="宋体" w:asciiTheme="minorEastAsia" w:hAnsiTheme="minorEastAsia" w:eastAsiaTheme="minorEastAsia"/>
                      <w:szCs w:val="21"/>
                    </w:rPr>
                    <w:t>项目总投资660万元,其中环保投资57万元,占总投资的8.64%</w:t>
                  </w:r>
                  <w:r>
                    <w:rPr>
                      <w:rFonts w:hint="eastAsia" w:cs="宋体" w:asciiTheme="minorEastAsia" w:hAnsiTheme="minorEastAsia" w:eastAsiaTheme="minorEastAsia"/>
                      <w:szCs w:val="21"/>
                    </w:rPr>
                    <w:t>。</w:t>
                  </w:r>
                  <w:r>
                    <w:rPr>
                      <w:rFonts w:cs="宋体" w:asciiTheme="minorEastAsia" w:hAnsiTheme="minorEastAsia" w:eastAsiaTheme="minorEastAsia"/>
                      <w:szCs w:val="21"/>
                    </w:rPr>
                    <w:t>项目己取得卢龙县工业和信息化局的企业投资项目备案信息(备案编号:卢工信技改备字[2018140号),该项目符合当前国家和河北省产业政策要求；项目建设基本符合《铸造行业准入条件》(2018年修订)；卢龙县城乡建设规划管理处出具了关于该项目用地情况的说明,用地性质为工业用地,符合《卢龙县双望镇控制性详细规划》该项目报告表已通过了建设单位组织的专家论证。结合各有关方面意见,在认真落实报告表提出的污染防治措施等相关要求前提下,工程建设对环境的不利影响能够得到减缓和控制。我局原则同意按照环境影响报告表中所列建设项目的内容、建设地点、规模和污染防治措施进行建设。</w:t>
                  </w:r>
                </w:p>
              </w:tc>
              <w:tc>
                <w:tcPr>
                  <w:tcW w:w="749" w:type="dxa"/>
                  <w:vAlign w:val="center"/>
                </w:tcPr>
                <w:p>
                  <w:pPr>
                    <w:widowControl/>
                    <w:adjustRightInd w:val="0"/>
                    <w:snapToGrid w:val="0"/>
                    <w:jc w:val="left"/>
                    <w:rPr>
                      <w:rFonts w:asciiTheme="minorEastAsia" w:hAnsiTheme="minorEastAsia" w:eastAsiaTheme="minorEastAsia"/>
                      <w:snapToGrid w:val="0"/>
                      <w:szCs w:val="21"/>
                    </w:rPr>
                  </w:pPr>
                  <w:r>
                    <w:rPr>
                      <w:rFonts w:cs="宋体" w:asciiTheme="minorEastAsia" w:hAnsiTheme="minorEastAsia" w:eastAsiaTheme="minorEastAsia"/>
                      <w:szCs w:val="21"/>
                    </w:rPr>
                    <w:t>撞箱及除尘设备各</w:t>
                  </w:r>
                  <w:r>
                    <w:rPr>
                      <w:rFonts w:hint="eastAsia" w:cs="宋体" w:asciiTheme="minorEastAsia" w:hAnsiTheme="minorEastAsia" w:eastAsiaTheme="minorEastAsia"/>
                      <w:szCs w:val="21"/>
                    </w:rPr>
                    <w:t>1台，其余内容一致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2</w:t>
                  </w:r>
                </w:p>
              </w:tc>
              <w:tc>
                <w:tcPr>
                  <w:tcW w:w="8358" w:type="dxa"/>
                  <w:vAlign w:val="center"/>
                </w:tcPr>
                <w:p>
                  <w:pPr>
                    <w:widowControl/>
                    <w:adjustRightInd w:val="0"/>
                    <w:snapToGrid w:val="0"/>
                    <w:jc w:val="left"/>
                    <w:rPr>
                      <w:rFonts w:asciiTheme="minorEastAsia" w:hAnsiTheme="minorEastAsia" w:eastAsiaTheme="minorEastAsia"/>
                      <w:snapToGrid w:val="0"/>
                      <w:szCs w:val="21"/>
                    </w:rPr>
                  </w:pPr>
                  <w:r>
                    <w:rPr>
                      <w:rFonts w:cs="宋体" w:asciiTheme="minorEastAsia" w:hAnsiTheme="minorEastAsia" w:eastAsiaTheme="minorEastAsia"/>
                      <w:szCs w:val="21"/>
                    </w:rPr>
                    <w:t>中频电炉熔化废气,在中频电炉上方设置顶吸式集气罩,烟尘由集气罩收集经布袋除尘器(2台中频电炉一备一用,共用1套布袋除尘器)处理后经15高排气筒(P1)排放,污染物排放须满足《京津冀及周边2018-2019年秋冬李大气污染物综合治理攻坚行动方案》中18条“实施工业炉密深度治理”限值要求</w:t>
                  </w:r>
                </w:p>
              </w:tc>
              <w:tc>
                <w:tcPr>
                  <w:tcW w:w="749" w:type="dxa"/>
                </w:tcPr>
                <w:p>
                  <w:r>
                    <w:rPr>
                      <w:rFonts w:hint="eastAsia" w:ascii="宋体" w:hAnsi="宋体" w:cs="宋体"/>
                      <w:sz w:val="24"/>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3</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造型及浇铸工序上方设置顶吸式集气罩,废气由集气罩收集后,共用1套“过滤棉+V光氧催化装置+活性炭吸附装置”处理后,经1根15m高排气筒(P2)排放,浇铸工序产生的颗粒物排放须满足《大气污染物综合排放标准》(GB16297-1996)表2中二级标准要求,造型与浇铸产生的有机废气非甲烷总烃排放须满足《工业企业挥发性有机物排放控制标准》(DB13/2322-2016)表1其他行业排放标准隈值要求</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4</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抛丸机产生的废气经自带的布袋除尘器处理后,与铸件脱离废气共用1套布袋除尘器处理后经15m高排气筒(P3)排放,颗粒物排放须满足《大气污染物综合排放标准》(GB16297-1996)表2中二级标准要求</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5</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厂房进行全封闭,地面硬化,设备设置在密闭的车间内,冷却区三面围挡,进出口设置苫布门帘,并配有喷淋设施,冷却区内废砂袋装,并用苫布覆盖,厂界无组织排放颗粒物须满足《工业炉窑大气污染物排放标准》(DB13/1640-2012)表3工业炉窑无组织排放颗粒物排放限值要求,无组织排放有机废气非甲烷总烃排放浓度须满足《工业企业挥发性有机物排放控制标准》(DB13/2322-2016)表2企业边界大气污染物浓度限值中其他企业限值要求</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6</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根据《关于加强重点工业源挥发性有机物排放在线监控工作的通知》(冀环办字函(20171544号)的要求,项目应在车间及厂界安装超标报警传感装置</w:t>
                  </w:r>
                </w:p>
              </w:tc>
              <w:tc>
                <w:tcPr>
                  <w:tcW w:w="749" w:type="dxa"/>
                  <w:vAlign w:val="center"/>
                </w:tcPr>
                <w:p>
                  <w:pPr>
                    <w:widowControl/>
                    <w:adjustRightInd w:val="0"/>
                    <w:snapToGrid w:val="0"/>
                    <w:jc w:val="left"/>
                    <w:rPr>
                      <w:rFonts w:cs="宋体" w:asciiTheme="minorEastAsia" w:hAnsiTheme="minorEastAsia" w:eastAsiaTheme="minorEastAsia"/>
                      <w:szCs w:val="21"/>
                    </w:rPr>
                  </w:pPr>
                  <w:r>
                    <w:rPr>
                      <w:rFonts w:hint="eastAsia" w:cs="宋体" w:asciiTheme="minorEastAsia" w:hAnsiTheme="minorEastAsia" w:eastAsiaTheme="minorEastAsia"/>
                      <w:szCs w:val="21"/>
                    </w:rPr>
                    <w:t>车间门口安装1台</w:t>
                  </w:r>
                  <w:r>
                    <w:rPr>
                      <w:rFonts w:cs="宋体" w:asciiTheme="minorEastAsia" w:hAnsiTheme="minorEastAsia" w:eastAsiaTheme="minorEastAsia"/>
                      <w:szCs w:val="21"/>
                    </w:rPr>
                    <w:t>超标报警传感装置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7</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冷却水循环使用,生活污水直接用于厂区内泼洒抑尘,无废水外排。</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8</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釆用低噪声设备,设备加装减振基础,生产设备置于车间内利用建筑隔声,东、西、北厂界环境噪声须满足《工业企业厂界环境噪声排放标准》(GB12348-2008)2类标准要求、南厂界须满足4类标准要求</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8"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9</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落实好固体废物的收集、处置措施。按照“资源化、减量化、无害化”的固废处置原则进行处置。冷却脱壳和浇铸工序产生的废覆膜砂,在自然冷却区暂存,由生产厂家回收；中频电炉产生的废石英砂由生产厂家回收；除尘器收集的除尘灰和抛丸工序产生的铁砂混合物外售废铁收购站；职工生活垃圾收集后送至环卫部门指定地点统一处理；过滤棉+V光氧催化装置中废过滤棉、废催化剂,活性炭吸附装置中的废活性炭属于危险废物,盛放于专用密封容器内,置于危废暂存间内,定期委托有资质单位处置,项目利用厂区内原有厂房改造为危险废物专用暂存间,危险废物暂存间建设须满足《危险废物储存污染控制标准》(GB18597-20011及修改单要求。</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10</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认真落实《报告表》中规定的污染防治措施和清洁生产要求,企业须按照国家排污许可证发放程序和规定,办理排污许可证手续</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07" w:type="dxa"/>
                  <w:vAlign w:val="center"/>
                </w:tcPr>
                <w:p>
                  <w:pPr>
                    <w:widowControl/>
                    <w:adjustRightInd w:val="0"/>
                    <w:snapToGrid w:val="0"/>
                    <w:jc w:val="lef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11</w:t>
                  </w:r>
                </w:p>
              </w:tc>
              <w:tc>
                <w:tcPr>
                  <w:tcW w:w="8358" w:type="dxa"/>
                  <w:vAlign w:val="center"/>
                </w:tcPr>
                <w:p>
                  <w:pPr>
                    <w:widowControl/>
                    <w:adjustRightInd w:val="0"/>
                    <w:snapToGrid w:val="0"/>
                    <w:jc w:val="left"/>
                    <w:rPr>
                      <w:rFonts w:cs="宋体" w:asciiTheme="minorEastAsia" w:hAnsiTheme="minorEastAsia" w:eastAsiaTheme="minorEastAsia"/>
                      <w:szCs w:val="21"/>
                    </w:rPr>
                  </w:pPr>
                  <w:r>
                    <w:rPr>
                      <w:rFonts w:cs="宋体" w:asciiTheme="minorEastAsia" w:hAnsiTheme="minorEastAsia" w:eastAsiaTheme="minorEastAsia"/>
                      <w:szCs w:val="21"/>
                    </w:rPr>
                    <w:t>落实《报告表》其他环境管理要求</w:t>
                  </w:r>
                </w:p>
              </w:tc>
              <w:tc>
                <w:tcPr>
                  <w:tcW w:w="749"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一致</w:t>
                  </w:r>
                </w:p>
              </w:tc>
            </w:tr>
          </w:tbl>
          <w:p>
            <w:pPr>
              <w:widowControl/>
              <w:adjustRightInd w:val="0"/>
              <w:snapToGrid w:val="0"/>
              <w:spacing w:line="480" w:lineRule="exact"/>
              <w:ind w:firstLine="480" w:firstLineChars="200"/>
              <w:jc w:val="left"/>
              <w:rPr>
                <w:rFonts w:asciiTheme="minorEastAsia" w:hAnsiTheme="minorEastAsia" w:eastAsiaTheme="minorEastAsia"/>
                <w:snapToGrid w:val="0"/>
                <w:sz w:val="24"/>
              </w:rPr>
            </w:pPr>
          </w:p>
        </w:tc>
      </w:tr>
    </w:tbl>
    <w:p>
      <w:pPr>
        <w:pStyle w:val="17"/>
        <w:spacing w:line="360" w:lineRule="auto"/>
        <w:rPr>
          <w:rFonts w:ascii="宋体" w:hAnsi="宋体" w:eastAsia="宋体"/>
          <w:b/>
        </w:rPr>
      </w:pPr>
    </w:p>
    <w:p>
      <w:pPr>
        <w:pStyle w:val="17"/>
        <w:spacing w:line="360" w:lineRule="auto"/>
        <w:rPr>
          <w:rFonts w:ascii="宋体" w:hAnsi="宋体" w:eastAsia="宋体"/>
          <w:b/>
        </w:rPr>
      </w:pPr>
      <w:r>
        <w:rPr>
          <w:rFonts w:ascii="宋体" w:hAnsi="宋体" w:eastAsia="宋体"/>
          <w:b/>
        </w:rPr>
        <w:t>表五</w:t>
      </w:r>
    </w:p>
    <w:tbl>
      <w:tblPr>
        <w:tblStyle w:val="13"/>
        <w:tblW w:w="971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712" w:type="dxa"/>
            <w:vAlign w:val="center"/>
          </w:tcPr>
          <w:p>
            <w:pPr>
              <w:spacing w:line="360" w:lineRule="auto"/>
              <w:rPr>
                <w:rFonts w:ascii="宋体" w:hAnsi="宋体"/>
                <w:b/>
                <w:bCs/>
                <w:color w:val="000000"/>
                <w:sz w:val="24"/>
              </w:rPr>
            </w:pPr>
            <w:r>
              <w:rPr>
                <w:rFonts w:ascii="宋体" w:hAnsi="宋体"/>
                <w:b/>
                <w:bCs/>
                <w:color w:val="000000"/>
                <w:sz w:val="24"/>
              </w:rPr>
              <w:t>验收监测</w:t>
            </w:r>
            <w:r>
              <w:rPr>
                <w:rFonts w:ascii="宋体" w:hAnsi="宋体"/>
                <w:b/>
                <w:bCs/>
                <w:sz w:val="24"/>
              </w:rPr>
              <w:t>质量</w:t>
            </w:r>
            <w:r>
              <w:rPr>
                <w:rFonts w:ascii="宋体" w:hAnsi="宋体"/>
                <w:b/>
                <w:bCs/>
                <w:color w:val="000000"/>
                <w:sz w:val="24"/>
              </w:rPr>
              <w:t>保证及质量控制：</w:t>
            </w:r>
          </w:p>
          <w:p>
            <w:pPr>
              <w:adjustRightInd w:val="0"/>
              <w:snapToGrid w:val="0"/>
              <w:spacing w:line="360" w:lineRule="auto"/>
              <w:ind w:firstLine="480" w:firstLineChars="200"/>
              <w:rPr>
                <w:rFonts w:ascii="宋体" w:hAnsi="宋体"/>
                <w:sz w:val="24"/>
              </w:rPr>
            </w:pPr>
            <w:r>
              <w:rPr>
                <w:rFonts w:hint="eastAsia" w:ascii="宋体" w:hAnsi="宋体"/>
                <w:sz w:val="24"/>
              </w:rPr>
              <w:t>秦皇岛清宸环境检测技术有限公司于2019年5月21日至24日进行了竣工验收检测并出具检测报告（如附件）。监测期间，本项目主体工程及环保设施正常运行，满足环保验收检测技术要求。</w:t>
            </w:r>
          </w:p>
          <w:p>
            <w:pPr>
              <w:adjustRightInd w:val="0"/>
              <w:snapToGrid w:val="0"/>
              <w:spacing w:line="360" w:lineRule="auto"/>
              <w:ind w:firstLine="480" w:firstLineChars="200"/>
              <w:rPr>
                <w:rFonts w:ascii="宋体" w:hAnsi="宋体"/>
                <w:sz w:val="24"/>
              </w:rPr>
            </w:pPr>
            <w:r>
              <w:rPr>
                <w:rFonts w:hint="eastAsia" w:ascii="宋体" w:hAnsi="宋体"/>
                <w:sz w:val="24"/>
              </w:rPr>
              <w:t>质量保证体系</w:t>
            </w:r>
          </w:p>
          <w:p>
            <w:pPr>
              <w:adjustRightInd w:val="0"/>
              <w:snapToGrid w:val="0"/>
              <w:spacing w:line="360" w:lineRule="auto"/>
              <w:ind w:firstLine="480" w:firstLineChars="200"/>
              <w:rPr>
                <w:rFonts w:ascii="宋体" w:hAnsi="宋体"/>
                <w:sz w:val="24"/>
              </w:rPr>
            </w:pPr>
            <w:r>
              <w:rPr>
                <w:rFonts w:hint="eastAsia" w:ascii="宋体" w:hAnsi="宋体"/>
                <w:sz w:val="24"/>
              </w:rPr>
              <w:t>（1）严格按照《环境监测技术规范》和有关环境检测质量保证的要求进行样品采集、保存、分析等，全程进行质量控制。</w:t>
            </w:r>
          </w:p>
          <w:p>
            <w:pPr>
              <w:adjustRightInd w:val="0"/>
              <w:snapToGrid w:val="0"/>
              <w:spacing w:line="360" w:lineRule="auto"/>
              <w:ind w:firstLine="480" w:firstLineChars="200"/>
              <w:rPr>
                <w:rFonts w:ascii="宋体" w:hAnsi="宋体"/>
                <w:sz w:val="24"/>
              </w:rPr>
            </w:pPr>
            <w:r>
              <w:rPr>
                <w:rFonts w:hint="eastAsia" w:ascii="宋体" w:hAnsi="宋体"/>
                <w:sz w:val="24"/>
              </w:rPr>
              <w:t>（2）参加本项目检测人员均持证上岗，检测仪器均经计量部门检定合格并在有效期内。</w:t>
            </w:r>
          </w:p>
          <w:p>
            <w:pPr>
              <w:adjustRightInd w:val="0"/>
              <w:snapToGrid w:val="0"/>
              <w:spacing w:line="360" w:lineRule="auto"/>
              <w:ind w:firstLine="480" w:firstLineChars="200"/>
              <w:rPr>
                <w:rFonts w:ascii="宋体" w:hAnsi="宋体"/>
                <w:sz w:val="24"/>
              </w:rPr>
            </w:pPr>
            <w:r>
              <w:rPr>
                <w:rFonts w:hint="eastAsia" w:ascii="宋体" w:hAnsi="宋体"/>
                <w:sz w:val="24"/>
              </w:rPr>
              <w:t>（3）废气采样前对仪器流量计进行校准，并检查气密性；采样和分析过程严格按照HJ/T55-2000《大气污染物无组织排放监测技术导则》和《空气和废气监测分析方法》（第四版）进行。</w:t>
            </w:r>
          </w:p>
          <w:p>
            <w:pPr>
              <w:adjustRightInd w:val="0"/>
              <w:snapToGrid w:val="0"/>
              <w:spacing w:line="360" w:lineRule="auto"/>
              <w:ind w:firstLine="480" w:firstLineChars="200"/>
              <w:rPr>
                <w:rFonts w:ascii="宋体" w:hAnsi="宋体"/>
                <w:sz w:val="24"/>
              </w:rPr>
            </w:pPr>
            <w:r>
              <w:rPr>
                <w:rFonts w:hint="eastAsia" w:ascii="宋体" w:hAnsi="宋体"/>
                <w:sz w:val="24"/>
              </w:rPr>
              <w:t>（4）声级计测量前后均经标准声源校准且合格，测试时无雨雪，无雷电，风速小于 5.0m/s。</w:t>
            </w:r>
          </w:p>
          <w:p>
            <w:pPr>
              <w:pStyle w:val="29"/>
              <w:adjustRightInd w:val="0"/>
              <w:snapToGrid w:val="0"/>
              <w:spacing w:line="360" w:lineRule="auto"/>
              <w:ind w:firstLine="480"/>
              <w:rPr>
                <w:rFonts w:ascii="宋体" w:hAnsi="宋体"/>
                <w:color w:val="000000"/>
                <w:sz w:val="24"/>
                <w:szCs w:val="24"/>
              </w:rPr>
            </w:pPr>
            <w:r>
              <w:rPr>
                <w:rFonts w:hint="eastAsia" w:ascii="宋体" w:hAnsi="宋体"/>
                <w:sz w:val="24"/>
                <w:szCs w:val="24"/>
              </w:rPr>
              <w:t>（5）检测数据严格执行三级审核制度。</w:t>
            </w: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tc>
      </w:tr>
    </w:tbl>
    <w:p>
      <w:pPr>
        <w:spacing w:line="360" w:lineRule="auto"/>
        <w:rPr>
          <w:rFonts w:ascii="宋体" w:hAnsi="宋体"/>
          <w:b/>
          <w:color w:val="000000"/>
          <w:sz w:val="24"/>
        </w:rPr>
      </w:pPr>
      <w:r>
        <w:rPr>
          <w:rFonts w:ascii="宋体" w:hAnsi="宋体"/>
          <w:b/>
          <w:color w:val="000000"/>
          <w:sz w:val="24"/>
        </w:rPr>
        <w:t>表六</w:t>
      </w:r>
    </w:p>
    <w:tbl>
      <w:tblPr>
        <w:tblStyle w:val="13"/>
        <w:tblW w:w="971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712" w:type="dxa"/>
            <w:vAlign w:val="center"/>
          </w:tcPr>
          <w:p>
            <w:pPr>
              <w:spacing w:line="360" w:lineRule="auto"/>
              <w:rPr>
                <w:rFonts w:ascii="宋体" w:hAnsi="宋体"/>
                <w:b/>
                <w:bCs/>
                <w:color w:val="000000"/>
                <w:sz w:val="24"/>
              </w:rPr>
            </w:pPr>
            <w:r>
              <w:rPr>
                <w:rFonts w:ascii="宋体" w:hAnsi="宋体"/>
                <w:b/>
                <w:bCs/>
                <w:color w:val="000000"/>
                <w:sz w:val="24"/>
              </w:rPr>
              <w:t>验收</w:t>
            </w:r>
            <w:r>
              <w:rPr>
                <w:rFonts w:ascii="宋体" w:hAnsi="宋体"/>
                <w:b/>
                <w:bCs/>
                <w:sz w:val="24"/>
              </w:rPr>
              <w:t>监测</w:t>
            </w:r>
            <w:r>
              <w:rPr>
                <w:rFonts w:ascii="宋体" w:hAnsi="宋体"/>
                <w:b/>
                <w:bCs/>
                <w:color w:val="000000"/>
                <w:sz w:val="24"/>
              </w:rPr>
              <w:t>内容：</w:t>
            </w:r>
          </w:p>
          <w:p>
            <w:pPr>
              <w:spacing w:line="360" w:lineRule="auto"/>
              <w:ind w:firstLine="480" w:firstLineChars="200"/>
              <w:rPr>
                <w:rFonts w:ascii="宋体" w:hAnsi="宋体"/>
                <w:bCs/>
                <w:color w:val="000000"/>
                <w:sz w:val="24"/>
              </w:rPr>
            </w:pPr>
            <w:r>
              <w:rPr>
                <w:rFonts w:ascii="宋体" w:hAnsi="宋体"/>
                <w:bCs/>
                <w:color w:val="000000"/>
                <w:sz w:val="24"/>
              </w:rPr>
              <w:t xml:space="preserve">1 </w:t>
            </w:r>
            <w:r>
              <w:rPr>
                <w:rFonts w:hint="eastAsia" w:ascii="宋体" w:hAnsi="宋体"/>
                <w:bCs/>
                <w:color w:val="000000"/>
                <w:sz w:val="24"/>
              </w:rPr>
              <w:t>、</w:t>
            </w:r>
            <w:r>
              <w:rPr>
                <w:rFonts w:ascii="宋体" w:hAnsi="宋体"/>
                <w:bCs/>
                <w:color w:val="000000"/>
                <w:sz w:val="24"/>
              </w:rPr>
              <w:t>大气污染源</w:t>
            </w:r>
          </w:p>
          <w:p>
            <w:pPr>
              <w:spacing w:line="360" w:lineRule="auto"/>
              <w:ind w:firstLine="480" w:firstLineChars="200"/>
              <w:rPr>
                <w:rFonts w:ascii="宋体" w:hAnsi="宋体"/>
                <w:bCs/>
                <w:color w:val="000000"/>
                <w:sz w:val="24"/>
              </w:rPr>
            </w:pPr>
            <w:r>
              <w:rPr>
                <w:rFonts w:ascii="宋体" w:hAnsi="宋体"/>
                <w:bCs/>
                <w:color w:val="000000"/>
                <w:sz w:val="24"/>
              </w:rPr>
              <w:t xml:space="preserve"> 有组织废气</w:t>
            </w:r>
          </w:p>
          <w:p>
            <w:pPr>
              <w:spacing w:line="360" w:lineRule="auto"/>
              <w:ind w:firstLine="480" w:firstLineChars="200"/>
              <w:rPr>
                <w:rFonts w:ascii="宋体" w:hAnsi="宋体"/>
                <w:color w:val="000000"/>
                <w:sz w:val="24"/>
              </w:rPr>
            </w:pPr>
            <w:r>
              <w:rPr>
                <w:rFonts w:ascii="宋体" w:hAnsi="宋体"/>
                <w:color w:val="000000"/>
                <w:sz w:val="24"/>
              </w:rPr>
              <w:t>（1）</w:t>
            </w:r>
            <w:r>
              <w:rPr>
                <w:rFonts w:ascii="宋体" w:hAnsi="宋体"/>
                <w:sz w:val="24"/>
              </w:rPr>
              <w:t>监测点</w:t>
            </w:r>
            <w:r>
              <w:rPr>
                <w:rFonts w:ascii="宋体" w:hAnsi="宋体"/>
                <w:color w:val="000000"/>
                <w:sz w:val="24"/>
              </w:rPr>
              <w:t>位及监测因子</w:t>
            </w:r>
          </w:p>
          <w:p>
            <w:pPr>
              <w:pStyle w:val="11"/>
              <w:adjustRightInd w:val="0"/>
              <w:snapToGrid w:val="0"/>
              <w:spacing w:after="0" w:line="360" w:lineRule="auto"/>
              <w:ind w:firstLine="480" w:firstLineChars="200"/>
              <w:jc w:val="left"/>
              <w:rPr>
                <w:rFonts w:ascii="宋体" w:hAnsi="宋体"/>
                <w:color w:val="000000"/>
                <w:sz w:val="24"/>
              </w:rPr>
            </w:pPr>
            <w:r>
              <w:rPr>
                <w:rFonts w:ascii="宋体" w:hAnsi="宋体"/>
                <w:sz w:val="24"/>
              </w:rPr>
              <w:t>中频感应炉净化后</w:t>
            </w:r>
            <w:r>
              <w:rPr>
                <w:rFonts w:hint="eastAsia" w:ascii="宋体" w:hAnsi="宋体"/>
                <w:color w:val="000000"/>
                <w:sz w:val="24"/>
              </w:rPr>
              <w:t>设一个监测点，监测因子为颗粒物；造型浇铸炉净化后设一个监测点，监测因子为颗粒物与非甲烷总烃；铸件脱离、抛丸工序净化后设一个监测点，监测因子为颗粒物。</w:t>
            </w:r>
          </w:p>
          <w:p>
            <w:pPr>
              <w:spacing w:line="360" w:lineRule="auto"/>
              <w:ind w:firstLine="480" w:firstLineChars="200"/>
              <w:rPr>
                <w:rFonts w:ascii="宋体" w:hAnsi="宋体"/>
                <w:color w:val="000000"/>
                <w:sz w:val="24"/>
              </w:rPr>
            </w:pPr>
            <w:r>
              <w:rPr>
                <w:rFonts w:ascii="宋体" w:hAnsi="宋体"/>
                <w:color w:val="000000"/>
                <w:sz w:val="24"/>
              </w:rPr>
              <w:t>（2）监测分析方法</w:t>
            </w:r>
          </w:p>
          <w:p>
            <w:pPr>
              <w:pStyle w:val="11"/>
              <w:adjustRightInd w:val="0"/>
              <w:snapToGrid w:val="0"/>
              <w:spacing w:after="0" w:line="360" w:lineRule="auto"/>
              <w:ind w:firstLine="480" w:firstLineChars="200"/>
              <w:jc w:val="left"/>
              <w:rPr>
                <w:rFonts w:ascii="宋体" w:hAnsi="宋体"/>
                <w:sz w:val="24"/>
              </w:rPr>
            </w:pPr>
            <w:r>
              <w:rPr>
                <w:rFonts w:ascii="宋体" w:hAnsi="宋体"/>
                <w:sz w:val="24"/>
              </w:rPr>
              <w:t>中频感应炉按照《津京冀及周边2018-2019年秋冬季大气污染综合治理攻坚行动方案》中第18条相关规定执行；造型浇铸炉与铸件脱离、抛丸工序的</w:t>
            </w:r>
            <w:r>
              <w:rPr>
                <w:rFonts w:hint="eastAsia" w:ascii="宋体" w:hAnsi="宋体"/>
                <w:sz w:val="24"/>
              </w:rPr>
              <w:t>有组织排放颗粒物执行《大气污染物综合排放标准》（GB16297-1996）表2中二级标准；有机废气执行《工业企业挥发性有机物排放控制标准》（DB13/2322- 2016）表1其他行业排放标准限值。</w:t>
            </w:r>
          </w:p>
          <w:p>
            <w:pPr>
              <w:spacing w:line="360" w:lineRule="auto"/>
              <w:ind w:firstLine="480" w:firstLineChars="200"/>
              <w:rPr>
                <w:rFonts w:ascii="宋体" w:hAnsi="宋体"/>
                <w:color w:val="000000"/>
                <w:sz w:val="24"/>
              </w:rPr>
            </w:pPr>
            <w:r>
              <w:rPr>
                <w:rFonts w:ascii="宋体" w:hAnsi="宋体"/>
                <w:color w:val="000000"/>
                <w:sz w:val="24"/>
              </w:rPr>
              <w:t>（3）监测频次</w:t>
            </w:r>
          </w:p>
          <w:p>
            <w:pPr>
              <w:spacing w:line="360" w:lineRule="auto"/>
              <w:ind w:firstLine="480" w:firstLineChars="200"/>
              <w:rPr>
                <w:rFonts w:ascii="宋体" w:hAnsi="宋体"/>
                <w:color w:val="000000"/>
                <w:sz w:val="24"/>
              </w:rPr>
            </w:pPr>
            <w:r>
              <w:rPr>
                <w:rFonts w:ascii="宋体" w:hAnsi="宋体"/>
                <w:color w:val="000000"/>
                <w:sz w:val="24"/>
              </w:rPr>
              <w:t>连续监测2天，每天采样3次。</w:t>
            </w:r>
          </w:p>
          <w:p>
            <w:pPr>
              <w:spacing w:line="360" w:lineRule="auto"/>
              <w:ind w:firstLine="480" w:firstLineChars="200"/>
              <w:rPr>
                <w:rFonts w:ascii="宋体" w:hAnsi="宋体"/>
                <w:bCs/>
                <w:color w:val="000000"/>
                <w:sz w:val="24"/>
              </w:rPr>
            </w:pPr>
            <w:r>
              <w:rPr>
                <w:rFonts w:ascii="宋体" w:hAnsi="宋体"/>
                <w:bCs/>
                <w:color w:val="000000"/>
                <w:sz w:val="24"/>
              </w:rPr>
              <w:t>无组织废气</w:t>
            </w:r>
          </w:p>
          <w:p>
            <w:pPr>
              <w:spacing w:line="360" w:lineRule="auto"/>
              <w:ind w:firstLine="480" w:firstLineChars="200"/>
              <w:rPr>
                <w:rFonts w:ascii="宋体" w:hAnsi="宋体"/>
                <w:color w:val="000000"/>
                <w:sz w:val="24"/>
              </w:rPr>
            </w:pPr>
            <w:r>
              <w:rPr>
                <w:rFonts w:ascii="宋体" w:hAnsi="宋体"/>
                <w:color w:val="000000"/>
                <w:sz w:val="24"/>
              </w:rPr>
              <w:t>（1）</w:t>
            </w:r>
            <w:r>
              <w:rPr>
                <w:rFonts w:ascii="宋体" w:hAnsi="宋体"/>
                <w:sz w:val="24"/>
              </w:rPr>
              <w:t>监测点</w:t>
            </w:r>
            <w:r>
              <w:rPr>
                <w:rFonts w:ascii="宋体" w:hAnsi="宋体"/>
                <w:color w:val="000000"/>
                <w:sz w:val="24"/>
              </w:rPr>
              <w:t>位及监测因子</w:t>
            </w:r>
          </w:p>
          <w:p>
            <w:pPr>
              <w:spacing w:line="360" w:lineRule="auto"/>
              <w:ind w:firstLine="480" w:firstLineChars="200"/>
              <w:rPr>
                <w:rFonts w:ascii="宋体" w:hAnsi="宋体"/>
                <w:color w:val="000000"/>
                <w:sz w:val="24"/>
              </w:rPr>
            </w:pPr>
            <w:r>
              <w:rPr>
                <w:rFonts w:ascii="宋体" w:hAnsi="宋体"/>
                <w:color w:val="000000"/>
                <w:sz w:val="24"/>
              </w:rPr>
              <w:t>根据监测时期风向，在</w:t>
            </w:r>
            <w:r>
              <w:rPr>
                <w:rFonts w:hint="eastAsia" w:ascii="宋体" w:hAnsi="宋体"/>
                <w:color w:val="000000"/>
                <w:sz w:val="24"/>
              </w:rPr>
              <w:t>厂界上风向</w:t>
            </w:r>
            <w:r>
              <w:rPr>
                <w:rFonts w:ascii="宋体" w:hAnsi="宋体"/>
                <w:color w:val="000000"/>
                <w:sz w:val="24"/>
              </w:rPr>
              <w:t>设置1个</w:t>
            </w:r>
            <w:r>
              <w:rPr>
                <w:rFonts w:hint="eastAsia" w:ascii="宋体" w:hAnsi="宋体"/>
                <w:color w:val="000000"/>
                <w:sz w:val="24"/>
              </w:rPr>
              <w:t>监测</w:t>
            </w:r>
            <w:r>
              <w:rPr>
                <w:rFonts w:ascii="宋体" w:hAnsi="宋体"/>
                <w:color w:val="000000"/>
                <w:sz w:val="24"/>
              </w:rPr>
              <w:t>点，厂界下风向设置3个</w:t>
            </w:r>
            <w:r>
              <w:rPr>
                <w:rFonts w:hint="eastAsia" w:ascii="宋体" w:hAnsi="宋体"/>
                <w:color w:val="000000"/>
                <w:sz w:val="24"/>
              </w:rPr>
              <w:t>监测</w:t>
            </w:r>
            <w:r>
              <w:rPr>
                <w:rFonts w:ascii="宋体" w:hAnsi="宋体"/>
                <w:color w:val="000000"/>
                <w:sz w:val="24"/>
              </w:rPr>
              <w:t>点，监测因子为</w:t>
            </w:r>
            <w:r>
              <w:rPr>
                <w:rFonts w:hint="eastAsia" w:ascii="宋体" w:hAnsi="宋体"/>
                <w:color w:val="000000"/>
                <w:sz w:val="24"/>
              </w:rPr>
              <w:t>颗粒物与非甲烷总烃</w:t>
            </w:r>
            <w:r>
              <w:rPr>
                <w:rFonts w:ascii="宋体" w:hAnsi="宋体"/>
                <w:color w:val="000000"/>
                <w:sz w:val="24"/>
              </w:rPr>
              <w:t>。</w:t>
            </w:r>
          </w:p>
          <w:p>
            <w:pPr>
              <w:pStyle w:val="11"/>
              <w:ind w:firstLine="600" w:firstLineChars="250"/>
              <w:rPr>
                <w:rFonts w:ascii="宋体" w:hAnsi="宋体"/>
                <w:sz w:val="24"/>
              </w:rPr>
            </w:pPr>
            <w:r>
              <w:rPr>
                <w:rFonts w:hint="eastAsia" w:ascii="宋体" w:hAnsi="宋体"/>
                <w:bCs/>
                <w:sz w:val="24"/>
              </w:rPr>
              <w:t>5</w:t>
            </w:r>
            <w:r>
              <w:rPr>
                <w:rFonts w:ascii="宋体" w:hAnsi="宋体"/>
                <w:bCs/>
                <w:sz w:val="24"/>
              </w:rPr>
              <w:t>月</w:t>
            </w:r>
            <w:r>
              <w:rPr>
                <w:rFonts w:hint="eastAsia" w:ascii="宋体" w:hAnsi="宋体"/>
                <w:bCs/>
                <w:sz w:val="24"/>
              </w:rPr>
              <w:t>21</w:t>
            </w:r>
            <w:r>
              <w:rPr>
                <w:rFonts w:ascii="宋体" w:hAnsi="宋体"/>
                <w:bCs/>
                <w:sz w:val="24"/>
              </w:rPr>
              <w:t>日</w:t>
            </w:r>
            <w:r>
              <w:rPr>
                <w:rFonts w:ascii="宋体" w:hAnsi="宋体"/>
                <w:sz w:val="24"/>
              </w:rPr>
              <w:t xml:space="preserve">无组织废气检测布点图  </w:t>
            </w:r>
            <w:r>
              <w:rPr>
                <w:rFonts w:hint="eastAsia" w:ascii="宋体" w:hAnsi="宋体"/>
                <w:sz w:val="24"/>
              </w:rPr>
              <w:t>5</w:t>
            </w:r>
            <w:r>
              <w:rPr>
                <w:rFonts w:ascii="宋体" w:hAnsi="宋体"/>
                <w:sz w:val="24"/>
              </w:rPr>
              <w:t>月</w:t>
            </w:r>
            <w:r>
              <w:rPr>
                <w:rFonts w:hint="eastAsia" w:ascii="宋体" w:hAnsi="宋体"/>
                <w:sz w:val="24"/>
              </w:rPr>
              <w:t>22</w:t>
            </w:r>
            <w:r>
              <w:rPr>
                <w:rFonts w:ascii="宋体" w:hAnsi="宋体"/>
                <w:bCs/>
                <w:sz w:val="24"/>
              </w:rPr>
              <w:t>日</w:t>
            </w:r>
            <w:r>
              <w:rPr>
                <w:rFonts w:ascii="宋体" w:hAnsi="宋体"/>
                <w:sz w:val="24"/>
              </w:rPr>
              <w:t>无组织废气检测布点图</w:t>
            </w:r>
          </w:p>
          <w:p>
            <w:pPr>
              <w:jc w:val="center"/>
              <w:rPr>
                <w:rFonts w:ascii="宋体" w:hAnsi="宋体"/>
                <w:color w:val="000000"/>
                <w:sz w:val="24"/>
              </w:rPr>
            </w:pPr>
            <w:r>
              <w:rPr>
                <w:rFonts w:ascii="宋体" w:hAnsi="宋体"/>
                <w:color w:val="000000"/>
                <w:sz w:val="24"/>
              </w:rPr>
              <w:drawing>
                <wp:inline distT="0" distB="0" distL="0" distR="0">
                  <wp:extent cx="5919470" cy="2231390"/>
                  <wp:effectExtent l="19050" t="0" r="4707"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srcRect/>
                          <a:stretch>
                            <a:fillRect/>
                          </a:stretch>
                        </pic:blipFill>
                        <pic:spPr>
                          <a:xfrm>
                            <a:off x="0" y="0"/>
                            <a:ext cx="5919881" cy="2231517"/>
                          </a:xfrm>
                          <a:prstGeom prst="rect">
                            <a:avLst/>
                          </a:prstGeom>
                          <a:noFill/>
                          <a:ln w="9525">
                            <a:noFill/>
                            <a:miter lim="800000"/>
                            <a:headEnd/>
                            <a:tailEnd/>
                          </a:ln>
                        </pic:spPr>
                      </pic:pic>
                    </a:graphicData>
                  </a:graphic>
                </wp:inline>
              </w:drawing>
            </w:r>
          </w:p>
          <w:p>
            <w:pPr>
              <w:tabs>
                <w:tab w:val="left" w:pos="2385"/>
                <w:tab w:val="center" w:pos="4819"/>
              </w:tabs>
              <w:spacing w:before="31" w:after="31" w:line="360" w:lineRule="auto"/>
              <w:rPr>
                <w:rFonts w:ascii="宋体" w:hAnsi="宋体"/>
                <w:sz w:val="24"/>
              </w:rPr>
            </w:pPr>
          </w:p>
          <w:p>
            <w:pPr>
              <w:tabs>
                <w:tab w:val="left" w:pos="2385"/>
                <w:tab w:val="center" w:pos="4819"/>
              </w:tabs>
              <w:spacing w:before="31" w:after="31" w:line="360" w:lineRule="auto"/>
              <w:rPr>
                <w:rFonts w:ascii="宋体" w:hAnsi="宋体"/>
                <w:sz w:val="24"/>
              </w:rPr>
            </w:pPr>
          </w:p>
          <w:p>
            <w:pPr>
              <w:adjustRightInd w:val="0"/>
              <w:snapToGrid w:val="0"/>
              <w:spacing w:line="360" w:lineRule="auto"/>
              <w:ind w:firstLine="480" w:firstLineChars="200"/>
              <w:rPr>
                <w:rFonts w:ascii="宋体" w:hAnsi="宋体"/>
                <w:color w:val="000000"/>
                <w:sz w:val="24"/>
              </w:rPr>
            </w:pPr>
            <w:r>
              <w:rPr>
                <w:rFonts w:ascii="宋体" w:hAnsi="宋体"/>
                <w:color w:val="000000"/>
                <w:sz w:val="24"/>
              </w:rPr>
              <w:t>（2）监测分析方法</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无组织排放颗粒物执行《工业炉窑大气污染物排放标准》（D</w:t>
            </w:r>
            <w:r>
              <w:rPr>
                <w:rFonts w:ascii="宋体" w:hAnsi="宋体"/>
                <w:color w:val="000000"/>
                <w:sz w:val="24"/>
              </w:rPr>
              <w:t>B13/1640-2012</w:t>
            </w:r>
            <w:r>
              <w:rPr>
                <w:rFonts w:hint="eastAsia" w:ascii="宋体" w:hAnsi="宋体"/>
                <w:color w:val="000000"/>
                <w:sz w:val="24"/>
              </w:rPr>
              <w:t>）表3工业炉窑无组织排放颗粒物排放限值；无组织排放有机废气非甲烷总烃执行《工业企业挥发性有机物排放控制标准》（DB13/2322- 2016）表2企业边界大气污染物浓度限制中其他企业限值要求。</w:t>
            </w:r>
          </w:p>
          <w:p>
            <w:pPr>
              <w:adjustRightInd w:val="0"/>
              <w:snapToGrid w:val="0"/>
              <w:spacing w:line="360" w:lineRule="auto"/>
              <w:ind w:firstLine="480" w:firstLineChars="200"/>
              <w:rPr>
                <w:rFonts w:ascii="宋体" w:hAnsi="宋体"/>
                <w:color w:val="000000"/>
                <w:sz w:val="24"/>
              </w:rPr>
            </w:pPr>
            <w:r>
              <w:rPr>
                <w:rFonts w:ascii="宋体" w:hAnsi="宋体"/>
                <w:color w:val="000000"/>
                <w:sz w:val="24"/>
              </w:rPr>
              <w:t>（3）监测频次</w:t>
            </w:r>
          </w:p>
          <w:p>
            <w:pPr>
              <w:adjustRightInd w:val="0"/>
              <w:snapToGrid w:val="0"/>
              <w:spacing w:line="360" w:lineRule="auto"/>
              <w:ind w:firstLine="480" w:firstLineChars="200"/>
              <w:rPr>
                <w:rFonts w:ascii="宋体" w:hAnsi="宋体"/>
                <w:sz w:val="24"/>
              </w:rPr>
            </w:pPr>
            <w:r>
              <w:rPr>
                <w:rFonts w:ascii="宋体" w:hAnsi="宋体"/>
                <w:color w:val="000000"/>
                <w:sz w:val="24"/>
              </w:rPr>
              <w:t>连续监测2天，每天采样4次。</w:t>
            </w:r>
          </w:p>
          <w:p>
            <w:pPr>
              <w:adjustRightInd w:val="0"/>
              <w:snapToGrid w:val="0"/>
              <w:spacing w:line="360" w:lineRule="auto"/>
              <w:ind w:firstLine="480" w:firstLineChars="200"/>
              <w:rPr>
                <w:rFonts w:ascii="宋体" w:hAnsi="宋体"/>
                <w:bCs/>
                <w:color w:val="000000"/>
                <w:sz w:val="24"/>
              </w:rPr>
            </w:pPr>
            <w:r>
              <w:rPr>
                <w:rFonts w:ascii="宋体" w:hAnsi="宋体"/>
                <w:bCs/>
                <w:color w:val="000000"/>
                <w:sz w:val="24"/>
              </w:rPr>
              <w:t>2 、噪声污染源</w:t>
            </w:r>
          </w:p>
          <w:p>
            <w:pPr>
              <w:adjustRightInd w:val="0"/>
              <w:snapToGrid w:val="0"/>
              <w:spacing w:line="360" w:lineRule="auto"/>
              <w:ind w:firstLine="480" w:firstLineChars="200"/>
              <w:rPr>
                <w:rFonts w:ascii="宋体" w:hAnsi="宋体"/>
                <w:color w:val="000000"/>
                <w:sz w:val="24"/>
              </w:rPr>
            </w:pPr>
            <w:r>
              <w:rPr>
                <w:rFonts w:ascii="宋体" w:hAnsi="宋体"/>
                <w:color w:val="000000"/>
                <w:sz w:val="24"/>
              </w:rPr>
              <w:t>（1）监测点位及监测因子</w:t>
            </w:r>
          </w:p>
          <w:p>
            <w:pPr>
              <w:spacing w:line="360" w:lineRule="auto"/>
              <w:ind w:firstLine="480" w:firstLineChars="200"/>
              <w:rPr>
                <w:rFonts w:ascii="宋体" w:hAnsi="宋体"/>
                <w:color w:val="000000"/>
                <w:sz w:val="24"/>
              </w:rPr>
            </w:pPr>
            <w:r>
              <w:rPr>
                <w:rFonts w:ascii="宋体" w:hAnsi="宋体"/>
                <w:color w:val="000000"/>
                <w:sz w:val="24"/>
              </w:rPr>
              <w:t>在</w:t>
            </w:r>
            <w:r>
              <w:rPr>
                <w:rFonts w:hint="eastAsia" w:ascii="宋体" w:hAnsi="宋体"/>
                <w:color w:val="000000"/>
                <w:sz w:val="24"/>
              </w:rPr>
              <w:t>厂界东、南、西、北外</w:t>
            </w:r>
            <w:r>
              <w:rPr>
                <w:rFonts w:ascii="宋体" w:hAnsi="宋体"/>
                <w:color w:val="000000"/>
                <w:sz w:val="24"/>
              </w:rPr>
              <w:t>1m处各设1个监测点。</w:t>
            </w:r>
          </w:p>
          <w:p>
            <w:pPr>
              <w:jc w:val="center"/>
              <w:rPr>
                <w:rFonts w:ascii="宋体" w:hAnsi="宋体"/>
                <w:color w:val="000000"/>
                <w:sz w:val="24"/>
              </w:rPr>
            </w:pPr>
            <w:r>
              <w:rPr>
                <w:rFonts w:ascii="宋体" w:hAnsi="宋体"/>
                <w:color w:val="000000"/>
                <w:sz w:val="24"/>
              </w:rPr>
              <w:drawing>
                <wp:inline distT="0" distB="0" distL="0" distR="0">
                  <wp:extent cx="5313045" cy="2235835"/>
                  <wp:effectExtent l="19050" t="0" r="1846"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srcRect/>
                          <a:stretch>
                            <a:fillRect/>
                          </a:stretch>
                        </pic:blipFill>
                        <pic:spPr>
                          <a:xfrm>
                            <a:off x="0" y="0"/>
                            <a:ext cx="5313865" cy="2236785"/>
                          </a:xfrm>
                          <a:prstGeom prst="rect">
                            <a:avLst/>
                          </a:prstGeom>
                          <a:noFill/>
                          <a:ln w="9525">
                            <a:noFill/>
                            <a:miter lim="800000"/>
                            <a:headEnd/>
                            <a:tailEnd/>
                          </a:ln>
                        </pic:spPr>
                      </pic:pic>
                    </a:graphicData>
                  </a:graphic>
                </wp:inline>
              </w:drawing>
            </w:r>
          </w:p>
          <w:p>
            <w:pPr>
              <w:spacing w:line="360" w:lineRule="auto"/>
              <w:jc w:val="center"/>
              <w:rPr>
                <w:rFonts w:ascii="宋体" w:hAnsi="宋体"/>
                <w:color w:val="000000"/>
                <w:sz w:val="24"/>
              </w:rPr>
            </w:pPr>
            <w:r>
              <w:rPr>
                <w:rFonts w:ascii="宋体" w:hAnsi="宋体"/>
                <w:sz w:val="24"/>
              </w:rPr>
              <w:t>厂界噪声检测布点图</w:t>
            </w:r>
          </w:p>
          <w:p>
            <w:pPr>
              <w:spacing w:line="360" w:lineRule="auto"/>
              <w:ind w:firstLine="480" w:firstLineChars="200"/>
              <w:rPr>
                <w:rFonts w:ascii="宋体" w:hAnsi="宋体"/>
                <w:color w:val="000000"/>
                <w:sz w:val="24"/>
              </w:rPr>
            </w:pPr>
            <w:r>
              <w:rPr>
                <w:rFonts w:ascii="宋体" w:hAnsi="宋体"/>
                <w:color w:val="000000"/>
                <w:sz w:val="24"/>
              </w:rPr>
              <w:t>（2）监测方法</w:t>
            </w:r>
          </w:p>
          <w:p>
            <w:pPr>
              <w:spacing w:line="360" w:lineRule="auto"/>
              <w:ind w:firstLine="480" w:firstLineChars="200"/>
              <w:rPr>
                <w:rFonts w:ascii="宋体" w:hAnsi="宋体"/>
                <w:color w:val="000000"/>
                <w:sz w:val="24"/>
              </w:rPr>
            </w:pPr>
            <w:r>
              <w:rPr>
                <w:rFonts w:hint="eastAsia" w:ascii="宋体" w:hAnsi="宋体"/>
                <w:color w:val="000000"/>
                <w:sz w:val="24"/>
              </w:rPr>
              <w:t>东、西、北厂界噪声执行《工业企业厂界环境噪声排放标准》（GB12348-2008）中</w:t>
            </w:r>
            <w:r>
              <w:rPr>
                <w:rFonts w:ascii="宋体" w:hAnsi="宋体"/>
                <w:color w:val="000000"/>
                <w:sz w:val="24"/>
              </w:rPr>
              <w:t>2</w:t>
            </w:r>
            <w:r>
              <w:rPr>
                <w:rFonts w:hint="eastAsia" w:ascii="宋体" w:hAnsi="宋体"/>
                <w:color w:val="000000"/>
                <w:sz w:val="24"/>
              </w:rPr>
              <w:t>类标准值，南厂界</w:t>
            </w:r>
            <w:r>
              <w:rPr>
                <w:rFonts w:ascii="宋体" w:hAnsi="宋体"/>
                <w:color w:val="000000"/>
                <w:sz w:val="24"/>
              </w:rPr>
              <w:t>噪声执行《工业企业厂界环境噪声排放标准》（GB12348-2008）中</w:t>
            </w:r>
            <w:r>
              <w:rPr>
                <w:rFonts w:hint="eastAsia" w:ascii="宋体" w:hAnsi="宋体"/>
                <w:color w:val="000000"/>
                <w:sz w:val="24"/>
              </w:rPr>
              <w:t>4</w:t>
            </w:r>
            <w:r>
              <w:rPr>
                <w:rFonts w:ascii="宋体" w:hAnsi="宋体"/>
                <w:color w:val="000000"/>
                <w:sz w:val="24"/>
              </w:rPr>
              <w:t>类标准。（3）监测频次</w:t>
            </w:r>
          </w:p>
          <w:p>
            <w:pPr>
              <w:spacing w:line="360" w:lineRule="auto"/>
              <w:ind w:firstLine="480" w:firstLineChars="200"/>
              <w:rPr>
                <w:rFonts w:ascii="宋体" w:hAnsi="宋体"/>
                <w:color w:val="000000"/>
                <w:sz w:val="24"/>
              </w:rPr>
            </w:pPr>
            <w:r>
              <w:rPr>
                <w:rFonts w:ascii="宋体" w:hAnsi="宋体"/>
                <w:color w:val="000000"/>
                <w:sz w:val="24"/>
              </w:rPr>
              <w:t>连续监测2天，昼、夜各一次。</w:t>
            </w: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tc>
      </w:tr>
    </w:tbl>
    <w:p>
      <w:pPr>
        <w:rPr>
          <w:rFonts w:ascii="宋体" w:hAnsi="宋体"/>
          <w:b/>
          <w:color w:val="000000"/>
          <w:sz w:val="24"/>
        </w:rPr>
      </w:pPr>
      <w:r>
        <w:rPr>
          <w:rFonts w:ascii="宋体" w:hAnsi="宋体"/>
          <w:b/>
          <w:color w:val="000000"/>
          <w:sz w:val="24"/>
        </w:rPr>
        <w:t>表七</w:t>
      </w:r>
    </w:p>
    <w:tbl>
      <w:tblPr>
        <w:tblStyle w:val="13"/>
        <w:tblW w:w="996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62" w:type="dxa"/>
          </w:tcPr>
          <w:p>
            <w:pPr>
              <w:adjustRightInd w:val="0"/>
              <w:snapToGrid w:val="0"/>
              <w:spacing w:line="360" w:lineRule="auto"/>
              <w:rPr>
                <w:rFonts w:ascii="宋体" w:hAnsi="宋体"/>
                <w:b/>
                <w:bCs/>
                <w:color w:val="000000"/>
                <w:sz w:val="24"/>
              </w:rPr>
            </w:pPr>
            <w:r>
              <w:rPr>
                <w:rFonts w:ascii="宋体" w:hAnsi="宋体"/>
                <w:b/>
                <w:bCs/>
                <w:color w:val="000000"/>
                <w:sz w:val="24"/>
              </w:rPr>
              <w:t>验收监测期间生产工况记录：</w:t>
            </w:r>
          </w:p>
          <w:p>
            <w:pPr>
              <w:adjustRightInd w:val="0"/>
              <w:snapToGrid w:val="0"/>
              <w:spacing w:line="360" w:lineRule="auto"/>
              <w:ind w:firstLine="480" w:firstLineChars="200"/>
              <w:rPr>
                <w:rFonts w:ascii="宋体" w:hAnsi="宋体"/>
                <w:color w:val="000000"/>
                <w:sz w:val="24"/>
              </w:rPr>
            </w:pPr>
            <w:r>
              <w:rPr>
                <w:rFonts w:hint="eastAsia" w:ascii="宋体" w:hAnsi="宋体"/>
                <w:sz w:val="24"/>
              </w:rPr>
              <w:t>秦皇岛清宸环境检测技术有限公司于</w:t>
            </w:r>
            <w:r>
              <w:rPr>
                <w:rFonts w:ascii="宋体" w:hAnsi="宋体"/>
                <w:sz w:val="24"/>
              </w:rPr>
              <w:t>201</w:t>
            </w:r>
            <w:r>
              <w:rPr>
                <w:rFonts w:hint="eastAsia" w:ascii="宋体" w:hAnsi="宋体"/>
                <w:sz w:val="24"/>
              </w:rPr>
              <w:t>9</w:t>
            </w:r>
            <w:r>
              <w:rPr>
                <w:rFonts w:ascii="宋体" w:hAnsi="宋体"/>
                <w:sz w:val="24"/>
              </w:rPr>
              <w:t>年</w:t>
            </w:r>
            <w:r>
              <w:rPr>
                <w:rFonts w:hint="eastAsia" w:ascii="宋体" w:hAnsi="宋体"/>
                <w:sz w:val="24"/>
              </w:rPr>
              <w:t>5</w:t>
            </w:r>
            <w:r>
              <w:rPr>
                <w:rFonts w:ascii="宋体" w:hAnsi="宋体"/>
                <w:sz w:val="24"/>
              </w:rPr>
              <w:t>月</w:t>
            </w:r>
            <w:r>
              <w:rPr>
                <w:rFonts w:hint="eastAsia" w:ascii="宋体" w:hAnsi="宋体"/>
                <w:sz w:val="24"/>
              </w:rPr>
              <w:t>21</w:t>
            </w:r>
            <w:r>
              <w:rPr>
                <w:rFonts w:ascii="宋体" w:hAnsi="宋体"/>
                <w:sz w:val="24"/>
              </w:rPr>
              <w:t>日至</w:t>
            </w:r>
            <w:r>
              <w:rPr>
                <w:rFonts w:hint="eastAsia" w:ascii="宋体" w:hAnsi="宋体"/>
                <w:sz w:val="24"/>
              </w:rPr>
              <w:t>24</w:t>
            </w:r>
            <w:r>
              <w:rPr>
                <w:rFonts w:ascii="宋体" w:hAnsi="宋体"/>
                <w:sz w:val="24"/>
              </w:rPr>
              <w:t>日进行了竣工验收监测并出具检测报告。检测期间企业</w:t>
            </w:r>
            <w:r>
              <w:rPr>
                <w:rFonts w:hint="eastAsia" w:ascii="宋体" w:hAnsi="宋体"/>
                <w:sz w:val="24"/>
              </w:rPr>
              <w:t>实际生产精密铸件约18t，</w:t>
            </w:r>
            <w:r>
              <w:rPr>
                <w:rFonts w:ascii="宋体" w:hAnsi="宋体"/>
                <w:sz w:val="24"/>
              </w:rPr>
              <w:t>生产负荷</w:t>
            </w:r>
            <w:r>
              <w:rPr>
                <w:rFonts w:hint="eastAsia" w:ascii="宋体" w:hAnsi="宋体"/>
                <w:sz w:val="24"/>
              </w:rPr>
              <w:t>大于</w:t>
            </w:r>
            <w:r>
              <w:rPr>
                <w:rFonts w:ascii="宋体" w:hAnsi="宋体"/>
                <w:sz w:val="24"/>
              </w:rPr>
              <w:t>75%，满足环保验收监测技术要求。</w:t>
            </w:r>
            <w:r>
              <w:rPr>
                <w:rFonts w:hint="eastAsia" w:ascii="宋体" w:hAnsi="宋体"/>
                <w:sz w:val="24"/>
              </w:rPr>
              <w:t>检测期间的环境状况符合规范，无雨雪，风速&lt;5.0m/s。本项目除尘器进口、有机废气处理设施进口不具备检测条件。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62" w:type="dxa"/>
          </w:tcPr>
          <w:p>
            <w:pPr>
              <w:adjustRightInd w:val="0"/>
              <w:snapToGrid w:val="0"/>
              <w:spacing w:line="360" w:lineRule="auto"/>
              <w:rPr>
                <w:rFonts w:ascii="宋体" w:hAnsi="宋体"/>
                <w:b/>
                <w:bCs/>
                <w:color w:val="000000"/>
                <w:sz w:val="24"/>
              </w:rPr>
            </w:pPr>
            <w:r>
              <w:rPr>
                <w:rFonts w:ascii="宋体" w:hAnsi="宋体"/>
                <w:b/>
                <w:bCs/>
                <w:color w:val="000000"/>
                <w:sz w:val="24"/>
              </w:rPr>
              <w:t>验收监测结果：</w:t>
            </w:r>
          </w:p>
          <w:p>
            <w:pPr>
              <w:pStyle w:val="29"/>
              <w:numPr>
                <w:ilvl w:val="0"/>
                <w:numId w:val="1"/>
              </w:numPr>
              <w:adjustRightInd w:val="0"/>
              <w:snapToGrid w:val="0"/>
              <w:spacing w:line="360" w:lineRule="auto"/>
              <w:ind w:firstLineChars="0"/>
              <w:rPr>
                <w:rFonts w:ascii="宋体" w:hAnsi="宋体"/>
                <w:sz w:val="24"/>
              </w:rPr>
            </w:pPr>
            <w:r>
              <w:rPr>
                <w:rFonts w:hint="eastAsia" w:ascii="宋体" w:hAnsi="宋体"/>
                <w:sz w:val="24"/>
              </w:rPr>
              <w:t>有组织废气</w:t>
            </w:r>
          </w:p>
          <w:tbl>
            <w:tblPr>
              <w:tblStyle w:val="12"/>
              <w:tblW w:w="97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028"/>
              <w:gridCol w:w="1630"/>
              <w:gridCol w:w="826"/>
              <w:gridCol w:w="826"/>
              <w:gridCol w:w="826"/>
              <w:gridCol w:w="830"/>
              <w:gridCol w:w="1700"/>
              <w:gridCol w:w="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387" w:type="dxa"/>
                  <w:vMerge w:val="restart"/>
                  <w:tcBorders>
                    <w:tl2br w:val="nil"/>
                    <w:tr2bl w:val="nil"/>
                  </w:tcBorders>
                  <w:vAlign w:val="center"/>
                </w:tcPr>
                <w:p>
                  <w:pPr>
                    <w:tabs>
                      <w:tab w:val="left" w:pos="2385"/>
                      <w:tab w:val="center" w:pos="4819"/>
                    </w:tabs>
                    <w:adjustRightInd w:val="0"/>
                    <w:snapToGrid w:val="0"/>
                    <w:jc w:val="center"/>
                    <w:rPr>
                      <w:bCs/>
                      <w:szCs w:val="21"/>
                    </w:rPr>
                  </w:pPr>
                  <w:r>
                    <w:rPr>
                      <w:bCs/>
                      <w:szCs w:val="21"/>
                    </w:rPr>
                    <w:t>检测点位</w:t>
                  </w:r>
                </w:p>
                <w:p>
                  <w:pPr>
                    <w:adjustRightInd w:val="0"/>
                    <w:snapToGrid w:val="0"/>
                    <w:jc w:val="center"/>
                    <w:rPr>
                      <w:szCs w:val="21"/>
                    </w:rPr>
                  </w:pPr>
                  <w:r>
                    <w:rPr>
                      <w:bCs/>
                      <w:szCs w:val="21"/>
                    </w:rPr>
                    <w:t>及采样日期</w:t>
                  </w:r>
                </w:p>
              </w:tc>
              <w:tc>
                <w:tcPr>
                  <w:tcW w:w="2658" w:type="dxa"/>
                  <w:gridSpan w:val="2"/>
                  <w:vMerge w:val="restart"/>
                  <w:tcBorders>
                    <w:tl2br w:val="nil"/>
                    <w:tr2bl w:val="nil"/>
                  </w:tcBorders>
                  <w:vAlign w:val="center"/>
                </w:tcPr>
                <w:p>
                  <w:pPr>
                    <w:adjustRightInd w:val="0"/>
                    <w:snapToGrid w:val="0"/>
                    <w:jc w:val="center"/>
                    <w:rPr>
                      <w:szCs w:val="21"/>
                    </w:rPr>
                  </w:pPr>
                  <w:r>
                    <w:rPr>
                      <w:szCs w:val="21"/>
                    </w:rPr>
                    <w:t>检测项目</w:t>
                  </w:r>
                </w:p>
              </w:tc>
              <w:tc>
                <w:tcPr>
                  <w:tcW w:w="3308" w:type="dxa"/>
                  <w:gridSpan w:val="4"/>
                  <w:tcBorders>
                    <w:tl2br w:val="nil"/>
                    <w:tr2bl w:val="nil"/>
                  </w:tcBorders>
                  <w:vAlign w:val="center"/>
                </w:tcPr>
                <w:p>
                  <w:pPr>
                    <w:widowControl/>
                    <w:jc w:val="center"/>
                    <w:rPr>
                      <w:szCs w:val="21"/>
                    </w:rPr>
                  </w:pPr>
                  <w:r>
                    <w:rPr>
                      <w:szCs w:val="21"/>
                    </w:rPr>
                    <w:t>测量值</w:t>
                  </w:r>
                </w:p>
              </w:tc>
              <w:tc>
                <w:tcPr>
                  <w:tcW w:w="1700" w:type="dxa"/>
                  <w:tcBorders>
                    <w:tl2br w:val="nil"/>
                    <w:tr2bl w:val="nil"/>
                  </w:tcBorders>
                  <w:vAlign w:val="center"/>
                </w:tcPr>
                <w:p>
                  <w:pPr>
                    <w:widowControl/>
                    <w:jc w:val="center"/>
                    <w:rPr>
                      <w:szCs w:val="21"/>
                    </w:rPr>
                  </w:pPr>
                  <w:r>
                    <w:rPr>
                      <w:szCs w:val="21"/>
                    </w:rPr>
                    <w:t>执行标准及限值</w:t>
                  </w:r>
                </w:p>
              </w:tc>
              <w:tc>
                <w:tcPr>
                  <w:tcW w:w="663" w:type="dxa"/>
                  <w:vMerge w:val="restart"/>
                  <w:tcBorders>
                    <w:tl2br w:val="nil"/>
                    <w:tr2bl w:val="nil"/>
                  </w:tcBorders>
                  <w:vAlign w:val="center"/>
                </w:tcPr>
                <w:p>
                  <w:pPr>
                    <w:widowControl/>
                    <w:jc w:val="center"/>
                    <w:rPr>
                      <w:szCs w:val="21"/>
                    </w:rPr>
                  </w:pPr>
                  <w:r>
                    <w:rPr>
                      <w:szCs w:val="21"/>
                    </w:rPr>
                    <w:t>符合</w:t>
                  </w:r>
                </w:p>
                <w:p>
                  <w:pPr>
                    <w:widowControl/>
                    <w:jc w:val="center"/>
                    <w:rPr>
                      <w:szCs w:val="21"/>
                    </w:rPr>
                  </w:pPr>
                  <w:r>
                    <w:rPr>
                      <w:szCs w:val="21"/>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387" w:type="dxa"/>
                  <w:vMerge w:val="continue"/>
                  <w:tcBorders>
                    <w:tl2br w:val="nil"/>
                    <w:tr2bl w:val="nil"/>
                  </w:tcBorders>
                  <w:vAlign w:val="center"/>
                </w:tcPr>
                <w:p>
                  <w:pPr>
                    <w:adjustRightInd w:val="0"/>
                    <w:snapToGrid w:val="0"/>
                    <w:jc w:val="center"/>
                    <w:rPr>
                      <w:szCs w:val="21"/>
                    </w:rPr>
                  </w:pPr>
                </w:p>
              </w:tc>
              <w:tc>
                <w:tcPr>
                  <w:tcW w:w="2658" w:type="dxa"/>
                  <w:gridSpan w:val="2"/>
                  <w:vMerge w:val="continue"/>
                  <w:tcBorders>
                    <w:tl2br w:val="nil"/>
                    <w:tr2bl w:val="nil"/>
                  </w:tcBorders>
                  <w:vAlign w:val="center"/>
                </w:tcPr>
                <w:p>
                  <w:pPr>
                    <w:adjustRightInd w:val="0"/>
                    <w:snapToGrid w:val="0"/>
                    <w:jc w:val="center"/>
                    <w:rPr>
                      <w:szCs w:val="21"/>
                    </w:rPr>
                  </w:pPr>
                </w:p>
              </w:tc>
              <w:tc>
                <w:tcPr>
                  <w:tcW w:w="826" w:type="dxa"/>
                  <w:tcBorders>
                    <w:tl2br w:val="nil"/>
                    <w:tr2bl w:val="nil"/>
                  </w:tcBorders>
                  <w:vAlign w:val="center"/>
                </w:tcPr>
                <w:p>
                  <w:pPr>
                    <w:adjustRightInd w:val="0"/>
                    <w:snapToGrid w:val="0"/>
                    <w:jc w:val="center"/>
                    <w:rPr>
                      <w:szCs w:val="21"/>
                    </w:rPr>
                  </w:pPr>
                  <w:r>
                    <w:rPr>
                      <w:szCs w:val="21"/>
                    </w:rPr>
                    <w:t>第一次</w:t>
                  </w:r>
                </w:p>
              </w:tc>
              <w:tc>
                <w:tcPr>
                  <w:tcW w:w="826" w:type="dxa"/>
                  <w:tcBorders>
                    <w:tl2br w:val="nil"/>
                    <w:tr2bl w:val="nil"/>
                  </w:tcBorders>
                  <w:vAlign w:val="center"/>
                </w:tcPr>
                <w:p>
                  <w:pPr>
                    <w:adjustRightInd w:val="0"/>
                    <w:snapToGrid w:val="0"/>
                    <w:jc w:val="center"/>
                    <w:rPr>
                      <w:kern w:val="0"/>
                      <w:szCs w:val="21"/>
                    </w:rPr>
                  </w:pPr>
                  <w:r>
                    <w:rPr>
                      <w:kern w:val="0"/>
                      <w:szCs w:val="21"/>
                    </w:rPr>
                    <w:t>第二次</w:t>
                  </w:r>
                </w:p>
              </w:tc>
              <w:tc>
                <w:tcPr>
                  <w:tcW w:w="826" w:type="dxa"/>
                  <w:tcBorders>
                    <w:tl2br w:val="nil"/>
                    <w:tr2bl w:val="nil"/>
                  </w:tcBorders>
                  <w:vAlign w:val="center"/>
                </w:tcPr>
                <w:p>
                  <w:pPr>
                    <w:adjustRightInd w:val="0"/>
                    <w:snapToGrid w:val="0"/>
                    <w:jc w:val="center"/>
                    <w:rPr>
                      <w:kern w:val="0"/>
                      <w:szCs w:val="21"/>
                    </w:rPr>
                  </w:pPr>
                  <w:r>
                    <w:rPr>
                      <w:kern w:val="0"/>
                      <w:szCs w:val="21"/>
                    </w:rPr>
                    <w:t>第三次</w:t>
                  </w:r>
                </w:p>
              </w:tc>
              <w:tc>
                <w:tcPr>
                  <w:tcW w:w="830" w:type="dxa"/>
                  <w:tcBorders>
                    <w:tl2br w:val="nil"/>
                    <w:tr2bl w:val="nil"/>
                  </w:tcBorders>
                  <w:vAlign w:val="center"/>
                </w:tcPr>
                <w:p>
                  <w:pPr>
                    <w:adjustRightInd w:val="0"/>
                    <w:snapToGrid w:val="0"/>
                    <w:jc w:val="center"/>
                    <w:rPr>
                      <w:kern w:val="0"/>
                      <w:szCs w:val="21"/>
                    </w:rPr>
                  </w:pPr>
                  <w:r>
                    <w:rPr>
                      <w:kern w:val="0"/>
                      <w:szCs w:val="21"/>
                    </w:rPr>
                    <w:t>平均值</w:t>
                  </w:r>
                </w:p>
              </w:tc>
              <w:tc>
                <w:tcPr>
                  <w:tcW w:w="1700" w:type="dxa"/>
                  <w:tcBorders>
                    <w:tl2br w:val="nil"/>
                    <w:tr2bl w:val="nil"/>
                  </w:tcBorders>
                  <w:vAlign w:val="center"/>
                </w:tcPr>
                <w:p>
                  <w:pPr>
                    <w:adjustRightInd w:val="0"/>
                    <w:snapToGrid w:val="0"/>
                    <w:jc w:val="center"/>
                    <w:rPr>
                      <w:kern w:val="0"/>
                      <w:szCs w:val="21"/>
                    </w:rPr>
                  </w:pPr>
                  <w:r>
                    <w:rPr>
                      <w:szCs w:val="21"/>
                    </w:rPr>
                    <w:t>《津京冀及周边2018-2019年秋冬季大气污染综合治理攻坚行动方案》中第18条</w:t>
                  </w:r>
                </w:p>
              </w:tc>
              <w:tc>
                <w:tcPr>
                  <w:tcW w:w="663" w:type="dxa"/>
                  <w:vMerge w:val="continue"/>
                  <w:tcBorders>
                    <w:tl2br w:val="nil"/>
                    <w:tr2bl w:val="nil"/>
                  </w:tcBorders>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7" w:type="dxa"/>
                  <w:vMerge w:val="restart"/>
                  <w:tcBorders>
                    <w:tl2br w:val="nil"/>
                    <w:tr2bl w:val="nil"/>
                  </w:tcBorders>
                  <w:vAlign w:val="center"/>
                </w:tcPr>
                <w:p>
                  <w:pPr>
                    <w:adjustRightInd w:val="0"/>
                    <w:snapToGrid w:val="0"/>
                    <w:jc w:val="center"/>
                    <w:rPr>
                      <w:szCs w:val="21"/>
                    </w:rPr>
                  </w:pPr>
                  <w:r>
                    <w:rPr>
                      <w:szCs w:val="21"/>
                    </w:rPr>
                    <w:t>中频感应炉净化后</w:t>
                  </w:r>
                </w:p>
                <w:p>
                  <w:pPr>
                    <w:adjustRightInd w:val="0"/>
                    <w:snapToGrid w:val="0"/>
                    <w:jc w:val="center"/>
                    <w:rPr>
                      <w:szCs w:val="21"/>
                    </w:rPr>
                  </w:pPr>
                  <w:r>
                    <w:rPr>
                      <w:szCs w:val="21"/>
                    </w:rPr>
                    <w:t>5月21日</w:t>
                  </w:r>
                </w:p>
              </w:tc>
              <w:tc>
                <w:tcPr>
                  <w:tcW w:w="2658" w:type="dxa"/>
                  <w:gridSpan w:val="2"/>
                  <w:tcBorders>
                    <w:tl2br w:val="nil"/>
                    <w:tr2bl w:val="nil"/>
                  </w:tcBorders>
                  <w:vAlign w:val="center"/>
                </w:tcPr>
                <w:p>
                  <w:pPr>
                    <w:pStyle w:val="11"/>
                    <w:spacing w:after="0"/>
                    <w:ind w:firstLine="0" w:firstLineChars="0"/>
                    <w:jc w:val="center"/>
                    <w:rPr>
                      <w:szCs w:val="21"/>
                    </w:rPr>
                  </w:pPr>
                  <w:r>
                    <w:rPr>
                      <w:szCs w:val="21"/>
                    </w:rPr>
                    <w:t>标干流量Nm</w:t>
                  </w:r>
                  <w:r>
                    <w:rPr>
                      <w:szCs w:val="21"/>
                      <w:vertAlign w:val="superscript"/>
                    </w:rPr>
                    <w:t>3</w:t>
                  </w:r>
                  <w:r>
                    <w:rPr>
                      <w:szCs w:val="21"/>
                    </w:rPr>
                    <w:t>/h</w:t>
                  </w:r>
                </w:p>
              </w:tc>
              <w:tc>
                <w:tcPr>
                  <w:tcW w:w="826" w:type="dxa"/>
                  <w:tcBorders>
                    <w:tl2br w:val="nil"/>
                    <w:tr2bl w:val="nil"/>
                  </w:tcBorders>
                  <w:vAlign w:val="center"/>
                </w:tcPr>
                <w:p>
                  <w:pPr>
                    <w:widowControl/>
                    <w:jc w:val="center"/>
                    <w:textAlignment w:val="center"/>
                    <w:rPr>
                      <w:bCs/>
                      <w:szCs w:val="21"/>
                    </w:rPr>
                  </w:pPr>
                  <w:r>
                    <w:rPr>
                      <w:bCs/>
                      <w:szCs w:val="21"/>
                    </w:rPr>
                    <w:t>19892</w:t>
                  </w:r>
                </w:p>
              </w:tc>
              <w:tc>
                <w:tcPr>
                  <w:tcW w:w="826" w:type="dxa"/>
                  <w:tcBorders>
                    <w:tl2br w:val="nil"/>
                    <w:tr2bl w:val="nil"/>
                  </w:tcBorders>
                  <w:vAlign w:val="center"/>
                </w:tcPr>
                <w:p>
                  <w:pPr>
                    <w:widowControl/>
                    <w:jc w:val="center"/>
                    <w:textAlignment w:val="center"/>
                    <w:rPr>
                      <w:bCs/>
                      <w:szCs w:val="21"/>
                    </w:rPr>
                  </w:pPr>
                  <w:r>
                    <w:rPr>
                      <w:bCs/>
                      <w:szCs w:val="21"/>
                    </w:rPr>
                    <w:t>19638</w:t>
                  </w:r>
                </w:p>
              </w:tc>
              <w:tc>
                <w:tcPr>
                  <w:tcW w:w="826" w:type="dxa"/>
                  <w:tcBorders>
                    <w:tl2br w:val="nil"/>
                    <w:tr2bl w:val="nil"/>
                  </w:tcBorders>
                  <w:vAlign w:val="center"/>
                </w:tcPr>
                <w:p>
                  <w:pPr>
                    <w:widowControl/>
                    <w:jc w:val="center"/>
                    <w:textAlignment w:val="center"/>
                    <w:rPr>
                      <w:bCs/>
                      <w:szCs w:val="21"/>
                    </w:rPr>
                  </w:pPr>
                  <w:r>
                    <w:rPr>
                      <w:bCs/>
                      <w:szCs w:val="21"/>
                    </w:rPr>
                    <w:t>19345</w:t>
                  </w:r>
                </w:p>
              </w:tc>
              <w:tc>
                <w:tcPr>
                  <w:tcW w:w="830" w:type="dxa"/>
                  <w:tcBorders>
                    <w:tl2br w:val="nil"/>
                    <w:tr2bl w:val="nil"/>
                  </w:tcBorders>
                  <w:vAlign w:val="center"/>
                </w:tcPr>
                <w:p>
                  <w:pPr>
                    <w:widowControl/>
                    <w:jc w:val="center"/>
                    <w:textAlignment w:val="center"/>
                    <w:rPr>
                      <w:bCs/>
                      <w:szCs w:val="21"/>
                    </w:rPr>
                  </w:pPr>
                  <w:r>
                    <w:rPr>
                      <w:kern w:val="0"/>
                      <w:szCs w:val="21"/>
                    </w:rPr>
                    <w:t>19625</w:t>
                  </w:r>
                </w:p>
              </w:tc>
              <w:tc>
                <w:tcPr>
                  <w:tcW w:w="1700" w:type="dxa"/>
                  <w:tcBorders>
                    <w:tl2br w:val="nil"/>
                    <w:tr2bl w:val="nil"/>
                  </w:tcBorders>
                  <w:vAlign w:val="center"/>
                </w:tcPr>
                <w:p>
                  <w:pPr>
                    <w:widowControl/>
                    <w:jc w:val="center"/>
                    <w:textAlignment w:val="center"/>
                    <w:rPr>
                      <w:kern w:val="0"/>
                      <w:szCs w:val="21"/>
                    </w:rPr>
                  </w:pPr>
                  <w:r>
                    <w:rPr>
                      <w:kern w:val="0"/>
                      <w:szCs w:val="21"/>
                    </w:rPr>
                    <w:t>/</w:t>
                  </w:r>
                </w:p>
              </w:tc>
              <w:tc>
                <w:tcPr>
                  <w:tcW w:w="663"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7" w:type="dxa"/>
                  <w:vMerge w:val="continue"/>
                  <w:tcBorders>
                    <w:tl2br w:val="nil"/>
                    <w:tr2bl w:val="nil"/>
                  </w:tcBorders>
                  <w:vAlign w:val="center"/>
                </w:tcPr>
                <w:p>
                  <w:pPr>
                    <w:pStyle w:val="11"/>
                    <w:spacing w:after="0"/>
                    <w:ind w:firstLine="0" w:firstLineChars="0"/>
                    <w:jc w:val="center"/>
                    <w:rPr>
                      <w:szCs w:val="21"/>
                    </w:rPr>
                  </w:pPr>
                </w:p>
              </w:tc>
              <w:tc>
                <w:tcPr>
                  <w:tcW w:w="1028" w:type="dxa"/>
                  <w:vMerge w:val="restart"/>
                  <w:tcBorders>
                    <w:tl2br w:val="nil"/>
                    <w:tr2bl w:val="nil"/>
                  </w:tcBorders>
                  <w:vAlign w:val="center"/>
                </w:tcPr>
                <w:p>
                  <w:pPr>
                    <w:pStyle w:val="11"/>
                    <w:spacing w:after="0"/>
                    <w:ind w:firstLine="0" w:firstLineChars="0"/>
                    <w:jc w:val="center"/>
                    <w:rPr>
                      <w:szCs w:val="21"/>
                    </w:rPr>
                  </w:pPr>
                  <w:r>
                    <w:rPr>
                      <w:szCs w:val="21"/>
                    </w:rPr>
                    <w:t>颗粒物</w:t>
                  </w:r>
                </w:p>
              </w:tc>
              <w:tc>
                <w:tcPr>
                  <w:tcW w:w="1630"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826" w:type="dxa"/>
                  <w:tcBorders>
                    <w:tl2br w:val="nil"/>
                    <w:tr2bl w:val="nil"/>
                  </w:tcBorders>
                  <w:vAlign w:val="center"/>
                </w:tcPr>
                <w:p>
                  <w:pPr>
                    <w:widowControl/>
                    <w:jc w:val="center"/>
                    <w:textAlignment w:val="center"/>
                    <w:rPr>
                      <w:bCs/>
                      <w:szCs w:val="21"/>
                    </w:rPr>
                  </w:pPr>
                  <w:r>
                    <w:rPr>
                      <w:bCs/>
                      <w:szCs w:val="21"/>
                    </w:rPr>
                    <w:t>2.6</w:t>
                  </w:r>
                </w:p>
              </w:tc>
              <w:tc>
                <w:tcPr>
                  <w:tcW w:w="826" w:type="dxa"/>
                  <w:tcBorders>
                    <w:tl2br w:val="nil"/>
                    <w:tr2bl w:val="nil"/>
                  </w:tcBorders>
                  <w:vAlign w:val="center"/>
                </w:tcPr>
                <w:p>
                  <w:pPr>
                    <w:widowControl/>
                    <w:jc w:val="center"/>
                    <w:textAlignment w:val="center"/>
                    <w:rPr>
                      <w:bCs/>
                      <w:szCs w:val="21"/>
                    </w:rPr>
                  </w:pPr>
                  <w:r>
                    <w:rPr>
                      <w:bCs/>
                      <w:szCs w:val="21"/>
                    </w:rPr>
                    <w:t>2.4</w:t>
                  </w:r>
                </w:p>
              </w:tc>
              <w:tc>
                <w:tcPr>
                  <w:tcW w:w="826" w:type="dxa"/>
                  <w:tcBorders>
                    <w:tl2br w:val="nil"/>
                    <w:tr2bl w:val="nil"/>
                  </w:tcBorders>
                  <w:vAlign w:val="center"/>
                </w:tcPr>
                <w:p>
                  <w:pPr>
                    <w:widowControl/>
                    <w:jc w:val="center"/>
                    <w:textAlignment w:val="center"/>
                    <w:rPr>
                      <w:bCs/>
                      <w:szCs w:val="21"/>
                    </w:rPr>
                  </w:pPr>
                  <w:r>
                    <w:rPr>
                      <w:bCs/>
                      <w:szCs w:val="21"/>
                    </w:rPr>
                    <w:t>2.1</w:t>
                  </w:r>
                </w:p>
              </w:tc>
              <w:tc>
                <w:tcPr>
                  <w:tcW w:w="830" w:type="dxa"/>
                  <w:tcBorders>
                    <w:tl2br w:val="nil"/>
                    <w:tr2bl w:val="nil"/>
                  </w:tcBorders>
                  <w:vAlign w:val="center"/>
                </w:tcPr>
                <w:p>
                  <w:pPr>
                    <w:widowControl/>
                    <w:jc w:val="center"/>
                    <w:textAlignment w:val="center"/>
                    <w:rPr>
                      <w:bCs/>
                      <w:szCs w:val="21"/>
                    </w:rPr>
                  </w:pPr>
                  <w:r>
                    <w:rPr>
                      <w:kern w:val="0"/>
                      <w:szCs w:val="21"/>
                    </w:rPr>
                    <w:t>2.4</w:t>
                  </w:r>
                </w:p>
              </w:tc>
              <w:tc>
                <w:tcPr>
                  <w:tcW w:w="1700" w:type="dxa"/>
                  <w:tcBorders>
                    <w:tl2br w:val="nil"/>
                    <w:tr2bl w:val="nil"/>
                  </w:tcBorders>
                  <w:vAlign w:val="center"/>
                </w:tcPr>
                <w:p>
                  <w:pPr>
                    <w:tabs>
                      <w:tab w:val="left" w:pos="2385"/>
                      <w:tab w:val="center" w:pos="4819"/>
                    </w:tabs>
                    <w:adjustRightInd w:val="0"/>
                    <w:snapToGrid w:val="0"/>
                    <w:jc w:val="center"/>
                    <w:rPr>
                      <w:bCs/>
                      <w:szCs w:val="21"/>
                    </w:rPr>
                  </w:pPr>
                  <w:r>
                    <w:rPr>
                      <w:bCs/>
                      <w:szCs w:val="21"/>
                    </w:rPr>
                    <w:t>30</w:t>
                  </w:r>
                </w:p>
              </w:tc>
              <w:tc>
                <w:tcPr>
                  <w:tcW w:w="663"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7" w:type="dxa"/>
                  <w:vMerge w:val="continue"/>
                  <w:tcBorders>
                    <w:tl2br w:val="nil"/>
                    <w:tr2bl w:val="nil"/>
                  </w:tcBorders>
                  <w:vAlign w:val="center"/>
                </w:tcPr>
                <w:p>
                  <w:pPr>
                    <w:tabs>
                      <w:tab w:val="left" w:pos="2385"/>
                      <w:tab w:val="center" w:pos="4819"/>
                    </w:tabs>
                    <w:adjustRightInd w:val="0"/>
                    <w:snapToGrid w:val="0"/>
                    <w:jc w:val="center"/>
                    <w:rPr>
                      <w:szCs w:val="21"/>
                    </w:rPr>
                  </w:pPr>
                </w:p>
              </w:tc>
              <w:tc>
                <w:tcPr>
                  <w:tcW w:w="1028" w:type="dxa"/>
                  <w:vMerge w:val="continue"/>
                  <w:tcBorders>
                    <w:tl2br w:val="nil"/>
                    <w:tr2bl w:val="nil"/>
                  </w:tcBorders>
                  <w:vAlign w:val="center"/>
                </w:tcPr>
                <w:p>
                  <w:pPr>
                    <w:adjustRightInd w:val="0"/>
                    <w:snapToGrid w:val="0"/>
                    <w:jc w:val="center"/>
                    <w:rPr>
                      <w:szCs w:val="21"/>
                    </w:rPr>
                  </w:pPr>
                </w:p>
              </w:tc>
              <w:tc>
                <w:tcPr>
                  <w:tcW w:w="1630" w:type="dxa"/>
                  <w:tcBorders>
                    <w:tl2br w:val="nil"/>
                    <w:tr2bl w:val="nil"/>
                  </w:tcBorders>
                  <w:vAlign w:val="center"/>
                </w:tcPr>
                <w:p>
                  <w:pPr>
                    <w:adjustRightInd w:val="0"/>
                    <w:snapToGrid w:val="0"/>
                    <w:jc w:val="center"/>
                    <w:rPr>
                      <w:szCs w:val="21"/>
                    </w:rPr>
                  </w:pPr>
                  <w:r>
                    <w:rPr>
                      <w:szCs w:val="21"/>
                    </w:rPr>
                    <w:t>排放速率kg/h</w:t>
                  </w:r>
                </w:p>
              </w:tc>
              <w:tc>
                <w:tcPr>
                  <w:tcW w:w="826" w:type="dxa"/>
                  <w:tcBorders>
                    <w:tl2br w:val="nil"/>
                    <w:tr2bl w:val="nil"/>
                  </w:tcBorders>
                  <w:vAlign w:val="center"/>
                </w:tcPr>
                <w:p>
                  <w:pPr>
                    <w:widowControl/>
                    <w:jc w:val="center"/>
                    <w:textAlignment w:val="center"/>
                    <w:rPr>
                      <w:bCs/>
                      <w:szCs w:val="21"/>
                    </w:rPr>
                  </w:pPr>
                  <w:r>
                    <w:rPr>
                      <w:kern w:val="0"/>
                      <w:szCs w:val="21"/>
                    </w:rPr>
                    <w:t>0.052</w:t>
                  </w:r>
                </w:p>
              </w:tc>
              <w:tc>
                <w:tcPr>
                  <w:tcW w:w="826" w:type="dxa"/>
                  <w:tcBorders>
                    <w:tl2br w:val="nil"/>
                    <w:tr2bl w:val="nil"/>
                  </w:tcBorders>
                  <w:vAlign w:val="center"/>
                </w:tcPr>
                <w:p>
                  <w:pPr>
                    <w:widowControl/>
                    <w:jc w:val="center"/>
                    <w:textAlignment w:val="center"/>
                    <w:rPr>
                      <w:bCs/>
                      <w:szCs w:val="21"/>
                    </w:rPr>
                  </w:pPr>
                  <w:r>
                    <w:rPr>
                      <w:kern w:val="0"/>
                      <w:szCs w:val="21"/>
                    </w:rPr>
                    <w:t>0.047</w:t>
                  </w:r>
                </w:p>
              </w:tc>
              <w:tc>
                <w:tcPr>
                  <w:tcW w:w="826" w:type="dxa"/>
                  <w:tcBorders>
                    <w:tl2br w:val="nil"/>
                    <w:tr2bl w:val="nil"/>
                  </w:tcBorders>
                  <w:vAlign w:val="center"/>
                </w:tcPr>
                <w:p>
                  <w:pPr>
                    <w:widowControl/>
                    <w:jc w:val="center"/>
                    <w:textAlignment w:val="center"/>
                    <w:rPr>
                      <w:bCs/>
                      <w:szCs w:val="21"/>
                    </w:rPr>
                  </w:pPr>
                  <w:r>
                    <w:rPr>
                      <w:kern w:val="0"/>
                      <w:szCs w:val="21"/>
                    </w:rPr>
                    <w:t>0.041</w:t>
                  </w:r>
                </w:p>
              </w:tc>
              <w:tc>
                <w:tcPr>
                  <w:tcW w:w="830" w:type="dxa"/>
                  <w:tcBorders>
                    <w:tl2br w:val="nil"/>
                    <w:tr2bl w:val="nil"/>
                  </w:tcBorders>
                  <w:vAlign w:val="center"/>
                </w:tcPr>
                <w:p>
                  <w:pPr>
                    <w:widowControl/>
                    <w:jc w:val="center"/>
                    <w:textAlignment w:val="center"/>
                    <w:rPr>
                      <w:bCs/>
                      <w:szCs w:val="21"/>
                    </w:rPr>
                  </w:pPr>
                  <w:r>
                    <w:rPr>
                      <w:kern w:val="0"/>
                      <w:szCs w:val="21"/>
                    </w:rPr>
                    <w:t>0.047</w:t>
                  </w:r>
                </w:p>
              </w:tc>
              <w:tc>
                <w:tcPr>
                  <w:tcW w:w="1700"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663"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7" w:type="dxa"/>
                  <w:vMerge w:val="restart"/>
                  <w:tcBorders>
                    <w:tl2br w:val="nil"/>
                    <w:tr2bl w:val="nil"/>
                  </w:tcBorders>
                  <w:vAlign w:val="center"/>
                </w:tcPr>
                <w:p>
                  <w:pPr>
                    <w:adjustRightInd w:val="0"/>
                    <w:snapToGrid w:val="0"/>
                    <w:jc w:val="center"/>
                    <w:rPr>
                      <w:szCs w:val="21"/>
                    </w:rPr>
                  </w:pPr>
                  <w:r>
                    <w:rPr>
                      <w:szCs w:val="21"/>
                    </w:rPr>
                    <w:t>中频感应炉净化后</w:t>
                  </w:r>
                </w:p>
                <w:p>
                  <w:pPr>
                    <w:adjustRightInd w:val="0"/>
                    <w:snapToGrid w:val="0"/>
                    <w:jc w:val="center"/>
                    <w:rPr>
                      <w:szCs w:val="21"/>
                    </w:rPr>
                  </w:pPr>
                  <w:r>
                    <w:rPr>
                      <w:szCs w:val="21"/>
                    </w:rPr>
                    <w:t>5月22日</w:t>
                  </w:r>
                </w:p>
              </w:tc>
              <w:tc>
                <w:tcPr>
                  <w:tcW w:w="2658" w:type="dxa"/>
                  <w:gridSpan w:val="2"/>
                  <w:tcBorders>
                    <w:tl2br w:val="nil"/>
                    <w:tr2bl w:val="nil"/>
                  </w:tcBorders>
                  <w:vAlign w:val="center"/>
                </w:tcPr>
                <w:p>
                  <w:pPr>
                    <w:pStyle w:val="11"/>
                    <w:spacing w:after="0"/>
                    <w:ind w:firstLine="0" w:firstLineChars="0"/>
                    <w:jc w:val="center"/>
                    <w:rPr>
                      <w:szCs w:val="21"/>
                    </w:rPr>
                  </w:pPr>
                  <w:r>
                    <w:rPr>
                      <w:szCs w:val="21"/>
                    </w:rPr>
                    <w:t>标干流量Nm</w:t>
                  </w:r>
                  <w:r>
                    <w:rPr>
                      <w:szCs w:val="21"/>
                      <w:vertAlign w:val="superscript"/>
                    </w:rPr>
                    <w:t>3</w:t>
                  </w:r>
                  <w:r>
                    <w:rPr>
                      <w:szCs w:val="21"/>
                    </w:rPr>
                    <w:t>/h</w:t>
                  </w:r>
                </w:p>
              </w:tc>
              <w:tc>
                <w:tcPr>
                  <w:tcW w:w="826" w:type="dxa"/>
                  <w:tcBorders>
                    <w:tl2br w:val="nil"/>
                    <w:tr2bl w:val="nil"/>
                  </w:tcBorders>
                  <w:vAlign w:val="center"/>
                </w:tcPr>
                <w:p>
                  <w:pPr>
                    <w:widowControl/>
                    <w:jc w:val="center"/>
                    <w:textAlignment w:val="center"/>
                    <w:rPr>
                      <w:bCs/>
                      <w:szCs w:val="21"/>
                    </w:rPr>
                  </w:pPr>
                  <w:r>
                    <w:rPr>
                      <w:bCs/>
                      <w:szCs w:val="21"/>
                    </w:rPr>
                    <w:t>20075</w:t>
                  </w:r>
                </w:p>
              </w:tc>
              <w:tc>
                <w:tcPr>
                  <w:tcW w:w="826" w:type="dxa"/>
                  <w:tcBorders>
                    <w:tl2br w:val="nil"/>
                    <w:tr2bl w:val="nil"/>
                  </w:tcBorders>
                  <w:vAlign w:val="center"/>
                </w:tcPr>
                <w:p>
                  <w:pPr>
                    <w:widowControl/>
                    <w:jc w:val="center"/>
                    <w:textAlignment w:val="center"/>
                    <w:rPr>
                      <w:bCs/>
                      <w:szCs w:val="21"/>
                    </w:rPr>
                  </w:pPr>
                  <w:r>
                    <w:rPr>
                      <w:bCs/>
                      <w:szCs w:val="21"/>
                    </w:rPr>
                    <w:t>20124</w:t>
                  </w:r>
                </w:p>
              </w:tc>
              <w:tc>
                <w:tcPr>
                  <w:tcW w:w="826" w:type="dxa"/>
                  <w:tcBorders>
                    <w:tl2br w:val="nil"/>
                    <w:tr2bl w:val="nil"/>
                  </w:tcBorders>
                  <w:vAlign w:val="center"/>
                </w:tcPr>
                <w:p>
                  <w:pPr>
                    <w:widowControl/>
                    <w:jc w:val="center"/>
                    <w:textAlignment w:val="center"/>
                    <w:rPr>
                      <w:bCs/>
                      <w:szCs w:val="21"/>
                    </w:rPr>
                  </w:pPr>
                  <w:r>
                    <w:rPr>
                      <w:bCs/>
                      <w:szCs w:val="21"/>
                    </w:rPr>
                    <w:t>20038</w:t>
                  </w:r>
                </w:p>
              </w:tc>
              <w:tc>
                <w:tcPr>
                  <w:tcW w:w="830" w:type="dxa"/>
                  <w:tcBorders>
                    <w:tl2br w:val="nil"/>
                    <w:tr2bl w:val="nil"/>
                  </w:tcBorders>
                  <w:vAlign w:val="center"/>
                </w:tcPr>
                <w:p>
                  <w:pPr>
                    <w:widowControl/>
                    <w:jc w:val="center"/>
                    <w:textAlignment w:val="center"/>
                    <w:rPr>
                      <w:bCs/>
                      <w:szCs w:val="21"/>
                    </w:rPr>
                  </w:pPr>
                  <w:r>
                    <w:rPr>
                      <w:kern w:val="0"/>
                      <w:szCs w:val="21"/>
                    </w:rPr>
                    <w:t>20079</w:t>
                  </w:r>
                </w:p>
              </w:tc>
              <w:tc>
                <w:tcPr>
                  <w:tcW w:w="1700" w:type="dxa"/>
                  <w:tcBorders>
                    <w:tl2br w:val="nil"/>
                    <w:tr2bl w:val="nil"/>
                  </w:tcBorders>
                  <w:vAlign w:val="center"/>
                </w:tcPr>
                <w:p>
                  <w:pPr>
                    <w:widowControl/>
                    <w:jc w:val="center"/>
                    <w:textAlignment w:val="center"/>
                    <w:rPr>
                      <w:kern w:val="0"/>
                      <w:szCs w:val="21"/>
                    </w:rPr>
                  </w:pPr>
                  <w:r>
                    <w:rPr>
                      <w:kern w:val="0"/>
                      <w:szCs w:val="21"/>
                    </w:rPr>
                    <w:t>/</w:t>
                  </w:r>
                </w:p>
              </w:tc>
              <w:tc>
                <w:tcPr>
                  <w:tcW w:w="663"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7" w:type="dxa"/>
                  <w:vMerge w:val="continue"/>
                  <w:tcBorders>
                    <w:tl2br w:val="nil"/>
                    <w:tr2bl w:val="nil"/>
                  </w:tcBorders>
                  <w:vAlign w:val="center"/>
                </w:tcPr>
                <w:p>
                  <w:pPr>
                    <w:pStyle w:val="11"/>
                    <w:spacing w:after="0"/>
                    <w:ind w:firstLine="0" w:firstLineChars="0"/>
                    <w:jc w:val="center"/>
                    <w:rPr>
                      <w:szCs w:val="21"/>
                    </w:rPr>
                  </w:pPr>
                </w:p>
              </w:tc>
              <w:tc>
                <w:tcPr>
                  <w:tcW w:w="1028" w:type="dxa"/>
                  <w:vMerge w:val="restart"/>
                  <w:tcBorders>
                    <w:tl2br w:val="nil"/>
                    <w:tr2bl w:val="nil"/>
                  </w:tcBorders>
                  <w:vAlign w:val="center"/>
                </w:tcPr>
                <w:p>
                  <w:pPr>
                    <w:pStyle w:val="11"/>
                    <w:spacing w:after="0"/>
                    <w:ind w:firstLine="0" w:firstLineChars="0"/>
                    <w:jc w:val="center"/>
                    <w:rPr>
                      <w:szCs w:val="21"/>
                    </w:rPr>
                  </w:pPr>
                  <w:r>
                    <w:rPr>
                      <w:szCs w:val="21"/>
                    </w:rPr>
                    <w:t>颗粒物</w:t>
                  </w:r>
                </w:p>
              </w:tc>
              <w:tc>
                <w:tcPr>
                  <w:tcW w:w="1630"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826" w:type="dxa"/>
                  <w:tcBorders>
                    <w:tl2br w:val="nil"/>
                    <w:tr2bl w:val="nil"/>
                  </w:tcBorders>
                  <w:vAlign w:val="center"/>
                </w:tcPr>
                <w:p>
                  <w:pPr>
                    <w:widowControl/>
                    <w:jc w:val="center"/>
                    <w:textAlignment w:val="center"/>
                    <w:rPr>
                      <w:bCs/>
                      <w:szCs w:val="21"/>
                    </w:rPr>
                  </w:pPr>
                  <w:r>
                    <w:rPr>
                      <w:bCs/>
                      <w:szCs w:val="21"/>
                    </w:rPr>
                    <w:t>2.2</w:t>
                  </w:r>
                </w:p>
              </w:tc>
              <w:tc>
                <w:tcPr>
                  <w:tcW w:w="826" w:type="dxa"/>
                  <w:tcBorders>
                    <w:tl2br w:val="nil"/>
                    <w:tr2bl w:val="nil"/>
                  </w:tcBorders>
                  <w:vAlign w:val="center"/>
                </w:tcPr>
                <w:p>
                  <w:pPr>
                    <w:widowControl/>
                    <w:jc w:val="center"/>
                    <w:textAlignment w:val="center"/>
                    <w:rPr>
                      <w:bCs/>
                      <w:szCs w:val="21"/>
                    </w:rPr>
                  </w:pPr>
                  <w:r>
                    <w:rPr>
                      <w:bCs/>
                      <w:szCs w:val="21"/>
                    </w:rPr>
                    <w:t>2.3</w:t>
                  </w:r>
                </w:p>
              </w:tc>
              <w:tc>
                <w:tcPr>
                  <w:tcW w:w="826" w:type="dxa"/>
                  <w:tcBorders>
                    <w:tl2br w:val="nil"/>
                    <w:tr2bl w:val="nil"/>
                  </w:tcBorders>
                  <w:vAlign w:val="center"/>
                </w:tcPr>
                <w:p>
                  <w:pPr>
                    <w:widowControl/>
                    <w:jc w:val="center"/>
                    <w:textAlignment w:val="center"/>
                    <w:rPr>
                      <w:bCs/>
                      <w:szCs w:val="21"/>
                    </w:rPr>
                  </w:pPr>
                  <w:r>
                    <w:rPr>
                      <w:bCs/>
                      <w:szCs w:val="21"/>
                    </w:rPr>
                    <w:t>1.5</w:t>
                  </w:r>
                </w:p>
              </w:tc>
              <w:tc>
                <w:tcPr>
                  <w:tcW w:w="830" w:type="dxa"/>
                  <w:tcBorders>
                    <w:tl2br w:val="nil"/>
                    <w:tr2bl w:val="nil"/>
                  </w:tcBorders>
                  <w:vAlign w:val="center"/>
                </w:tcPr>
                <w:p>
                  <w:pPr>
                    <w:widowControl/>
                    <w:jc w:val="center"/>
                    <w:textAlignment w:val="center"/>
                    <w:rPr>
                      <w:bCs/>
                      <w:szCs w:val="21"/>
                    </w:rPr>
                  </w:pPr>
                  <w:r>
                    <w:rPr>
                      <w:kern w:val="0"/>
                      <w:szCs w:val="21"/>
                    </w:rPr>
                    <w:t>2.0</w:t>
                  </w:r>
                </w:p>
              </w:tc>
              <w:tc>
                <w:tcPr>
                  <w:tcW w:w="1700" w:type="dxa"/>
                  <w:tcBorders>
                    <w:tl2br w:val="nil"/>
                    <w:tr2bl w:val="nil"/>
                  </w:tcBorders>
                  <w:vAlign w:val="center"/>
                </w:tcPr>
                <w:p>
                  <w:pPr>
                    <w:tabs>
                      <w:tab w:val="left" w:pos="2385"/>
                      <w:tab w:val="center" w:pos="4819"/>
                    </w:tabs>
                    <w:adjustRightInd w:val="0"/>
                    <w:snapToGrid w:val="0"/>
                    <w:jc w:val="center"/>
                    <w:rPr>
                      <w:bCs/>
                      <w:szCs w:val="21"/>
                    </w:rPr>
                  </w:pPr>
                  <w:r>
                    <w:rPr>
                      <w:bCs/>
                      <w:szCs w:val="21"/>
                    </w:rPr>
                    <w:t>30</w:t>
                  </w:r>
                </w:p>
              </w:tc>
              <w:tc>
                <w:tcPr>
                  <w:tcW w:w="663"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7" w:type="dxa"/>
                  <w:vMerge w:val="continue"/>
                  <w:tcBorders>
                    <w:tl2br w:val="nil"/>
                    <w:tr2bl w:val="nil"/>
                  </w:tcBorders>
                  <w:vAlign w:val="center"/>
                </w:tcPr>
                <w:p>
                  <w:pPr>
                    <w:tabs>
                      <w:tab w:val="left" w:pos="2385"/>
                      <w:tab w:val="center" w:pos="4819"/>
                    </w:tabs>
                    <w:adjustRightInd w:val="0"/>
                    <w:snapToGrid w:val="0"/>
                    <w:jc w:val="center"/>
                    <w:rPr>
                      <w:szCs w:val="21"/>
                    </w:rPr>
                  </w:pPr>
                </w:p>
              </w:tc>
              <w:tc>
                <w:tcPr>
                  <w:tcW w:w="1028" w:type="dxa"/>
                  <w:vMerge w:val="continue"/>
                  <w:tcBorders>
                    <w:tl2br w:val="nil"/>
                    <w:tr2bl w:val="nil"/>
                  </w:tcBorders>
                  <w:vAlign w:val="center"/>
                </w:tcPr>
                <w:p>
                  <w:pPr>
                    <w:adjustRightInd w:val="0"/>
                    <w:snapToGrid w:val="0"/>
                    <w:jc w:val="center"/>
                    <w:rPr>
                      <w:szCs w:val="21"/>
                    </w:rPr>
                  </w:pPr>
                </w:p>
              </w:tc>
              <w:tc>
                <w:tcPr>
                  <w:tcW w:w="1630" w:type="dxa"/>
                  <w:tcBorders>
                    <w:tl2br w:val="nil"/>
                    <w:tr2bl w:val="nil"/>
                  </w:tcBorders>
                  <w:vAlign w:val="center"/>
                </w:tcPr>
                <w:p>
                  <w:pPr>
                    <w:adjustRightInd w:val="0"/>
                    <w:snapToGrid w:val="0"/>
                    <w:jc w:val="center"/>
                    <w:rPr>
                      <w:szCs w:val="21"/>
                    </w:rPr>
                  </w:pPr>
                  <w:r>
                    <w:rPr>
                      <w:szCs w:val="21"/>
                    </w:rPr>
                    <w:t>排放速率kg/h</w:t>
                  </w:r>
                </w:p>
              </w:tc>
              <w:tc>
                <w:tcPr>
                  <w:tcW w:w="826" w:type="dxa"/>
                  <w:tcBorders>
                    <w:tl2br w:val="nil"/>
                    <w:tr2bl w:val="nil"/>
                  </w:tcBorders>
                  <w:vAlign w:val="center"/>
                </w:tcPr>
                <w:p>
                  <w:pPr>
                    <w:widowControl/>
                    <w:jc w:val="center"/>
                    <w:textAlignment w:val="center"/>
                    <w:rPr>
                      <w:bCs/>
                      <w:szCs w:val="21"/>
                    </w:rPr>
                  </w:pPr>
                  <w:r>
                    <w:rPr>
                      <w:kern w:val="0"/>
                      <w:szCs w:val="21"/>
                    </w:rPr>
                    <w:t>0.044</w:t>
                  </w:r>
                </w:p>
              </w:tc>
              <w:tc>
                <w:tcPr>
                  <w:tcW w:w="826" w:type="dxa"/>
                  <w:tcBorders>
                    <w:tl2br w:val="nil"/>
                    <w:tr2bl w:val="nil"/>
                  </w:tcBorders>
                  <w:vAlign w:val="center"/>
                </w:tcPr>
                <w:p>
                  <w:pPr>
                    <w:widowControl/>
                    <w:jc w:val="center"/>
                    <w:textAlignment w:val="center"/>
                    <w:rPr>
                      <w:bCs/>
                      <w:szCs w:val="21"/>
                    </w:rPr>
                  </w:pPr>
                  <w:r>
                    <w:rPr>
                      <w:kern w:val="0"/>
                      <w:szCs w:val="21"/>
                    </w:rPr>
                    <w:t>0.046</w:t>
                  </w:r>
                </w:p>
              </w:tc>
              <w:tc>
                <w:tcPr>
                  <w:tcW w:w="826" w:type="dxa"/>
                  <w:tcBorders>
                    <w:tl2br w:val="nil"/>
                    <w:tr2bl w:val="nil"/>
                  </w:tcBorders>
                  <w:vAlign w:val="center"/>
                </w:tcPr>
                <w:p>
                  <w:pPr>
                    <w:widowControl/>
                    <w:jc w:val="center"/>
                    <w:textAlignment w:val="center"/>
                    <w:rPr>
                      <w:bCs/>
                      <w:szCs w:val="21"/>
                    </w:rPr>
                  </w:pPr>
                  <w:r>
                    <w:rPr>
                      <w:kern w:val="0"/>
                      <w:szCs w:val="21"/>
                    </w:rPr>
                    <w:t>0.030</w:t>
                  </w:r>
                </w:p>
              </w:tc>
              <w:tc>
                <w:tcPr>
                  <w:tcW w:w="830" w:type="dxa"/>
                  <w:tcBorders>
                    <w:tl2br w:val="nil"/>
                    <w:tr2bl w:val="nil"/>
                  </w:tcBorders>
                  <w:vAlign w:val="center"/>
                </w:tcPr>
                <w:p>
                  <w:pPr>
                    <w:widowControl/>
                    <w:jc w:val="center"/>
                    <w:textAlignment w:val="center"/>
                    <w:rPr>
                      <w:bCs/>
                      <w:szCs w:val="21"/>
                    </w:rPr>
                  </w:pPr>
                  <w:r>
                    <w:rPr>
                      <w:kern w:val="0"/>
                      <w:szCs w:val="21"/>
                    </w:rPr>
                    <w:t>0.040</w:t>
                  </w:r>
                </w:p>
              </w:tc>
              <w:tc>
                <w:tcPr>
                  <w:tcW w:w="1700"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663" w:type="dxa"/>
                  <w:tcBorders>
                    <w:tl2br w:val="nil"/>
                    <w:tr2bl w:val="nil"/>
                  </w:tcBorders>
                  <w:vAlign w:val="center"/>
                </w:tcPr>
                <w:p>
                  <w:pPr>
                    <w:widowControl/>
                    <w:jc w:val="center"/>
                    <w:textAlignment w:val="center"/>
                    <w:rPr>
                      <w:kern w:val="0"/>
                      <w:szCs w:val="21"/>
                    </w:rPr>
                  </w:pPr>
                  <w:r>
                    <w:rPr>
                      <w:kern w:val="0"/>
                      <w:szCs w:val="21"/>
                    </w:rPr>
                    <w:t>/</w:t>
                  </w:r>
                </w:p>
              </w:tc>
            </w:tr>
          </w:tbl>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p>
            <w:pPr>
              <w:adjustRightInd w:val="0"/>
              <w:snapToGrid w:val="0"/>
              <w:spacing w:line="360" w:lineRule="auto"/>
              <w:rPr>
                <w:rFonts w:ascii="宋体" w:hAnsi="宋体"/>
                <w:sz w:val="24"/>
              </w:rPr>
            </w:pPr>
          </w:p>
          <w:tbl>
            <w:tblPr>
              <w:tblStyle w:val="12"/>
              <w:tblW w:w="96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705"/>
              <w:gridCol w:w="1131"/>
              <w:gridCol w:w="986"/>
              <w:gridCol w:w="1129"/>
              <w:gridCol w:w="984"/>
              <w:gridCol w:w="992"/>
              <w:gridCol w:w="847"/>
              <w:gridCol w:w="1129"/>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1" w:type="dxa"/>
                  <w:vMerge w:val="restart"/>
                  <w:tcBorders>
                    <w:tl2br w:val="nil"/>
                    <w:tr2bl w:val="nil"/>
                  </w:tcBorders>
                  <w:vAlign w:val="center"/>
                </w:tcPr>
                <w:p>
                  <w:pPr>
                    <w:tabs>
                      <w:tab w:val="left" w:pos="2385"/>
                      <w:tab w:val="center" w:pos="4819"/>
                    </w:tabs>
                    <w:adjustRightInd w:val="0"/>
                    <w:snapToGrid w:val="0"/>
                    <w:jc w:val="center"/>
                    <w:rPr>
                      <w:bCs/>
                      <w:szCs w:val="21"/>
                    </w:rPr>
                  </w:pPr>
                  <w:r>
                    <w:rPr>
                      <w:bCs/>
                      <w:szCs w:val="21"/>
                    </w:rPr>
                    <w:t>检测点位</w:t>
                  </w:r>
                </w:p>
                <w:p>
                  <w:pPr>
                    <w:adjustRightInd w:val="0"/>
                    <w:snapToGrid w:val="0"/>
                    <w:jc w:val="center"/>
                    <w:rPr>
                      <w:szCs w:val="21"/>
                    </w:rPr>
                  </w:pPr>
                  <w:r>
                    <w:rPr>
                      <w:bCs/>
                      <w:szCs w:val="21"/>
                    </w:rPr>
                    <w:t>及采样日期</w:t>
                  </w:r>
                </w:p>
              </w:tc>
              <w:tc>
                <w:tcPr>
                  <w:tcW w:w="1836" w:type="dxa"/>
                  <w:gridSpan w:val="2"/>
                  <w:vMerge w:val="restart"/>
                  <w:tcBorders>
                    <w:tl2br w:val="nil"/>
                    <w:tr2bl w:val="nil"/>
                  </w:tcBorders>
                  <w:vAlign w:val="center"/>
                </w:tcPr>
                <w:p>
                  <w:pPr>
                    <w:adjustRightInd w:val="0"/>
                    <w:snapToGrid w:val="0"/>
                    <w:jc w:val="center"/>
                    <w:rPr>
                      <w:szCs w:val="21"/>
                    </w:rPr>
                  </w:pPr>
                  <w:r>
                    <w:rPr>
                      <w:szCs w:val="21"/>
                    </w:rPr>
                    <w:t>检测项目</w:t>
                  </w:r>
                </w:p>
              </w:tc>
              <w:tc>
                <w:tcPr>
                  <w:tcW w:w="4091" w:type="dxa"/>
                  <w:gridSpan w:val="4"/>
                  <w:tcBorders>
                    <w:tl2br w:val="nil"/>
                    <w:tr2bl w:val="nil"/>
                  </w:tcBorders>
                  <w:vAlign w:val="center"/>
                </w:tcPr>
                <w:p>
                  <w:pPr>
                    <w:widowControl/>
                    <w:jc w:val="center"/>
                    <w:rPr>
                      <w:szCs w:val="21"/>
                    </w:rPr>
                  </w:pPr>
                  <w:r>
                    <w:rPr>
                      <w:szCs w:val="21"/>
                    </w:rPr>
                    <w:t>测量值</w:t>
                  </w:r>
                </w:p>
              </w:tc>
              <w:tc>
                <w:tcPr>
                  <w:tcW w:w="1976" w:type="dxa"/>
                  <w:gridSpan w:val="2"/>
                  <w:tcBorders>
                    <w:tl2br w:val="nil"/>
                    <w:tr2bl w:val="nil"/>
                  </w:tcBorders>
                  <w:vAlign w:val="center"/>
                </w:tcPr>
                <w:p>
                  <w:pPr>
                    <w:widowControl/>
                    <w:jc w:val="center"/>
                    <w:rPr>
                      <w:szCs w:val="21"/>
                    </w:rPr>
                  </w:pPr>
                  <w:r>
                    <w:rPr>
                      <w:szCs w:val="21"/>
                    </w:rPr>
                    <w:t>执行标准及限值</w:t>
                  </w:r>
                </w:p>
              </w:tc>
              <w:tc>
                <w:tcPr>
                  <w:tcW w:w="791" w:type="dxa"/>
                  <w:vMerge w:val="restart"/>
                  <w:tcBorders>
                    <w:tl2br w:val="nil"/>
                    <w:tr2bl w:val="nil"/>
                  </w:tcBorders>
                  <w:vAlign w:val="center"/>
                </w:tcPr>
                <w:p>
                  <w:pPr>
                    <w:widowControl/>
                    <w:jc w:val="center"/>
                    <w:rPr>
                      <w:szCs w:val="21"/>
                    </w:rPr>
                  </w:pPr>
                  <w:r>
                    <w:rPr>
                      <w:szCs w:val="21"/>
                    </w:rPr>
                    <w:t>符合</w:t>
                  </w:r>
                </w:p>
                <w:p>
                  <w:pPr>
                    <w:widowControl/>
                    <w:jc w:val="center"/>
                    <w:rPr>
                      <w:szCs w:val="21"/>
                    </w:rPr>
                  </w:pPr>
                  <w:r>
                    <w:rPr>
                      <w:szCs w:val="21"/>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971" w:type="dxa"/>
                  <w:vMerge w:val="continue"/>
                  <w:tcBorders>
                    <w:tl2br w:val="nil"/>
                    <w:tr2bl w:val="nil"/>
                  </w:tcBorders>
                  <w:vAlign w:val="center"/>
                </w:tcPr>
                <w:p>
                  <w:pPr>
                    <w:adjustRightInd w:val="0"/>
                    <w:snapToGrid w:val="0"/>
                    <w:jc w:val="center"/>
                    <w:rPr>
                      <w:szCs w:val="21"/>
                    </w:rPr>
                  </w:pPr>
                </w:p>
              </w:tc>
              <w:tc>
                <w:tcPr>
                  <w:tcW w:w="1836" w:type="dxa"/>
                  <w:gridSpan w:val="2"/>
                  <w:vMerge w:val="continue"/>
                  <w:tcBorders>
                    <w:tl2br w:val="nil"/>
                    <w:tr2bl w:val="nil"/>
                  </w:tcBorders>
                  <w:vAlign w:val="center"/>
                </w:tcPr>
                <w:p>
                  <w:pPr>
                    <w:adjustRightInd w:val="0"/>
                    <w:snapToGrid w:val="0"/>
                    <w:jc w:val="center"/>
                    <w:rPr>
                      <w:szCs w:val="21"/>
                    </w:rPr>
                  </w:pPr>
                </w:p>
              </w:tc>
              <w:tc>
                <w:tcPr>
                  <w:tcW w:w="986" w:type="dxa"/>
                  <w:tcBorders>
                    <w:tl2br w:val="nil"/>
                    <w:tr2bl w:val="nil"/>
                  </w:tcBorders>
                  <w:vAlign w:val="center"/>
                </w:tcPr>
                <w:p>
                  <w:pPr>
                    <w:adjustRightInd w:val="0"/>
                    <w:snapToGrid w:val="0"/>
                    <w:jc w:val="center"/>
                    <w:rPr>
                      <w:szCs w:val="21"/>
                    </w:rPr>
                  </w:pPr>
                  <w:r>
                    <w:rPr>
                      <w:szCs w:val="21"/>
                    </w:rPr>
                    <w:t>第一次</w:t>
                  </w:r>
                </w:p>
              </w:tc>
              <w:tc>
                <w:tcPr>
                  <w:tcW w:w="1129" w:type="dxa"/>
                  <w:tcBorders>
                    <w:tl2br w:val="nil"/>
                    <w:tr2bl w:val="nil"/>
                  </w:tcBorders>
                  <w:vAlign w:val="center"/>
                </w:tcPr>
                <w:p>
                  <w:pPr>
                    <w:adjustRightInd w:val="0"/>
                    <w:snapToGrid w:val="0"/>
                    <w:jc w:val="center"/>
                    <w:rPr>
                      <w:kern w:val="0"/>
                      <w:szCs w:val="21"/>
                    </w:rPr>
                  </w:pPr>
                  <w:r>
                    <w:rPr>
                      <w:kern w:val="0"/>
                      <w:szCs w:val="21"/>
                    </w:rPr>
                    <w:t>第二次</w:t>
                  </w:r>
                </w:p>
              </w:tc>
              <w:tc>
                <w:tcPr>
                  <w:tcW w:w="984" w:type="dxa"/>
                  <w:tcBorders>
                    <w:tl2br w:val="nil"/>
                    <w:tr2bl w:val="nil"/>
                  </w:tcBorders>
                  <w:vAlign w:val="center"/>
                </w:tcPr>
                <w:p>
                  <w:pPr>
                    <w:adjustRightInd w:val="0"/>
                    <w:snapToGrid w:val="0"/>
                    <w:jc w:val="center"/>
                    <w:rPr>
                      <w:kern w:val="0"/>
                      <w:szCs w:val="21"/>
                    </w:rPr>
                  </w:pPr>
                  <w:r>
                    <w:rPr>
                      <w:kern w:val="0"/>
                      <w:szCs w:val="21"/>
                    </w:rPr>
                    <w:t>第三次</w:t>
                  </w:r>
                </w:p>
              </w:tc>
              <w:tc>
                <w:tcPr>
                  <w:tcW w:w="992" w:type="dxa"/>
                  <w:tcBorders>
                    <w:tl2br w:val="nil"/>
                    <w:tr2bl w:val="nil"/>
                  </w:tcBorders>
                  <w:vAlign w:val="center"/>
                </w:tcPr>
                <w:p>
                  <w:pPr>
                    <w:adjustRightInd w:val="0"/>
                    <w:snapToGrid w:val="0"/>
                    <w:jc w:val="center"/>
                    <w:rPr>
                      <w:kern w:val="0"/>
                      <w:szCs w:val="21"/>
                    </w:rPr>
                  </w:pPr>
                  <w:r>
                    <w:rPr>
                      <w:kern w:val="0"/>
                      <w:szCs w:val="21"/>
                    </w:rPr>
                    <w:t>平均值</w:t>
                  </w:r>
                </w:p>
              </w:tc>
              <w:tc>
                <w:tcPr>
                  <w:tcW w:w="847" w:type="dxa"/>
                  <w:tcBorders>
                    <w:tl2br w:val="nil"/>
                    <w:tr2bl w:val="nil"/>
                  </w:tcBorders>
                  <w:vAlign w:val="center"/>
                </w:tcPr>
                <w:p>
                  <w:pPr>
                    <w:adjustRightInd w:val="0"/>
                    <w:snapToGrid w:val="0"/>
                    <w:jc w:val="center"/>
                    <w:rPr>
                      <w:kern w:val="0"/>
                      <w:szCs w:val="21"/>
                    </w:rPr>
                  </w:pPr>
                  <w:r>
                    <w:rPr>
                      <w:szCs w:val="21"/>
                    </w:rPr>
                    <w:t>DB13/2322-2016</w:t>
                  </w:r>
                </w:p>
              </w:tc>
              <w:tc>
                <w:tcPr>
                  <w:tcW w:w="1129" w:type="dxa"/>
                  <w:tcBorders>
                    <w:tl2br w:val="nil"/>
                    <w:tr2bl w:val="nil"/>
                  </w:tcBorders>
                  <w:vAlign w:val="center"/>
                </w:tcPr>
                <w:p>
                  <w:pPr>
                    <w:adjustRightInd w:val="0"/>
                    <w:snapToGrid w:val="0"/>
                    <w:jc w:val="center"/>
                    <w:rPr>
                      <w:szCs w:val="21"/>
                    </w:rPr>
                  </w:pPr>
                  <w:r>
                    <w:rPr>
                      <w:szCs w:val="21"/>
                    </w:rPr>
                    <w:t>GB16297-1996</w:t>
                  </w:r>
                </w:p>
              </w:tc>
              <w:tc>
                <w:tcPr>
                  <w:tcW w:w="791" w:type="dxa"/>
                  <w:vMerge w:val="continue"/>
                  <w:tcBorders>
                    <w:tl2br w:val="nil"/>
                    <w:tr2bl w:val="nil"/>
                  </w:tcBorders>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restart"/>
                  <w:tcBorders>
                    <w:tl2br w:val="nil"/>
                    <w:tr2bl w:val="nil"/>
                  </w:tcBorders>
                  <w:vAlign w:val="center"/>
                </w:tcPr>
                <w:p>
                  <w:pPr>
                    <w:adjustRightInd w:val="0"/>
                    <w:snapToGrid w:val="0"/>
                    <w:jc w:val="center"/>
                    <w:rPr>
                      <w:szCs w:val="21"/>
                    </w:rPr>
                  </w:pPr>
                  <w:r>
                    <w:rPr>
                      <w:rFonts w:hint="eastAsia"/>
                      <w:szCs w:val="21"/>
                    </w:rPr>
                    <w:t>造型浇铸</w:t>
                  </w:r>
                  <w:r>
                    <w:rPr>
                      <w:szCs w:val="21"/>
                    </w:rPr>
                    <w:t>炉净化后</w:t>
                  </w:r>
                </w:p>
                <w:p>
                  <w:pPr>
                    <w:adjustRightInd w:val="0"/>
                    <w:snapToGrid w:val="0"/>
                    <w:jc w:val="center"/>
                    <w:rPr>
                      <w:szCs w:val="21"/>
                    </w:rPr>
                  </w:pPr>
                  <w:r>
                    <w:rPr>
                      <w:szCs w:val="21"/>
                    </w:rPr>
                    <w:t>5月21日</w:t>
                  </w:r>
                </w:p>
              </w:tc>
              <w:tc>
                <w:tcPr>
                  <w:tcW w:w="1836" w:type="dxa"/>
                  <w:gridSpan w:val="2"/>
                  <w:tcBorders>
                    <w:tl2br w:val="nil"/>
                    <w:tr2bl w:val="nil"/>
                  </w:tcBorders>
                  <w:vAlign w:val="center"/>
                </w:tcPr>
                <w:p>
                  <w:pPr>
                    <w:adjustRightInd w:val="0"/>
                    <w:snapToGrid w:val="0"/>
                    <w:jc w:val="center"/>
                    <w:rPr>
                      <w:szCs w:val="21"/>
                    </w:rPr>
                  </w:pPr>
                  <w:r>
                    <w:rPr>
                      <w:szCs w:val="21"/>
                    </w:rPr>
                    <w:t>标干流量Nm</w:t>
                  </w:r>
                  <w:r>
                    <w:rPr>
                      <w:szCs w:val="21"/>
                      <w:vertAlign w:val="superscript"/>
                    </w:rPr>
                    <w:t>3</w:t>
                  </w:r>
                  <w:r>
                    <w:rPr>
                      <w:szCs w:val="21"/>
                    </w:rPr>
                    <w:t>/h</w:t>
                  </w:r>
                </w:p>
              </w:tc>
              <w:tc>
                <w:tcPr>
                  <w:tcW w:w="986" w:type="dxa"/>
                  <w:tcBorders>
                    <w:tl2br w:val="nil"/>
                    <w:tr2bl w:val="nil"/>
                  </w:tcBorders>
                  <w:vAlign w:val="center"/>
                </w:tcPr>
                <w:p>
                  <w:pPr>
                    <w:widowControl/>
                    <w:jc w:val="center"/>
                    <w:textAlignment w:val="center"/>
                    <w:rPr>
                      <w:bCs/>
                      <w:szCs w:val="21"/>
                    </w:rPr>
                  </w:pPr>
                  <w:r>
                    <w:rPr>
                      <w:bCs/>
                      <w:szCs w:val="21"/>
                    </w:rPr>
                    <w:t>4433</w:t>
                  </w:r>
                </w:p>
              </w:tc>
              <w:tc>
                <w:tcPr>
                  <w:tcW w:w="1129" w:type="dxa"/>
                  <w:tcBorders>
                    <w:tl2br w:val="nil"/>
                    <w:tr2bl w:val="nil"/>
                  </w:tcBorders>
                  <w:vAlign w:val="center"/>
                </w:tcPr>
                <w:p>
                  <w:pPr>
                    <w:widowControl/>
                    <w:jc w:val="center"/>
                    <w:textAlignment w:val="center"/>
                    <w:rPr>
                      <w:bCs/>
                      <w:szCs w:val="21"/>
                    </w:rPr>
                  </w:pPr>
                  <w:r>
                    <w:rPr>
                      <w:bCs/>
                      <w:szCs w:val="21"/>
                    </w:rPr>
                    <w:t>4510</w:t>
                  </w:r>
                </w:p>
              </w:tc>
              <w:tc>
                <w:tcPr>
                  <w:tcW w:w="984" w:type="dxa"/>
                  <w:tcBorders>
                    <w:tl2br w:val="nil"/>
                    <w:tr2bl w:val="nil"/>
                  </w:tcBorders>
                  <w:vAlign w:val="center"/>
                </w:tcPr>
                <w:p>
                  <w:pPr>
                    <w:widowControl/>
                    <w:jc w:val="center"/>
                    <w:textAlignment w:val="center"/>
                    <w:rPr>
                      <w:bCs/>
                      <w:szCs w:val="21"/>
                    </w:rPr>
                  </w:pPr>
                  <w:r>
                    <w:rPr>
                      <w:bCs/>
                      <w:szCs w:val="21"/>
                    </w:rPr>
                    <w:t>4458</w:t>
                  </w:r>
                </w:p>
              </w:tc>
              <w:tc>
                <w:tcPr>
                  <w:tcW w:w="992" w:type="dxa"/>
                  <w:tcBorders>
                    <w:tl2br w:val="nil"/>
                    <w:tr2bl w:val="nil"/>
                  </w:tcBorders>
                  <w:vAlign w:val="center"/>
                </w:tcPr>
                <w:p>
                  <w:pPr>
                    <w:widowControl/>
                    <w:jc w:val="center"/>
                    <w:textAlignment w:val="center"/>
                    <w:rPr>
                      <w:bCs/>
                      <w:szCs w:val="21"/>
                    </w:rPr>
                  </w:pPr>
                  <w:r>
                    <w:rPr>
                      <w:kern w:val="0"/>
                      <w:szCs w:val="21"/>
                    </w:rPr>
                    <w:t>4467</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widowControl/>
                    <w:jc w:val="center"/>
                    <w:textAlignment w:val="center"/>
                    <w:rPr>
                      <w:bCs/>
                      <w:szCs w:val="21"/>
                    </w:rPr>
                  </w:pPr>
                  <w:r>
                    <w:rPr>
                      <w:kern w:val="0"/>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restart"/>
                  <w:tcBorders>
                    <w:tl2br w:val="nil"/>
                    <w:tr2bl w:val="nil"/>
                  </w:tcBorders>
                  <w:vAlign w:val="center"/>
                </w:tcPr>
                <w:p>
                  <w:pPr>
                    <w:adjustRightInd w:val="0"/>
                    <w:snapToGrid w:val="0"/>
                    <w:jc w:val="center"/>
                    <w:rPr>
                      <w:kern w:val="0"/>
                      <w:szCs w:val="21"/>
                    </w:rPr>
                  </w:pPr>
                  <w:r>
                    <w:rPr>
                      <w:szCs w:val="21"/>
                    </w:rPr>
                    <w:t>颗粒物</w:t>
                  </w:r>
                </w:p>
              </w:tc>
              <w:tc>
                <w:tcPr>
                  <w:tcW w:w="1131"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986" w:type="dxa"/>
                  <w:tcBorders>
                    <w:tl2br w:val="nil"/>
                    <w:tr2bl w:val="nil"/>
                  </w:tcBorders>
                  <w:vAlign w:val="center"/>
                </w:tcPr>
                <w:p>
                  <w:pPr>
                    <w:widowControl/>
                    <w:jc w:val="center"/>
                    <w:textAlignment w:val="center"/>
                    <w:rPr>
                      <w:bCs/>
                      <w:szCs w:val="21"/>
                    </w:rPr>
                  </w:pPr>
                  <w:r>
                    <w:rPr>
                      <w:bCs/>
                      <w:szCs w:val="21"/>
                    </w:rPr>
                    <w:t>8.7</w:t>
                  </w:r>
                </w:p>
              </w:tc>
              <w:tc>
                <w:tcPr>
                  <w:tcW w:w="1129" w:type="dxa"/>
                  <w:tcBorders>
                    <w:tl2br w:val="nil"/>
                    <w:tr2bl w:val="nil"/>
                  </w:tcBorders>
                  <w:vAlign w:val="center"/>
                </w:tcPr>
                <w:p>
                  <w:pPr>
                    <w:widowControl/>
                    <w:jc w:val="center"/>
                    <w:textAlignment w:val="center"/>
                    <w:rPr>
                      <w:bCs/>
                      <w:szCs w:val="21"/>
                    </w:rPr>
                  </w:pPr>
                  <w:r>
                    <w:rPr>
                      <w:bCs/>
                      <w:szCs w:val="21"/>
                    </w:rPr>
                    <w:t>6.9</w:t>
                  </w:r>
                </w:p>
              </w:tc>
              <w:tc>
                <w:tcPr>
                  <w:tcW w:w="984" w:type="dxa"/>
                  <w:tcBorders>
                    <w:tl2br w:val="nil"/>
                    <w:tr2bl w:val="nil"/>
                  </w:tcBorders>
                  <w:vAlign w:val="center"/>
                </w:tcPr>
                <w:p>
                  <w:pPr>
                    <w:widowControl/>
                    <w:jc w:val="center"/>
                    <w:textAlignment w:val="center"/>
                    <w:rPr>
                      <w:bCs/>
                      <w:szCs w:val="21"/>
                    </w:rPr>
                  </w:pPr>
                  <w:r>
                    <w:rPr>
                      <w:bCs/>
                      <w:szCs w:val="21"/>
                    </w:rPr>
                    <w:t>8.0</w:t>
                  </w:r>
                </w:p>
              </w:tc>
              <w:tc>
                <w:tcPr>
                  <w:tcW w:w="992" w:type="dxa"/>
                  <w:tcBorders>
                    <w:tl2br w:val="nil"/>
                    <w:tr2bl w:val="nil"/>
                  </w:tcBorders>
                  <w:vAlign w:val="center"/>
                </w:tcPr>
                <w:p>
                  <w:pPr>
                    <w:widowControl/>
                    <w:jc w:val="center"/>
                    <w:textAlignment w:val="center"/>
                    <w:rPr>
                      <w:bCs/>
                      <w:szCs w:val="21"/>
                    </w:rPr>
                  </w:pPr>
                  <w:r>
                    <w:rPr>
                      <w:kern w:val="0"/>
                      <w:szCs w:val="21"/>
                    </w:rPr>
                    <w:t>7.9</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120</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continue"/>
                  <w:tcBorders>
                    <w:tl2br w:val="nil"/>
                    <w:tr2bl w:val="nil"/>
                  </w:tcBorders>
                  <w:vAlign w:val="center"/>
                </w:tcPr>
                <w:p>
                  <w:pPr>
                    <w:adjustRightInd w:val="0"/>
                    <w:snapToGrid w:val="0"/>
                    <w:jc w:val="center"/>
                    <w:rPr>
                      <w:kern w:val="0"/>
                      <w:szCs w:val="21"/>
                    </w:rPr>
                  </w:pPr>
                </w:p>
              </w:tc>
              <w:tc>
                <w:tcPr>
                  <w:tcW w:w="1131" w:type="dxa"/>
                  <w:tcBorders>
                    <w:tl2br w:val="nil"/>
                    <w:tr2bl w:val="nil"/>
                  </w:tcBorders>
                  <w:vAlign w:val="center"/>
                </w:tcPr>
                <w:p>
                  <w:pPr>
                    <w:adjustRightInd w:val="0"/>
                    <w:snapToGrid w:val="0"/>
                    <w:jc w:val="center"/>
                    <w:rPr>
                      <w:kern w:val="0"/>
                      <w:szCs w:val="21"/>
                    </w:rPr>
                  </w:pPr>
                  <w:r>
                    <w:rPr>
                      <w:szCs w:val="21"/>
                    </w:rPr>
                    <w:t>排放速率kg/h</w:t>
                  </w:r>
                </w:p>
              </w:tc>
              <w:tc>
                <w:tcPr>
                  <w:tcW w:w="986" w:type="dxa"/>
                  <w:tcBorders>
                    <w:tl2br w:val="nil"/>
                    <w:tr2bl w:val="nil"/>
                  </w:tcBorders>
                  <w:vAlign w:val="center"/>
                </w:tcPr>
                <w:p>
                  <w:pPr>
                    <w:widowControl/>
                    <w:jc w:val="center"/>
                    <w:textAlignment w:val="center"/>
                    <w:rPr>
                      <w:bCs/>
                      <w:szCs w:val="21"/>
                    </w:rPr>
                  </w:pPr>
                  <w:r>
                    <w:rPr>
                      <w:kern w:val="0"/>
                      <w:szCs w:val="21"/>
                    </w:rPr>
                    <w:t>0.039</w:t>
                  </w:r>
                </w:p>
              </w:tc>
              <w:tc>
                <w:tcPr>
                  <w:tcW w:w="1129" w:type="dxa"/>
                  <w:tcBorders>
                    <w:tl2br w:val="nil"/>
                    <w:tr2bl w:val="nil"/>
                  </w:tcBorders>
                  <w:vAlign w:val="center"/>
                </w:tcPr>
                <w:p>
                  <w:pPr>
                    <w:widowControl/>
                    <w:jc w:val="center"/>
                    <w:textAlignment w:val="center"/>
                    <w:rPr>
                      <w:bCs/>
                      <w:szCs w:val="21"/>
                    </w:rPr>
                  </w:pPr>
                  <w:r>
                    <w:rPr>
                      <w:kern w:val="0"/>
                      <w:szCs w:val="21"/>
                    </w:rPr>
                    <w:t>0.031</w:t>
                  </w:r>
                </w:p>
              </w:tc>
              <w:tc>
                <w:tcPr>
                  <w:tcW w:w="984" w:type="dxa"/>
                  <w:tcBorders>
                    <w:tl2br w:val="nil"/>
                    <w:tr2bl w:val="nil"/>
                  </w:tcBorders>
                  <w:vAlign w:val="center"/>
                </w:tcPr>
                <w:p>
                  <w:pPr>
                    <w:widowControl/>
                    <w:jc w:val="center"/>
                    <w:textAlignment w:val="center"/>
                    <w:rPr>
                      <w:bCs/>
                      <w:szCs w:val="21"/>
                    </w:rPr>
                  </w:pPr>
                  <w:r>
                    <w:rPr>
                      <w:kern w:val="0"/>
                      <w:szCs w:val="21"/>
                    </w:rPr>
                    <w:t>0.036</w:t>
                  </w:r>
                </w:p>
              </w:tc>
              <w:tc>
                <w:tcPr>
                  <w:tcW w:w="992" w:type="dxa"/>
                  <w:tcBorders>
                    <w:tl2br w:val="nil"/>
                    <w:tr2bl w:val="nil"/>
                  </w:tcBorders>
                  <w:vAlign w:val="center"/>
                </w:tcPr>
                <w:p>
                  <w:pPr>
                    <w:widowControl/>
                    <w:jc w:val="center"/>
                    <w:textAlignment w:val="center"/>
                    <w:rPr>
                      <w:bCs/>
                      <w:szCs w:val="21"/>
                    </w:rPr>
                  </w:pPr>
                  <w:r>
                    <w:rPr>
                      <w:kern w:val="0"/>
                      <w:szCs w:val="21"/>
                    </w:rPr>
                    <w:t>0.035</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3.5</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restart"/>
                  <w:tcBorders>
                    <w:tl2br w:val="nil"/>
                    <w:tr2bl w:val="nil"/>
                  </w:tcBorders>
                  <w:vAlign w:val="center"/>
                </w:tcPr>
                <w:p>
                  <w:pPr>
                    <w:pStyle w:val="11"/>
                    <w:spacing w:after="0"/>
                    <w:ind w:firstLine="0" w:firstLineChars="0"/>
                    <w:jc w:val="center"/>
                    <w:rPr>
                      <w:szCs w:val="21"/>
                    </w:rPr>
                  </w:pPr>
                  <w:r>
                    <w:rPr>
                      <w:szCs w:val="21"/>
                    </w:rPr>
                    <w:t>非甲烷总烃</w:t>
                  </w:r>
                </w:p>
                <w:p>
                  <w:pPr>
                    <w:adjustRightInd w:val="0"/>
                    <w:snapToGrid w:val="0"/>
                    <w:jc w:val="center"/>
                    <w:rPr>
                      <w:kern w:val="0"/>
                      <w:szCs w:val="21"/>
                    </w:rPr>
                  </w:pPr>
                  <w:r>
                    <w:rPr>
                      <w:kern w:val="0"/>
                      <w:szCs w:val="21"/>
                    </w:rPr>
                    <w:t>（以碳计）</w:t>
                  </w:r>
                </w:p>
              </w:tc>
              <w:tc>
                <w:tcPr>
                  <w:tcW w:w="1131"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986" w:type="dxa"/>
                  <w:tcBorders>
                    <w:tl2br w:val="nil"/>
                    <w:tr2bl w:val="nil"/>
                  </w:tcBorders>
                  <w:vAlign w:val="center"/>
                </w:tcPr>
                <w:p>
                  <w:pPr>
                    <w:widowControl/>
                    <w:jc w:val="center"/>
                    <w:textAlignment w:val="center"/>
                    <w:rPr>
                      <w:bCs/>
                      <w:szCs w:val="21"/>
                    </w:rPr>
                  </w:pPr>
                  <w:r>
                    <w:rPr>
                      <w:bCs/>
                      <w:szCs w:val="21"/>
                    </w:rPr>
                    <w:t>1.30</w:t>
                  </w:r>
                </w:p>
              </w:tc>
              <w:tc>
                <w:tcPr>
                  <w:tcW w:w="1129" w:type="dxa"/>
                  <w:tcBorders>
                    <w:tl2br w:val="nil"/>
                    <w:tr2bl w:val="nil"/>
                  </w:tcBorders>
                  <w:vAlign w:val="center"/>
                </w:tcPr>
                <w:p>
                  <w:pPr>
                    <w:widowControl/>
                    <w:jc w:val="center"/>
                    <w:textAlignment w:val="center"/>
                    <w:rPr>
                      <w:bCs/>
                      <w:szCs w:val="21"/>
                    </w:rPr>
                  </w:pPr>
                  <w:r>
                    <w:rPr>
                      <w:bCs/>
                      <w:szCs w:val="21"/>
                    </w:rPr>
                    <w:t>1.18</w:t>
                  </w:r>
                </w:p>
              </w:tc>
              <w:tc>
                <w:tcPr>
                  <w:tcW w:w="984" w:type="dxa"/>
                  <w:tcBorders>
                    <w:tl2br w:val="nil"/>
                    <w:tr2bl w:val="nil"/>
                  </w:tcBorders>
                  <w:vAlign w:val="center"/>
                </w:tcPr>
                <w:p>
                  <w:pPr>
                    <w:widowControl/>
                    <w:jc w:val="center"/>
                    <w:textAlignment w:val="center"/>
                    <w:rPr>
                      <w:bCs/>
                      <w:szCs w:val="21"/>
                    </w:rPr>
                  </w:pPr>
                  <w:r>
                    <w:rPr>
                      <w:bCs/>
                      <w:szCs w:val="21"/>
                    </w:rPr>
                    <w:t>1.26</w:t>
                  </w:r>
                </w:p>
              </w:tc>
              <w:tc>
                <w:tcPr>
                  <w:tcW w:w="992" w:type="dxa"/>
                  <w:tcBorders>
                    <w:tl2br w:val="nil"/>
                    <w:tr2bl w:val="nil"/>
                  </w:tcBorders>
                  <w:vAlign w:val="center"/>
                </w:tcPr>
                <w:p>
                  <w:pPr>
                    <w:widowControl/>
                    <w:jc w:val="center"/>
                    <w:textAlignment w:val="center"/>
                    <w:rPr>
                      <w:szCs w:val="21"/>
                    </w:rPr>
                  </w:pPr>
                  <w:r>
                    <w:rPr>
                      <w:kern w:val="0"/>
                      <w:szCs w:val="21"/>
                    </w:rPr>
                    <w:t>1.25</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80</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continue"/>
                  <w:tcBorders>
                    <w:tl2br w:val="nil"/>
                    <w:tr2bl w:val="nil"/>
                  </w:tcBorders>
                  <w:vAlign w:val="center"/>
                </w:tcPr>
                <w:p>
                  <w:pPr>
                    <w:adjustRightInd w:val="0"/>
                    <w:snapToGrid w:val="0"/>
                    <w:jc w:val="center"/>
                    <w:rPr>
                      <w:kern w:val="0"/>
                      <w:szCs w:val="21"/>
                    </w:rPr>
                  </w:pPr>
                </w:p>
              </w:tc>
              <w:tc>
                <w:tcPr>
                  <w:tcW w:w="1131" w:type="dxa"/>
                  <w:tcBorders>
                    <w:tl2br w:val="nil"/>
                    <w:tr2bl w:val="nil"/>
                  </w:tcBorders>
                  <w:vAlign w:val="center"/>
                </w:tcPr>
                <w:p>
                  <w:pPr>
                    <w:adjustRightInd w:val="0"/>
                    <w:snapToGrid w:val="0"/>
                    <w:jc w:val="center"/>
                    <w:rPr>
                      <w:kern w:val="0"/>
                      <w:szCs w:val="21"/>
                    </w:rPr>
                  </w:pPr>
                  <w:r>
                    <w:rPr>
                      <w:szCs w:val="21"/>
                    </w:rPr>
                    <w:t>排放速率kg/h</w:t>
                  </w:r>
                </w:p>
              </w:tc>
              <w:tc>
                <w:tcPr>
                  <w:tcW w:w="986" w:type="dxa"/>
                  <w:tcBorders>
                    <w:tl2br w:val="nil"/>
                    <w:tr2bl w:val="nil"/>
                  </w:tcBorders>
                  <w:vAlign w:val="center"/>
                </w:tcPr>
                <w:p>
                  <w:pPr>
                    <w:widowControl/>
                    <w:jc w:val="center"/>
                    <w:textAlignment w:val="center"/>
                    <w:rPr>
                      <w:bCs/>
                      <w:szCs w:val="21"/>
                    </w:rPr>
                  </w:pPr>
                  <w:r>
                    <w:rPr>
                      <w:kern w:val="0"/>
                      <w:szCs w:val="21"/>
                    </w:rPr>
                    <w:t>0.0058</w:t>
                  </w:r>
                </w:p>
              </w:tc>
              <w:tc>
                <w:tcPr>
                  <w:tcW w:w="1129" w:type="dxa"/>
                  <w:tcBorders>
                    <w:tl2br w:val="nil"/>
                    <w:tr2bl w:val="nil"/>
                  </w:tcBorders>
                  <w:vAlign w:val="center"/>
                </w:tcPr>
                <w:p>
                  <w:pPr>
                    <w:widowControl/>
                    <w:jc w:val="center"/>
                    <w:textAlignment w:val="center"/>
                    <w:rPr>
                      <w:bCs/>
                      <w:szCs w:val="21"/>
                    </w:rPr>
                  </w:pPr>
                  <w:r>
                    <w:rPr>
                      <w:kern w:val="0"/>
                      <w:szCs w:val="21"/>
                    </w:rPr>
                    <w:t>0.0053</w:t>
                  </w:r>
                </w:p>
              </w:tc>
              <w:tc>
                <w:tcPr>
                  <w:tcW w:w="984" w:type="dxa"/>
                  <w:tcBorders>
                    <w:tl2br w:val="nil"/>
                    <w:tr2bl w:val="nil"/>
                  </w:tcBorders>
                  <w:vAlign w:val="center"/>
                </w:tcPr>
                <w:p>
                  <w:pPr>
                    <w:widowControl/>
                    <w:jc w:val="center"/>
                    <w:textAlignment w:val="center"/>
                    <w:rPr>
                      <w:bCs/>
                      <w:szCs w:val="21"/>
                    </w:rPr>
                  </w:pPr>
                  <w:r>
                    <w:rPr>
                      <w:kern w:val="0"/>
                      <w:szCs w:val="21"/>
                    </w:rPr>
                    <w:t>0.0056</w:t>
                  </w:r>
                </w:p>
              </w:tc>
              <w:tc>
                <w:tcPr>
                  <w:tcW w:w="992" w:type="dxa"/>
                  <w:tcBorders>
                    <w:tl2br w:val="nil"/>
                    <w:tr2bl w:val="nil"/>
                  </w:tcBorders>
                  <w:vAlign w:val="center"/>
                </w:tcPr>
                <w:p>
                  <w:pPr>
                    <w:widowControl/>
                    <w:jc w:val="center"/>
                    <w:textAlignment w:val="center"/>
                    <w:rPr>
                      <w:szCs w:val="21"/>
                    </w:rPr>
                  </w:pPr>
                  <w:r>
                    <w:rPr>
                      <w:kern w:val="0"/>
                      <w:szCs w:val="21"/>
                    </w:rPr>
                    <w:t>0.0056</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restart"/>
                  <w:tcBorders>
                    <w:tl2br w:val="nil"/>
                    <w:tr2bl w:val="nil"/>
                  </w:tcBorders>
                  <w:vAlign w:val="center"/>
                </w:tcPr>
                <w:p>
                  <w:pPr>
                    <w:adjustRightInd w:val="0"/>
                    <w:snapToGrid w:val="0"/>
                    <w:jc w:val="center"/>
                    <w:rPr>
                      <w:szCs w:val="21"/>
                    </w:rPr>
                  </w:pPr>
                  <w:r>
                    <w:rPr>
                      <w:rFonts w:hint="eastAsia"/>
                      <w:szCs w:val="21"/>
                    </w:rPr>
                    <w:t>造型浇铸</w:t>
                  </w:r>
                  <w:r>
                    <w:rPr>
                      <w:szCs w:val="21"/>
                    </w:rPr>
                    <w:t>炉净化后</w:t>
                  </w:r>
                </w:p>
                <w:p>
                  <w:pPr>
                    <w:adjustRightInd w:val="0"/>
                    <w:snapToGrid w:val="0"/>
                    <w:jc w:val="center"/>
                    <w:rPr>
                      <w:szCs w:val="21"/>
                    </w:rPr>
                  </w:pPr>
                  <w:r>
                    <w:rPr>
                      <w:szCs w:val="21"/>
                    </w:rPr>
                    <w:t>5月22日</w:t>
                  </w:r>
                </w:p>
              </w:tc>
              <w:tc>
                <w:tcPr>
                  <w:tcW w:w="1836" w:type="dxa"/>
                  <w:gridSpan w:val="2"/>
                  <w:tcBorders>
                    <w:tl2br w:val="nil"/>
                    <w:tr2bl w:val="nil"/>
                  </w:tcBorders>
                  <w:vAlign w:val="center"/>
                </w:tcPr>
                <w:p>
                  <w:pPr>
                    <w:adjustRightInd w:val="0"/>
                    <w:snapToGrid w:val="0"/>
                    <w:jc w:val="center"/>
                    <w:rPr>
                      <w:szCs w:val="21"/>
                    </w:rPr>
                  </w:pPr>
                  <w:r>
                    <w:rPr>
                      <w:szCs w:val="21"/>
                    </w:rPr>
                    <w:t>标干流量Nm</w:t>
                  </w:r>
                  <w:r>
                    <w:rPr>
                      <w:szCs w:val="21"/>
                      <w:vertAlign w:val="superscript"/>
                    </w:rPr>
                    <w:t>3</w:t>
                  </w:r>
                  <w:r>
                    <w:rPr>
                      <w:szCs w:val="21"/>
                    </w:rPr>
                    <w:t>/h</w:t>
                  </w:r>
                </w:p>
              </w:tc>
              <w:tc>
                <w:tcPr>
                  <w:tcW w:w="986" w:type="dxa"/>
                  <w:tcBorders>
                    <w:tl2br w:val="nil"/>
                    <w:tr2bl w:val="nil"/>
                  </w:tcBorders>
                  <w:vAlign w:val="center"/>
                </w:tcPr>
                <w:p>
                  <w:pPr>
                    <w:widowControl/>
                    <w:jc w:val="center"/>
                    <w:textAlignment w:val="center"/>
                    <w:rPr>
                      <w:bCs/>
                      <w:szCs w:val="21"/>
                    </w:rPr>
                  </w:pPr>
                  <w:r>
                    <w:rPr>
                      <w:bCs/>
                      <w:szCs w:val="21"/>
                    </w:rPr>
                    <w:t>4521</w:t>
                  </w:r>
                </w:p>
              </w:tc>
              <w:tc>
                <w:tcPr>
                  <w:tcW w:w="1129" w:type="dxa"/>
                  <w:tcBorders>
                    <w:tl2br w:val="nil"/>
                    <w:tr2bl w:val="nil"/>
                  </w:tcBorders>
                  <w:vAlign w:val="center"/>
                </w:tcPr>
                <w:p>
                  <w:pPr>
                    <w:widowControl/>
                    <w:jc w:val="center"/>
                    <w:textAlignment w:val="center"/>
                    <w:rPr>
                      <w:bCs/>
                      <w:szCs w:val="21"/>
                    </w:rPr>
                  </w:pPr>
                  <w:r>
                    <w:rPr>
                      <w:bCs/>
                      <w:szCs w:val="21"/>
                    </w:rPr>
                    <w:t>4571</w:t>
                  </w:r>
                </w:p>
              </w:tc>
              <w:tc>
                <w:tcPr>
                  <w:tcW w:w="984" w:type="dxa"/>
                  <w:tcBorders>
                    <w:tl2br w:val="nil"/>
                    <w:tr2bl w:val="nil"/>
                  </w:tcBorders>
                  <w:vAlign w:val="center"/>
                </w:tcPr>
                <w:p>
                  <w:pPr>
                    <w:widowControl/>
                    <w:jc w:val="center"/>
                    <w:textAlignment w:val="center"/>
                    <w:rPr>
                      <w:bCs/>
                      <w:szCs w:val="21"/>
                    </w:rPr>
                  </w:pPr>
                  <w:r>
                    <w:rPr>
                      <w:bCs/>
                      <w:szCs w:val="21"/>
                    </w:rPr>
                    <w:t>4478</w:t>
                  </w:r>
                </w:p>
              </w:tc>
              <w:tc>
                <w:tcPr>
                  <w:tcW w:w="992" w:type="dxa"/>
                  <w:tcBorders>
                    <w:tl2br w:val="nil"/>
                    <w:tr2bl w:val="nil"/>
                  </w:tcBorders>
                  <w:vAlign w:val="center"/>
                </w:tcPr>
                <w:p>
                  <w:pPr>
                    <w:widowControl/>
                    <w:jc w:val="center"/>
                    <w:textAlignment w:val="center"/>
                    <w:rPr>
                      <w:szCs w:val="21"/>
                    </w:rPr>
                  </w:pPr>
                  <w:r>
                    <w:rPr>
                      <w:kern w:val="0"/>
                      <w:szCs w:val="21"/>
                    </w:rPr>
                    <w:t>4523</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widowControl/>
                    <w:jc w:val="center"/>
                    <w:textAlignment w:val="center"/>
                    <w:rPr>
                      <w:bCs/>
                      <w:szCs w:val="21"/>
                    </w:rPr>
                  </w:pPr>
                  <w:r>
                    <w:rPr>
                      <w:kern w:val="0"/>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restart"/>
                  <w:tcBorders>
                    <w:tl2br w:val="nil"/>
                    <w:tr2bl w:val="nil"/>
                  </w:tcBorders>
                  <w:vAlign w:val="center"/>
                </w:tcPr>
                <w:p>
                  <w:pPr>
                    <w:adjustRightInd w:val="0"/>
                    <w:snapToGrid w:val="0"/>
                    <w:jc w:val="center"/>
                    <w:rPr>
                      <w:szCs w:val="21"/>
                    </w:rPr>
                  </w:pPr>
                  <w:r>
                    <w:rPr>
                      <w:szCs w:val="21"/>
                    </w:rPr>
                    <w:t>颗粒物</w:t>
                  </w:r>
                </w:p>
              </w:tc>
              <w:tc>
                <w:tcPr>
                  <w:tcW w:w="1131"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986" w:type="dxa"/>
                  <w:tcBorders>
                    <w:tl2br w:val="nil"/>
                    <w:tr2bl w:val="nil"/>
                  </w:tcBorders>
                  <w:vAlign w:val="center"/>
                </w:tcPr>
                <w:p>
                  <w:pPr>
                    <w:widowControl/>
                    <w:jc w:val="center"/>
                    <w:textAlignment w:val="center"/>
                    <w:rPr>
                      <w:bCs/>
                      <w:szCs w:val="21"/>
                    </w:rPr>
                  </w:pPr>
                  <w:r>
                    <w:rPr>
                      <w:bCs/>
                      <w:szCs w:val="21"/>
                    </w:rPr>
                    <w:t>7.8</w:t>
                  </w:r>
                </w:p>
              </w:tc>
              <w:tc>
                <w:tcPr>
                  <w:tcW w:w="1129" w:type="dxa"/>
                  <w:tcBorders>
                    <w:tl2br w:val="nil"/>
                    <w:tr2bl w:val="nil"/>
                  </w:tcBorders>
                  <w:vAlign w:val="center"/>
                </w:tcPr>
                <w:p>
                  <w:pPr>
                    <w:widowControl/>
                    <w:jc w:val="center"/>
                    <w:textAlignment w:val="center"/>
                    <w:rPr>
                      <w:bCs/>
                      <w:szCs w:val="21"/>
                    </w:rPr>
                  </w:pPr>
                  <w:r>
                    <w:rPr>
                      <w:bCs/>
                      <w:szCs w:val="21"/>
                    </w:rPr>
                    <w:t>6.4</w:t>
                  </w:r>
                </w:p>
              </w:tc>
              <w:tc>
                <w:tcPr>
                  <w:tcW w:w="984" w:type="dxa"/>
                  <w:tcBorders>
                    <w:tl2br w:val="nil"/>
                    <w:tr2bl w:val="nil"/>
                  </w:tcBorders>
                  <w:vAlign w:val="center"/>
                </w:tcPr>
                <w:p>
                  <w:pPr>
                    <w:widowControl/>
                    <w:jc w:val="center"/>
                    <w:textAlignment w:val="center"/>
                    <w:rPr>
                      <w:bCs/>
                      <w:szCs w:val="21"/>
                    </w:rPr>
                  </w:pPr>
                  <w:r>
                    <w:rPr>
                      <w:bCs/>
                      <w:szCs w:val="21"/>
                    </w:rPr>
                    <w:t>7.0</w:t>
                  </w:r>
                </w:p>
              </w:tc>
              <w:tc>
                <w:tcPr>
                  <w:tcW w:w="992" w:type="dxa"/>
                  <w:tcBorders>
                    <w:tl2br w:val="nil"/>
                    <w:tr2bl w:val="nil"/>
                  </w:tcBorders>
                  <w:vAlign w:val="center"/>
                </w:tcPr>
                <w:p>
                  <w:pPr>
                    <w:widowControl/>
                    <w:jc w:val="center"/>
                    <w:textAlignment w:val="center"/>
                    <w:rPr>
                      <w:szCs w:val="21"/>
                    </w:rPr>
                  </w:pPr>
                  <w:r>
                    <w:rPr>
                      <w:kern w:val="0"/>
                      <w:szCs w:val="21"/>
                    </w:rPr>
                    <w:t>7.1</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120</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continue"/>
                  <w:tcBorders>
                    <w:tl2br w:val="nil"/>
                    <w:tr2bl w:val="nil"/>
                  </w:tcBorders>
                  <w:vAlign w:val="center"/>
                </w:tcPr>
                <w:p>
                  <w:pPr>
                    <w:adjustRightInd w:val="0"/>
                    <w:snapToGrid w:val="0"/>
                    <w:jc w:val="center"/>
                    <w:rPr>
                      <w:kern w:val="0"/>
                      <w:szCs w:val="21"/>
                    </w:rPr>
                  </w:pPr>
                </w:p>
              </w:tc>
              <w:tc>
                <w:tcPr>
                  <w:tcW w:w="1131" w:type="dxa"/>
                  <w:tcBorders>
                    <w:tl2br w:val="nil"/>
                    <w:tr2bl w:val="nil"/>
                  </w:tcBorders>
                  <w:vAlign w:val="center"/>
                </w:tcPr>
                <w:p>
                  <w:pPr>
                    <w:adjustRightInd w:val="0"/>
                    <w:snapToGrid w:val="0"/>
                    <w:jc w:val="center"/>
                    <w:rPr>
                      <w:kern w:val="0"/>
                      <w:szCs w:val="21"/>
                    </w:rPr>
                  </w:pPr>
                  <w:r>
                    <w:rPr>
                      <w:szCs w:val="21"/>
                    </w:rPr>
                    <w:t>排放速率kg/h</w:t>
                  </w:r>
                </w:p>
              </w:tc>
              <w:tc>
                <w:tcPr>
                  <w:tcW w:w="986" w:type="dxa"/>
                  <w:tcBorders>
                    <w:tl2br w:val="nil"/>
                    <w:tr2bl w:val="nil"/>
                  </w:tcBorders>
                  <w:vAlign w:val="center"/>
                </w:tcPr>
                <w:p>
                  <w:pPr>
                    <w:widowControl/>
                    <w:jc w:val="center"/>
                    <w:textAlignment w:val="center"/>
                    <w:rPr>
                      <w:bCs/>
                      <w:szCs w:val="21"/>
                    </w:rPr>
                  </w:pPr>
                  <w:r>
                    <w:rPr>
                      <w:kern w:val="0"/>
                      <w:szCs w:val="21"/>
                    </w:rPr>
                    <w:t>0.035</w:t>
                  </w:r>
                </w:p>
              </w:tc>
              <w:tc>
                <w:tcPr>
                  <w:tcW w:w="1129" w:type="dxa"/>
                  <w:tcBorders>
                    <w:tl2br w:val="nil"/>
                    <w:tr2bl w:val="nil"/>
                  </w:tcBorders>
                  <w:vAlign w:val="center"/>
                </w:tcPr>
                <w:p>
                  <w:pPr>
                    <w:widowControl/>
                    <w:jc w:val="center"/>
                    <w:textAlignment w:val="center"/>
                    <w:rPr>
                      <w:bCs/>
                      <w:szCs w:val="21"/>
                    </w:rPr>
                  </w:pPr>
                  <w:r>
                    <w:rPr>
                      <w:kern w:val="0"/>
                      <w:szCs w:val="21"/>
                    </w:rPr>
                    <w:t>0.029</w:t>
                  </w:r>
                </w:p>
              </w:tc>
              <w:tc>
                <w:tcPr>
                  <w:tcW w:w="984" w:type="dxa"/>
                  <w:tcBorders>
                    <w:tl2br w:val="nil"/>
                    <w:tr2bl w:val="nil"/>
                  </w:tcBorders>
                  <w:vAlign w:val="center"/>
                </w:tcPr>
                <w:p>
                  <w:pPr>
                    <w:widowControl/>
                    <w:jc w:val="center"/>
                    <w:textAlignment w:val="center"/>
                    <w:rPr>
                      <w:bCs/>
                      <w:szCs w:val="21"/>
                    </w:rPr>
                  </w:pPr>
                  <w:r>
                    <w:rPr>
                      <w:kern w:val="0"/>
                      <w:szCs w:val="21"/>
                    </w:rPr>
                    <w:t>0.031</w:t>
                  </w:r>
                </w:p>
              </w:tc>
              <w:tc>
                <w:tcPr>
                  <w:tcW w:w="992" w:type="dxa"/>
                  <w:tcBorders>
                    <w:tl2br w:val="nil"/>
                    <w:tr2bl w:val="nil"/>
                  </w:tcBorders>
                  <w:vAlign w:val="center"/>
                </w:tcPr>
                <w:p>
                  <w:pPr>
                    <w:widowControl/>
                    <w:jc w:val="center"/>
                    <w:textAlignment w:val="center"/>
                    <w:rPr>
                      <w:szCs w:val="21"/>
                    </w:rPr>
                  </w:pPr>
                  <w:r>
                    <w:rPr>
                      <w:kern w:val="0"/>
                      <w:szCs w:val="21"/>
                    </w:rPr>
                    <w:t>0.032</w:t>
                  </w:r>
                </w:p>
              </w:tc>
              <w:tc>
                <w:tcPr>
                  <w:tcW w:w="847" w:type="dxa"/>
                  <w:tcBorders>
                    <w:tl2br w:val="nil"/>
                    <w:tr2bl w:val="nil"/>
                  </w:tcBorders>
                  <w:vAlign w:val="center"/>
                </w:tcPr>
                <w:p>
                  <w:pPr>
                    <w:tabs>
                      <w:tab w:val="left" w:pos="2385"/>
                      <w:tab w:val="center" w:pos="4819"/>
                    </w:tabs>
                    <w:adjustRightInd w:val="0"/>
                    <w:snapToGrid w:val="0"/>
                    <w:jc w:val="center"/>
                    <w:rPr>
                      <w:kern w:val="0"/>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3.5</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restart"/>
                  <w:tcBorders>
                    <w:tl2br w:val="nil"/>
                    <w:tr2bl w:val="nil"/>
                  </w:tcBorders>
                  <w:vAlign w:val="center"/>
                </w:tcPr>
                <w:p>
                  <w:pPr>
                    <w:pStyle w:val="11"/>
                    <w:spacing w:after="0"/>
                    <w:ind w:firstLine="0" w:firstLineChars="0"/>
                    <w:jc w:val="center"/>
                    <w:rPr>
                      <w:kern w:val="0"/>
                      <w:szCs w:val="21"/>
                    </w:rPr>
                  </w:pPr>
                  <w:r>
                    <w:rPr>
                      <w:szCs w:val="21"/>
                    </w:rPr>
                    <w:t>非甲烷总烃</w:t>
                  </w:r>
                  <w:r>
                    <w:rPr>
                      <w:kern w:val="0"/>
                      <w:szCs w:val="21"/>
                    </w:rPr>
                    <w:t>（以碳计）</w:t>
                  </w:r>
                </w:p>
              </w:tc>
              <w:tc>
                <w:tcPr>
                  <w:tcW w:w="1131" w:type="dxa"/>
                  <w:tcBorders>
                    <w:tl2br w:val="nil"/>
                    <w:tr2bl w:val="nil"/>
                  </w:tcBorders>
                  <w:vAlign w:val="center"/>
                </w:tcPr>
                <w:p>
                  <w:pPr>
                    <w:adjustRightInd w:val="0"/>
                    <w:snapToGrid w:val="0"/>
                    <w:jc w:val="center"/>
                    <w:rPr>
                      <w:kern w:val="0"/>
                      <w:szCs w:val="21"/>
                    </w:rPr>
                  </w:pPr>
                  <w:r>
                    <w:rPr>
                      <w:szCs w:val="21"/>
                    </w:rPr>
                    <w:t>实测浓度mg/m</w:t>
                  </w:r>
                  <w:r>
                    <w:rPr>
                      <w:szCs w:val="21"/>
                      <w:vertAlign w:val="superscript"/>
                    </w:rPr>
                    <w:t>3</w:t>
                  </w:r>
                </w:p>
              </w:tc>
              <w:tc>
                <w:tcPr>
                  <w:tcW w:w="986" w:type="dxa"/>
                  <w:tcBorders>
                    <w:tl2br w:val="nil"/>
                    <w:tr2bl w:val="nil"/>
                  </w:tcBorders>
                  <w:vAlign w:val="center"/>
                </w:tcPr>
                <w:p>
                  <w:pPr>
                    <w:widowControl/>
                    <w:jc w:val="center"/>
                    <w:textAlignment w:val="center"/>
                    <w:rPr>
                      <w:bCs/>
                      <w:szCs w:val="21"/>
                    </w:rPr>
                  </w:pPr>
                  <w:r>
                    <w:rPr>
                      <w:bCs/>
                      <w:szCs w:val="21"/>
                    </w:rPr>
                    <w:t>1.30</w:t>
                  </w:r>
                </w:p>
              </w:tc>
              <w:tc>
                <w:tcPr>
                  <w:tcW w:w="1129" w:type="dxa"/>
                  <w:tcBorders>
                    <w:tl2br w:val="nil"/>
                    <w:tr2bl w:val="nil"/>
                  </w:tcBorders>
                  <w:vAlign w:val="center"/>
                </w:tcPr>
                <w:p>
                  <w:pPr>
                    <w:widowControl/>
                    <w:jc w:val="center"/>
                    <w:textAlignment w:val="center"/>
                    <w:rPr>
                      <w:bCs/>
                      <w:szCs w:val="21"/>
                    </w:rPr>
                  </w:pPr>
                  <w:r>
                    <w:rPr>
                      <w:bCs/>
                      <w:szCs w:val="21"/>
                    </w:rPr>
                    <w:t>1.57</w:t>
                  </w:r>
                </w:p>
              </w:tc>
              <w:tc>
                <w:tcPr>
                  <w:tcW w:w="984" w:type="dxa"/>
                  <w:tcBorders>
                    <w:tl2br w:val="nil"/>
                    <w:tr2bl w:val="nil"/>
                  </w:tcBorders>
                  <w:vAlign w:val="center"/>
                </w:tcPr>
                <w:p>
                  <w:pPr>
                    <w:widowControl/>
                    <w:jc w:val="center"/>
                    <w:textAlignment w:val="center"/>
                    <w:rPr>
                      <w:bCs/>
                      <w:szCs w:val="21"/>
                    </w:rPr>
                  </w:pPr>
                  <w:r>
                    <w:rPr>
                      <w:bCs/>
                      <w:szCs w:val="21"/>
                    </w:rPr>
                    <w:t>1.38</w:t>
                  </w:r>
                </w:p>
              </w:tc>
              <w:tc>
                <w:tcPr>
                  <w:tcW w:w="992" w:type="dxa"/>
                  <w:tcBorders>
                    <w:tl2br w:val="nil"/>
                    <w:tr2bl w:val="nil"/>
                  </w:tcBorders>
                  <w:vAlign w:val="center"/>
                </w:tcPr>
                <w:p>
                  <w:pPr>
                    <w:widowControl/>
                    <w:jc w:val="center"/>
                    <w:textAlignment w:val="center"/>
                    <w:rPr>
                      <w:szCs w:val="21"/>
                    </w:rPr>
                  </w:pPr>
                  <w:r>
                    <w:rPr>
                      <w:kern w:val="0"/>
                      <w:szCs w:val="21"/>
                    </w:rPr>
                    <w:t>1.42</w:t>
                  </w:r>
                </w:p>
              </w:tc>
              <w:tc>
                <w:tcPr>
                  <w:tcW w:w="847" w:type="dxa"/>
                  <w:tcBorders>
                    <w:tl2br w:val="nil"/>
                    <w:tr2bl w:val="nil"/>
                  </w:tcBorders>
                  <w:vAlign w:val="center"/>
                </w:tcPr>
                <w:p>
                  <w:pPr>
                    <w:tabs>
                      <w:tab w:val="left" w:pos="2385"/>
                      <w:tab w:val="center" w:pos="4819"/>
                    </w:tabs>
                    <w:adjustRightInd w:val="0"/>
                    <w:snapToGrid w:val="0"/>
                    <w:jc w:val="center"/>
                    <w:rPr>
                      <w:kern w:val="0"/>
                      <w:szCs w:val="21"/>
                    </w:rPr>
                  </w:pPr>
                  <w:r>
                    <w:rPr>
                      <w:kern w:val="0"/>
                      <w:szCs w:val="21"/>
                    </w:rPr>
                    <w:t>80</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continue"/>
                  <w:tcBorders>
                    <w:tl2br w:val="nil"/>
                    <w:tr2bl w:val="nil"/>
                  </w:tcBorders>
                  <w:vAlign w:val="center"/>
                </w:tcPr>
                <w:p>
                  <w:pPr>
                    <w:adjustRightInd w:val="0"/>
                    <w:snapToGrid w:val="0"/>
                    <w:jc w:val="center"/>
                    <w:rPr>
                      <w:kern w:val="0"/>
                      <w:szCs w:val="21"/>
                    </w:rPr>
                  </w:pPr>
                </w:p>
              </w:tc>
              <w:tc>
                <w:tcPr>
                  <w:tcW w:w="1131" w:type="dxa"/>
                  <w:tcBorders>
                    <w:tl2br w:val="nil"/>
                    <w:tr2bl w:val="nil"/>
                  </w:tcBorders>
                  <w:vAlign w:val="center"/>
                </w:tcPr>
                <w:p>
                  <w:pPr>
                    <w:adjustRightInd w:val="0"/>
                    <w:snapToGrid w:val="0"/>
                    <w:jc w:val="center"/>
                    <w:rPr>
                      <w:kern w:val="0"/>
                      <w:szCs w:val="21"/>
                    </w:rPr>
                  </w:pPr>
                  <w:r>
                    <w:rPr>
                      <w:szCs w:val="21"/>
                    </w:rPr>
                    <w:t>排放速率kg/h</w:t>
                  </w:r>
                </w:p>
              </w:tc>
              <w:tc>
                <w:tcPr>
                  <w:tcW w:w="986" w:type="dxa"/>
                  <w:tcBorders>
                    <w:tl2br w:val="nil"/>
                    <w:tr2bl w:val="nil"/>
                  </w:tcBorders>
                  <w:vAlign w:val="center"/>
                </w:tcPr>
                <w:p>
                  <w:pPr>
                    <w:widowControl/>
                    <w:jc w:val="center"/>
                    <w:textAlignment w:val="center"/>
                    <w:rPr>
                      <w:bCs/>
                      <w:szCs w:val="21"/>
                    </w:rPr>
                  </w:pPr>
                  <w:r>
                    <w:rPr>
                      <w:kern w:val="0"/>
                      <w:szCs w:val="21"/>
                    </w:rPr>
                    <w:t>0.0059</w:t>
                  </w:r>
                </w:p>
              </w:tc>
              <w:tc>
                <w:tcPr>
                  <w:tcW w:w="1129" w:type="dxa"/>
                  <w:tcBorders>
                    <w:tl2br w:val="nil"/>
                    <w:tr2bl w:val="nil"/>
                  </w:tcBorders>
                  <w:vAlign w:val="center"/>
                </w:tcPr>
                <w:p>
                  <w:pPr>
                    <w:widowControl/>
                    <w:jc w:val="center"/>
                    <w:textAlignment w:val="center"/>
                    <w:rPr>
                      <w:bCs/>
                      <w:szCs w:val="21"/>
                    </w:rPr>
                  </w:pPr>
                  <w:r>
                    <w:rPr>
                      <w:kern w:val="0"/>
                      <w:szCs w:val="21"/>
                    </w:rPr>
                    <w:t>0.0072</w:t>
                  </w:r>
                </w:p>
              </w:tc>
              <w:tc>
                <w:tcPr>
                  <w:tcW w:w="984" w:type="dxa"/>
                  <w:tcBorders>
                    <w:tl2br w:val="nil"/>
                    <w:tr2bl w:val="nil"/>
                  </w:tcBorders>
                  <w:vAlign w:val="center"/>
                </w:tcPr>
                <w:p>
                  <w:pPr>
                    <w:widowControl/>
                    <w:jc w:val="center"/>
                    <w:textAlignment w:val="center"/>
                    <w:rPr>
                      <w:bCs/>
                      <w:szCs w:val="21"/>
                    </w:rPr>
                  </w:pPr>
                  <w:r>
                    <w:rPr>
                      <w:kern w:val="0"/>
                      <w:szCs w:val="21"/>
                    </w:rPr>
                    <w:t>0.0062</w:t>
                  </w:r>
                </w:p>
              </w:tc>
              <w:tc>
                <w:tcPr>
                  <w:tcW w:w="992" w:type="dxa"/>
                  <w:tcBorders>
                    <w:tl2br w:val="nil"/>
                    <w:tr2bl w:val="nil"/>
                  </w:tcBorders>
                  <w:vAlign w:val="center"/>
                </w:tcPr>
                <w:p>
                  <w:pPr>
                    <w:widowControl/>
                    <w:jc w:val="center"/>
                    <w:textAlignment w:val="center"/>
                    <w:rPr>
                      <w:szCs w:val="21"/>
                    </w:rPr>
                  </w:pPr>
                  <w:r>
                    <w:rPr>
                      <w:kern w:val="0"/>
                      <w:szCs w:val="21"/>
                    </w:rPr>
                    <w:t>0.0064</w:t>
                  </w:r>
                </w:p>
              </w:tc>
              <w:tc>
                <w:tcPr>
                  <w:tcW w:w="847" w:type="dxa"/>
                  <w:tcBorders>
                    <w:tl2br w:val="nil"/>
                    <w:tr2bl w:val="nil"/>
                  </w:tcBorders>
                  <w:vAlign w:val="center"/>
                </w:tcPr>
                <w:p>
                  <w:pPr>
                    <w:tabs>
                      <w:tab w:val="left" w:pos="2385"/>
                      <w:tab w:val="center" w:pos="4819"/>
                    </w:tabs>
                    <w:adjustRightInd w:val="0"/>
                    <w:snapToGrid w:val="0"/>
                    <w:jc w:val="center"/>
                    <w:rPr>
                      <w:kern w:val="0"/>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restart"/>
                  <w:tcBorders>
                    <w:tl2br w:val="nil"/>
                    <w:tr2bl w:val="nil"/>
                  </w:tcBorders>
                  <w:vAlign w:val="center"/>
                </w:tcPr>
                <w:p>
                  <w:pPr>
                    <w:adjustRightInd w:val="0"/>
                    <w:snapToGrid w:val="0"/>
                    <w:jc w:val="center"/>
                    <w:rPr>
                      <w:szCs w:val="21"/>
                    </w:rPr>
                  </w:pPr>
                  <w:r>
                    <w:rPr>
                      <w:szCs w:val="21"/>
                    </w:rPr>
                    <w:t>铸件脱离、抛丸工序净化后5月21日</w:t>
                  </w:r>
                </w:p>
              </w:tc>
              <w:tc>
                <w:tcPr>
                  <w:tcW w:w="1836" w:type="dxa"/>
                  <w:gridSpan w:val="2"/>
                  <w:tcBorders>
                    <w:tl2br w:val="nil"/>
                    <w:tr2bl w:val="nil"/>
                  </w:tcBorders>
                  <w:vAlign w:val="center"/>
                </w:tcPr>
                <w:p>
                  <w:pPr>
                    <w:adjustRightInd w:val="0"/>
                    <w:snapToGrid w:val="0"/>
                    <w:jc w:val="center"/>
                    <w:rPr>
                      <w:szCs w:val="21"/>
                    </w:rPr>
                  </w:pPr>
                  <w:r>
                    <w:rPr>
                      <w:szCs w:val="21"/>
                    </w:rPr>
                    <w:t>标干流量Nm</w:t>
                  </w:r>
                  <w:r>
                    <w:rPr>
                      <w:szCs w:val="21"/>
                      <w:vertAlign w:val="superscript"/>
                    </w:rPr>
                    <w:t>3</w:t>
                  </w:r>
                  <w:r>
                    <w:rPr>
                      <w:szCs w:val="21"/>
                    </w:rPr>
                    <w:t>/h</w:t>
                  </w:r>
                </w:p>
              </w:tc>
              <w:tc>
                <w:tcPr>
                  <w:tcW w:w="986" w:type="dxa"/>
                  <w:tcBorders>
                    <w:tl2br w:val="nil"/>
                    <w:tr2bl w:val="nil"/>
                  </w:tcBorders>
                  <w:vAlign w:val="center"/>
                </w:tcPr>
                <w:p>
                  <w:pPr>
                    <w:widowControl/>
                    <w:jc w:val="center"/>
                    <w:textAlignment w:val="center"/>
                    <w:rPr>
                      <w:bCs/>
                      <w:szCs w:val="21"/>
                    </w:rPr>
                  </w:pPr>
                  <w:r>
                    <w:rPr>
                      <w:bCs/>
                      <w:szCs w:val="21"/>
                    </w:rPr>
                    <w:t>4624</w:t>
                  </w:r>
                </w:p>
              </w:tc>
              <w:tc>
                <w:tcPr>
                  <w:tcW w:w="1129" w:type="dxa"/>
                  <w:tcBorders>
                    <w:tl2br w:val="nil"/>
                    <w:tr2bl w:val="nil"/>
                  </w:tcBorders>
                  <w:vAlign w:val="center"/>
                </w:tcPr>
                <w:p>
                  <w:pPr>
                    <w:widowControl/>
                    <w:jc w:val="center"/>
                    <w:textAlignment w:val="center"/>
                    <w:rPr>
                      <w:bCs/>
                      <w:szCs w:val="21"/>
                    </w:rPr>
                  </w:pPr>
                  <w:r>
                    <w:rPr>
                      <w:bCs/>
                      <w:szCs w:val="21"/>
                    </w:rPr>
                    <w:t>4546</w:t>
                  </w:r>
                </w:p>
              </w:tc>
              <w:tc>
                <w:tcPr>
                  <w:tcW w:w="984" w:type="dxa"/>
                  <w:tcBorders>
                    <w:tl2br w:val="nil"/>
                    <w:tr2bl w:val="nil"/>
                  </w:tcBorders>
                  <w:vAlign w:val="center"/>
                </w:tcPr>
                <w:p>
                  <w:pPr>
                    <w:widowControl/>
                    <w:jc w:val="center"/>
                    <w:textAlignment w:val="center"/>
                    <w:rPr>
                      <w:bCs/>
                      <w:szCs w:val="21"/>
                    </w:rPr>
                  </w:pPr>
                  <w:r>
                    <w:rPr>
                      <w:bCs/>
                      <w:szCs w:val="21"/>
                    </w:rPr>
                    <w:t>4682</w:t>
                  </w:r>
                </w:p>
              </w:tc>
              <w:tc>
                <w:tcPr>
                  <w:tcW w:w="992" w:type="dxa"/>
                  <w:tcBorders>
                    <w:tl2br w:val="nil"/>
                    <w:tr2bl w:val="nil"/>
                  </w:tcBorders>
                  <w:vAlign w:val="center"/>
                </w:tcPr>
                <w:p>
                  <w:pPr>
                    <w:widowControl/>
                    <w:jc w:val="center"/>
                    <w:textAlignment w:val="center"/>
                    <w:rPr>
                      <w:bCs/>
                      <w:szCs w:val="21"/>
                    </w:rPr>
                  </w:pPr>
                  <w:r>
                    <w:rPr>
                      <w:kern w:val="0"/>
                      <w:szCs w:val="21"/>
                    </w:rPr>
                    <w:t>4617</w:t>
                  </w:r>
                </w:p>
              </w:tc>
              <w:tc>
                <w:tcPr>
                  <w:tcW w:w="847" w:type="dxa"/>
                  <w:tcBorders>
                    <w:tl2br w:val="nil"/>
                    <w:tr2bl w:val="nil"/>
                  </w:tcBorders>
                  <w:vAlign w:val="center"/>
                </w:tcPr>
                <w:p>
                  <w:pPr>
                    <w:tabs>
                      <w:tab w:val="left" w:pos="2385"/>
                      <w:tab w:val="center" w:pos="4819"/>
                    </w:tabs>
                    <w:adjustRightInd w:val="0"/>
                    <w:snapToGrid w:val="0"/>
                    <w:jc w:val="center"/>
                    <w:rPr>
                      <w:kern w:val="0"/>
                      <w:szCs w:val="21"/>
                    </w:rPr>
                  </w:pPr>
                  <w:r>
                    <w:rPr>
                      <w:bCs/>
                      <w:szCs w:val="21"/>
                    </w:rPr>
                    <w:t>/</w:t>
                  </w:r>
                </w:p>
              </w:tc>
              <w:tc>
                <w:tcPr>
                  <w:tcW w:w="1129" w:type="dxa"/>
                  <w:tcBorders>
                    <w:tl2br w:val="nil"/>
                    <w:tr2bl w:val="nil"/>
                  </w:tcBorders>
                  <w:vAlign w:val="center"/>
                </w:tcPr>
                <w:p>
                  <w:pPr>
                    <w:widowControl/>
                    <w:jc w:val="center"/>
                    <w:textAlignment w:val="center"/>
                    <w:rPr>
                      <w:kern w:val="0"/>
                      <w:szCs w:val="21"/>
                    </w:rPr>
                  </w:pPr>
                  <w:r>
                    <w:rPr>
                      <w:kern w:val="0"/>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pStyle w:val="11"/>
                    <w:spacing w:after="0"/>
                    <w:ind w:firstLine="0" w:firstLineChars="0"/>
                    <w:jc w:val="center"/>
                    <w:rPr>
                      <w:szCs w:val="21"/>
                    </w:rPr>
                  </w:pPr>
                </w:p>
              </w:tc>
              <w:tc>
                <w:tcPr>
                  <w:tcW w:w="705" w:type="dxa"/>
                  <w:vMerge w:val="restart"/>
                  <w:tcBorders>
                    <w:tl2br w:val="nil"/>
                    <w:tr2bl w:val="nil"/>
                  </w:tcBorders>
                  <w:vAlign w:val="center"/>
                </w:tcPr>
                <w:p>
                  <w:pPr>
                    <w:pStyle w:val="11"/>
                    <w:spacing w:after="0"/>
                    <w:ind w:firstLine="0" w:firstLineChars="0"/>
                    <w:jc w:val="center"/>
                    <w:rPr>
                      <w:szCs w:val="21"/>
                    </w:rPr>
                  </w:pPr>
                  <w:r>
                    <w:rPr>
                      <w:szCs w:val="21"/>
                    </w:rPr>
                    <w:t>颗粒物</w:t>
                  </w:r>
                </w:p>
              </w:tc>
              <w:tc>
                <w:tcPr>
                  <w:tcW w:w="1131"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986" w:type="dxa"/>
                  <w:tcBorders>
                    <w:tl2br w:val="nil"/>
                    <w:tr2bl w:val="nil"/>
                  </w:tcBorders>
                  <w:vAlign w:val="center"/>
                </w:tcPr>
                <w:p>
                  <w:pPr>
                    <w:widowControl/>
                    <w:jc w:val="center"/>
                    <w:textAlignment w:val="center"/>
                    <w:rPr>
                      <w:bCs/>
                      <w:szCs w:val="21"/>
                    </w:rPr>
                  </w:pPr>
                  <w:r>
                    <w:rPr>
                      <w:bCs/>
                      <w:szCs w:val="21"/>
                    </w:rPr>
                    <w:t>10.4</w:t>
                  </w:r>
                </w:p>
              </w:tc>
              <w:tc>
                <w:tcPr>
                  <w:tcW w:w="1129" w:type="dxa"/>
                  <w:tcBorders>
                    <w:tl2br w:val="nil"/>
                    <w:tr2bl w:val="nil"/>
                  </w:tcBorders>
                  <w:vAlign w:val="center"/>
                </w:tcPr>
                <w:p>
                  <w:pPr>
                    <w:widowControl/>
                    <w:jc w:val="center"/>
                    <w:textAlignment w:val="center"/>
                    <w:rPr>
                      <w:bCs/>
                      <w:szCs w:val="21"/>
                    </w:rPr>
                  </w:pPr>
                  <w:r>
                    <w:rPr>
                      <w:bCs/>
                      <w:szCs w:val="21"/>
                    </w:rPr>
                    <w:t>12.7</w:t>
                  </w:r>
                </w:p>
              </w:tc>
              <w:tc>
                <w:tcPr>
                  <w:tcW w:w="984" w:type="dxa"/>
                  <w:tcBorders>
                    <w:tl2br w:val="nil"/>
                    <w:tr2bl w:val="nil"/>
                  </w:tcBorders>
                  <w:vAlign w:val="center"/>
                </w:tcPr>
                <w:p>
                  <w:pPr>
                    <w:widowControl/>
                    <w:jc w:val="center"/>
                    <w:textAlignment w:val="center"/>
                    <w:rPr>
                      <w:bCs/>
                      <w:szCs w:val="21"/>
                    </w:rPr>
                  </w:pPr>
                  <w:r>
                    <w:rPr>
                      <w:bCs/>
                      <w:szCs w:val="21"/>
                    </w:rPr>
                    <w:t>11.6</w:t>
                  </w:r>
                </w:p>
              </w:tc>
              <w:tc>
                <w:tcPr>
                  <w:tcW w:w="992" w:type="dxa"/>
                  <w:tcBorders>
                    <w:tl2br w:val="nil"/>
                    <w:tr2bl w:val="nil"/>
                  </w:tcBorders>
                  <w:vAlign w:val="center"/>
                </w:tcPr>
                <w:p>
                  <w:pPr>
                    <w:widowControl/>
                    <w:jc w:val="center"/>
                    <w:textAlignment w:val="center"/>
                    <w:rPr>
                      <w:bCs/>
                      <w:szCs w:val="21"/>
                    </w:rPr>
                  </w:pPr>
                  <w:r>
                    <w:rPr>
                      <w:kern w:val="0"/>
                      <w:szCs w:val="21"/>
                    </w:rPr>
                    <w:t>11.6</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120</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continue"/>
                  <w:tcBorders>
                    <w:tl2br w:val="nil"/>
                    <w:tr2bl w:val="nil"/>
                  </w:tcBorders>
                  <w:vAlign w:val="center"/>
                </w:tcPr>
                <w:p>
                  <w:pPr>
                    <w:adjustRightInd w:val="0"/>
                    <w:snapToGrid w:val="0"/>
                    <w:jc w:val="center"/>
                    <w:rPr>
                      <w:szCs w:val="21"/>
                    </w:rPr>
                  </w:pPr>
                </w:p>
              </w:tc>
              <w:tc>
                <w:tcPr>
                  <w:tcW w:w="1131" w:type="dxa"/>
                  <w:tcBorders>
                    <w:tl2br w:val="nil"/>
                    <w:tr2bl w:val="nil"/>
                  </w:tcBorders>
                  <w:vAlign w:val="center"/>
                </w:tcPr>
                <w:p>
                  <w:pPr>
                    <w:adjustRightInd w:val="0"/>
                    <w:snapToGrid w:val="0"/>
                    <w:jc w:val="center"/>
                    <w:rPr>
                      <w:szCs w:val="21"/>
                    </w:rPr>
                  </w:pPr>
                  <w:r>
                    <w:rPr>
                      <w:szCs w:val="21"/>
                    </w:rPr>
                    <w:t>排放速率kg/h</w:t>
                  </w:r>
                </w:p>
              </w:tc>
              <w:tc>
                <w:tcPr>
                  <w:tcW w:w="986" w:type="dxa"/>
                  <w:tcBorders>
                    <w:tl2br w:val="nil"/>
                    <w:tr2bl w:val="nil"/>
                  </w:tcBorders>
                  <w:vAlign w:val="center"/>
                </w:tcPr>
                <w:p>
                  <w:pPr>
                    <w:widowControl/>
                    <w:jc w:val="center"/>
                    <w:textAlignment w:val="center"/>
                    <w:rPr>
                      <w:bCs/>
                      <w:szCs w:val="21"/>
                    </w:rPr>
                  </w:pPr>
                  <w:r>
                    <w:rPr>
                      <w:kern w:val="0"/>
                      <w:szCs w:val="21"/>
                    </w:rPr>
                    <w:t>0.048</w:t>
                  </w:r>
                </w:p>
              </w:tc>
              <w:tc>
                <w:tcPr>
                  <w:tcW w:w="1129" w:type="dxa"/>
                  <w:tcBorders>
                    <w:tl2br w:val="nil"/>
                    <w:tr2bl w:val="nil"/>
                  </w:tcBorders>
                  <w:vAlign w:val="center"/>
                </w:tcPr>
                <w:p>
                  <w:pPr>
                    <w:widowControl/>
                    <w:jc w:val="center"/>
                    <w:textAlignment w:val="center"/>
                    <w:rPr>
                      <w:bCs/>
                      <w:szCs w:val="21"/>
                    </w:rPr>
                  </w:pPr>
                  <w:r>
                    <w:rPr>
                      <w:kern w:val="0"/>
                      <w:szCs w:val="21"/>
                    </w:rPr>
                    <w:t>0.058</w:t>
                  </w:r>
                </w:p>
              </w:tc>
              <w:tc>
                <w:tcPr>
                  <w:tcW w:w="984" w:type="dxa"/>
                  <w:tcBorders>
                    <w:tl2br w:val="nil"/>
                    <w:tr2bl w:val="nil"/>
                  </w:tcBorders>
                  <w:vAlign w:val="center"/>
                </w:tcPr>
                <w:p>
                  <w:pPr>
                    <w:widowControl/>
                    <w:jc w:val="center"/>
                    <w:textAlignment w:val="center"/>
                    <w:rPr>
                      <w:bCs/>
                      <w:szCs w:val="21"/>
                    </w:rPr>
                  </w:pPr>
                  <w:r>
                    <w:rPr>
                      <w:kern w:val="0"/>
                      <w:szCs w:val="21"/>
                    </w:rPr>
                    <w:t>0.054</w:t>
                  </w:r>
                </w:p>
              </w:tc>
              <w:tc>
                <w:tcPr>
                  <w:tcW w:w="992" w:type="dxa"/>
                  <w:tcBorders>
                    <w:tl2br w:val="nil"/>
                    <w:tr2bl w:val="nil"/>
                  </w:tcBorders>
                  <w:vAlign w:val="center"/>
                </w:tcPr>
                <w:p>
                  <w:pPr>
                    <w:widowControl/>
                    <w:jc w:val="center"/>
                    <w:textAlignment w:val="center"/>
                    <w:rPr>
                      <w:bCs/>
                      <w:szCs w:val="21"/>
                    </w:rPr>
                  </w:pPr>
                  <w:r>
                    <w:rPr>
                      <w:kern w:val="0"/>
                      <w:szCs w:val="21"/>
                    </w:rPr>
                    <w:t>0.053</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3.5</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restart"/>
                  <w:tcBorders>
                    <w:tl2br w:val="nil"/>
                    <w:tr2bl w:val="nil"/>
                  </w:tcBorders>
                  <w:vAlign w:val="center"/>
                </w:tcPr>
                <w:p>
                  <w:pPr>
                    <w:adjustRightInd w:val="0"/>
                    <w:snapToGrid w:val="0"/>
                    <w:jc w:val="center"/>
                    <w:rPr>
                      <w:szCs w:val="21"/>
                    </w:rPr>
                  </w:pPr>
                  <w:r>
                    <w:rPr>
                      <w:szCs w:val="21"/>
                    </w:rPr>
                    <w:t>铸件脱离、抛丸工序净化后5月22日</w:t>
                  </w:r>
                </w:p>
              </w:tc>
              <w:tc>
                <w:tcPr>
                  <w:tcW w:w="1836" w:type="dxa"/>
                  <w:gridSpan w:val="2"/>
                  <w:tcBorders>
                    <w:tl2br w:val="nil"/>
                    <w:tr2bl w:val="nil"/>
                  </w:tcBorders>
                  <w:vAlign w:val="center"/>
                </w:tcPr>
                <w:p>
                  <w:pPr>
                    <w:adjustRightInd w:val="0"/>
                    <w:snapToGrid w:val="0"/>
                    <w:jc w:val="center"/>
                    <w:rPr>
                      <w:szCs w:val="21"/>
                    </w:rPr>
                  </w:pPr>
                  <w:r>
                    <w:rPr>
                      <w:szCs w:val="21"/>
                    </w:rPr>
                    <w:t>标干流量Nm</w:t>
                  </w:r>
                  <w:r>
                    <w:rPr>
                      <w:szCs w:val="21"/>
                      <w:vertAlign w:val="superscript"/>
                    </w:rPr>
                    <w:t>3</w:t>
                  </w:r>
                  <w:r>
                    <w:rPr>
                      <w:szCs w:val="21"/>
                    </w:rPr>
                    <w:t>/h</w:t>
                  </w:r>
                </w:p>
              </w:tc>
              <w:tc>
                <w:tcPr>
                  <w:tcW w:w="986" w:type="dxa"/>
                  <w:tcBorders>
                    <w:tl2br w:val="nil"/>
                    <w:tr2bl w:val="nil"/>
                  </w:tcBorders>
                  <w:vAlign w:val="center"/>
                </w:tcPr>
                <w:p>
                  <w:pPr>
                    <w:widowControl/>
                    <w:jc w:val="center"/>
                    <w:textAlignment w:val="center"/>
                    <w:rPr>
                      <w:bCs/>
                      <w:szCs w:val="21"/>
                    </w:rPr>
                  </w:pPr>
                  <w:r>
                    <w:rPr>
                      <w:bCs/>
                      <w:szCs w:val="21"/>
                    </w:rPr>
                    <w:t>4250</w:t>
                  </w:r>
                </w:p>
              </w:tc>
              <w:tc>
                <w:tcPr>
                  <w:tcW w:w="1129" w:type="dxa"/>
                  <w:tcBorders>
                    <w:tl2br w:val="nil"/>
                    <w:tr2bl w:val="nil"/>
                  </w:tcBorders>
                  <w:vAlign w:val="center"/>
                </w:tcPr>
                <w:p>
                  <w:pPr>
                    <w:widowControl/>
                    <w:jc w:val="center"/>
                    <w:textAlignment w:val="center"/>
                    <w:rPr>
                      <w:bCs/>
                      <w:szCs w:val="21"/>
                    </w:rPr>
                  </w:pPr>
                  <w:r>
                    <w:rPr>
                      <w:bCs/>
                      <w:szCs w:val="21"/>
                    </w:rPr>
                    <w:t>4307</w:t>
                  </w:r>
                </w:p>
              </w:tc>
              <w:tc>
                <w:tcPr>
                  <w:tcW w:w="984" w:type="dxa"/>
                  <w:tcBorders>
                    <w:tl2br w:val="nil"/>
                    <w:tr2bl w:val="nil"/>
                  </w:tcBorders>
                  <w:vAlign w:val="center"/>
                </w:tcPr>
                <w:p>
                  <w:pPr>
                    <w:widowControl/>
                    <w:jc w:val="center"/>
                    <w:textAlignment w:val="center"/>
                    <w:rPr>
                      <w:bCs/>
                      <w:szCs w:val="21"/>
                    </w:rPr>
                  </w:pPr>
                  <w:r>
                    <w:rPr>
                      <w:bCs/>
                      <w:szCs w:val="21"/>
                    </w:rPr>
                    <w:t>4384</w:t>
                  </w:r>
                </w:p>
              </w:tc>
              <w:tc>
                <w:tcPr>
                  <w:tcW w:w="992" w:type="dxa"/>
                  <w:tcBorders>
                    <w:tl2br w:val="nil"/>
                    <w:tr2bl w:val="nil"/>
                  </w:tcBorders>
                  <w:vAlign w:val="center"/>
                </w:tcPr>
                <w:p>
                  <w:pPr>
                    <w:widowControl/>
                    <w:jc w:val="center"/>
                    <w:textAlignment w:val="center"/>
                    <w:rPr>
                      <w:szCs w:val="21"/>
                    </w:rPr>
                  </w:pPr>
                  <w:r>
                    <w:rPr>
                      <w:kern w:val="0"/>
                      <w:szCs w:val="21"/>
                    </w:rPr>
                    <w:t>4314</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widowControl/>
                    <w:jc w:val="center"/>
                    <w:textAlignment w:val="center"/>
                    <w:rPr>
                      <w:bCs/>
                      <w:szCs w:val="21"/>
                    </w:rPr>
                  </w:pPr>
                  <w:r>
                    <w:rPr>
                      <w:kern w:val="0"/>
                      <w:szCs w:val="21"/>
                    </w:rPr>
                    <w:t>/</w:t>
                  </w:r>
                </w:p>
              </w:tc>
              <w:tc>
                <w:tcPr>
                  <w:tcW w:w="791" w:type="dxa"/>
                  <w:tcBorders>
                    <w:tl2br w:val="nil"/>
                    <w:tr2bl w:val="nil"/>
                  </w:tcBorders>
                  <w:vAlign w:val="center"/>
                </w:tcPr>
                <w:p>
                  <w:pPr>
                    <w:widowControl/>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971" w:type="dxa"/>
                  <w:vMerge w:val="continue"/>
                  <w:tcBorders>
                    <w:tl2br w:val="nil"/>
                    <w:tr2bl w:val="nil"/>
                  </w:tcBorders>
                  <w:vAlign w:val="center"/>
                </w:tcPr>
                <w:p>
                  <w:pPr>
                    <w:pStyle w:val="11"/>
                    <w:spacing w:after="0"/>
                    <w:ind w:firstLine="0" w:firstLineChars="0"/>
                    <w:jc w:val="center"/>
                    <w:rPr>
                      <w:szCs w:val="21"/>
                    </w:rPr>
                  </w:pPr>
                </w:p>
              </w:tc>
              <w:tc>
                <w:tcPr>
                  <w:tcW w:w="705" w:type="dxa"/>
                  <w:vMerge w:val="restart"/>
                  <w:tcBorders>
                    <w:tl2br w:val="nil"/>
                    <w:tr2bl w:val="nil"/>
                  </w:tcBorders>
                  <w:vAlign w:val="center"/>
                </w:tcPr>
                <w:p>
                  <w:pPr>
                    <w:pStyle w:val="11"/>
                    <w:spacing w:after="0"/>
                    <w:ind w:firstLine="0" w:firstLineChars="0"/>
                    <w:jc w:val="center"/>
                    <w:rPr>
                      <w:szCs w:val="21"/>
                    </w:rPr>
                  </w:pPr>
                  <w:r>
                    <w:rPr>
                      <w:szCs w:val="21"/>
                    </w:rPr>
                    <w:t>颗粒物</w:t>
                  </w:r>
                </w:p>
              </w:tc>
              <w:tc>
                <w:tcPr>
                  <w:tcW w:w="1131" w:type="dxa"/>
                  <w:tcBorders>
                    <w:tl2br w:val="nil"/>
                    <w:tr2bl w:val="nil"/>
                  </w:tcBorders>
                  <w:vAlign w:val="center"/>
                </w:tcPr>
                <w:p>
                  <w:pPr>
                    <w:adjustRightInd w:val="0"/>
                    <w:snapToGrid w:val="0"/>
                    <w:jc w:val="center"/>
                    <w:rPr>
                      <w:szCs w:val="21"/>
                    </w:rPr>
                  </w:pPr>
                  <w:r>
                    <w:rPr>
                      <w:szCs w:val="21"/>
                    </w:rPr>
                    <w:t>实测浓度mg/m</w:t>
                  </w:r>
                  <w:r>
                    <w:rPr>
                      <w:szCs w:val="21"/>
                      <w:vertAlign w:val="superscript"/>
                    </w:rPr>
                    <w:t>3</w:t>
                  </w:r>
                </w:p>
              </w:tc>
              <w:tc>
                <w:tcPr>
                  <w:tcW w:w="986" w:type="dxa"/>
                  <w:tcBorders>
                    <w:tl2br w:val="nil"/>
                    <w:tr2bl w:val="nil"/>
                  </w:tcBorders>
                  <w:vAlign w:val="center"/>
                </w:tcPr>
                <w:p>
                  <w:pPr>
                    <w:widowControl/>
                    <w:jc w:val="center"/>
                    <w:textAlignment w:val="center"/>
                    <w:rPr>
                      <w:bCs/>
                      <w:szCs w:val="21"/>
                    </w:rPr>
                  </w:pPr>
                  <w:r>
                    <w:rPr>
                      <w:bCs/>
                      <w:szCs w:val="21"/>
                    </w:rPr>
                    <w:t>10.6</w:t>
                  </w:r>
                </w:p>
              </w:tc>
              <w:tc>
                <w:tcPr>
                  <w:tcW w:w="1129" w:type="dxa"/>
                  <w:tcBorders>
                    <w:tl2br w:val="nil"/>
                    <w:tr2bl w:val="nil"/>
                  </w:tcBorders>
                  <w:vAlign w:val="center"/>
                </w:tcPr>
                <w:p>
                  <w:pPr>
                    <w:widowControl/>
                    <w:jc w:val="center"/>
                    <w:textAlignment w:val="center"/>
                    <w:rPr>
                      <w:bCs/>
                      <w:szCs w:val="21"/>
                    </w:rPr>
                  </w:pPr>
                  <w:r>
                    <w:rPr>
                      <w:bCs/>
                      <w:szCs w:val="21"/>
                    </w:rPr>
                    <w:t>10.2</w:t>
                  </w:r>
                </w:p>
              </w:tc>
              <w:tc>
                <w:tcPr>
                  <w:tcW w:w="984" w:type="dxa"/>
                  <w:tcBorders>
                    <w:tl2br w:val="nil"/>
                    <w:tr2bl w:val="nil"/>
                  </w:tcBorders>
                  <w:vAlign w:val="center"/>
                </w:tcPr>
                <w:p>
                  <w:pPr>
                    <w:widowControl/>
                    <w:jc w:val="center"/>
                    <w:textAlignment w:val="center"/>
                    <w:rPr>
                      <w:bCs/>
                      <w:szCs w:val="21"/>
                    </w:rPr>
                  </w:pPr>
                  <w:r>
                    <w:rPr>
                      <w:bCs/>
                      <w:szCs w:val="21"/>
                    </w:rPr>
                    <w:t>10.8</w:t>
                  </w:r>
                </w:p>
              </w:tc>
              <w:tc>
                <w:tcPr>
                  <w:tcW w:w="992" w:type="dxa"/>
                  <w:tcBorders>
                    <w:tl2br w:val="nil"/>
                    <w:tr2bl w:val="nil"/>
                  </w:tcBorders>
                  <w:vAlign w:val="center"/>
                </w:tcPr>
                <w:p>
                  <w:pPr>
                    <w:widowControl/>
                    <w:jc w:val="center"/>
                    <w:textAlignment w:val="center"/>
                    <w:rPr>
                      <w:szCs w:val="21"/>
                    </w:rPr>
                  </w:pPr>
                  <w:r>
                    <w:rPr>
                      <w:kern w:val="0"/>
                      <w:szCs w:val="21"/>
                    </w:rPr>
                    <w:t>10.5</w:t>
                  </w:r>
                </w:p>
              </w:tc>
              <w:tc>
                <w:tcPr>
                  <w:tcW w:w="847" w:type="dxa"/>
                  <w:tcBorders>
                    <w:tl2br w:val="nil"/>
                    <w:tr2bl w:val="nil"/>
                  </w:tcBorders>
                  <w:vAlign w:val="center"/>
                </w:tcPr>
                <w:p>
                  <w:pPr>
                    <w:tabs>
                      <w:tab w:val="left" w:pos="2385"/>
                      <w:tab w:val="center" w:pos="4819"/>
                    </w:tabs>
                    <w:adjustRightInd w:val="0"/>
                    <w:snapToGrid w:val="0"/>
                    <w:jc w:val="center"/>
                    <w:rPr>
                      <w:bCs/>
                      <w:szCs w:val="21"/>
                    </w:rPr>
                  </w:pPr>
                  <w:r>
                    <w:rPr>
                      <w:bCs/>
                      <w:szCs w:val="21"/>
                    </w:rPr>
                    <w:t>/</w:t>
                  </w:r>
                </w:p>
              </w:tc>
              <w:tc>
                <w:tcPr>
                  <w:tcW w:w="1129" w:type="dxa"/>
                  <w:tcBorders>
                    <w:tl2br w:val="nil"/>
                    <w:tr2bl w:val="nil"/>
                  </w:tcBorders>
                  <w:vAlign w:val="center"/>
                </w:tcPr>
                <w:p>
                  <w:pPr>
                    <w:tabs>
                      <w:tab w:val="left" w:pos="2385"/>
                      <w:tab w:val="center" w:pos="4819"/>
                    </w:tabs>
                    <w:adjustRightInd w:val="0"/>
                    <w:snapToGrid w:val="0"/>
                    <w:jc w:val="center"/>
                    <w:rPr>
                      <w:bCs/>
                      <w:szCs w:val="21"/>
                    </w:rPr>
                  </w:pPr>
                  <w:r>
                    <w:rPr>
                      <w:bCs/>
                      <w:szCs w:val="21"/>
                    </w:rPr>
                    <w:t>120</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1" w:type="dxa"/>
                  <w:vMerge w:val="continue"/>
                  <w:tcBorders>
                    <w:tl2br w:val="nil"/>
                    <w:tr2bl w:val="nil"/>
                  </w:tcBorders>
                  <w:vAlign w:val="center"/>
                </w:tcPr>
                <w:p>
                  <w:pPr>
                    <w:adjustRightInd w:val="0"/>
                    <w:snapToGrid w:val="0"/>
                    <w:jc w:val="center"/>
                    <w:rPr>
                      <w:szCs w:val="21"/>
                    </w:rPr>
                  </w:pPr>
                </w:p>
              </w:tc>
              <w:tc>
                <w:tcPr>
                  <w:tcW w:w="705" w:type="dxa"/>
                  <w:vMerge w:val="continue"/>
                  <w:tcBorders>
                    <w:tl2br w:val="nil"/>
                    <w:tr2bl w:val="nil"/>
                  </w:tcBorders>
                  <w:vAlign w:val="center"/>
                </w:tcPr>
                <w:p>
                  <w:pPr>
                    <w:adjustRightInd w:val="0"/>
                    <w:snapToGrid w:val="0"/>
                    <w:jc w:val="center"/>
                    <w:rPr>
                      <w:kern w:val="0"/>
                      <w:szCs w:val="21"/>
                    </w:rPr>
                  </w:pPr>
                </w:p>
              </w:tc>
              <w:tc>
                <w:tcPr>
                  <w:tcW w:w="1131" w:type="dxa"/>
                  <w:tcBorders>
                    <w:tl2br w:val="nil"/>
                    <w:tr2bl w:val="nil"/>
                  </w:tcBorders>
                  <w:vAlign w:val="center"/>
                </w:tcPr>
                <w:p>
                  <w:pPr>
                    <w:adjustRightInd w:val="0"/>
                    <w:snapToGrid w:val="0"/>
                    <w:jc w:val="center"/>
                    <w:rPr>
                      <w:kern w:val="0"/>
                      <w:szCs w:val="21"/>
                    </w:rPr>
                  </w:pPr>
                  <w:r>
                    <w:rPr>
                      <w:szCs w:val="21"/>
                    </w:rPr>
                    <w:t>排放速率kg/h</w:t>
                  </w:r>
                </w:p>
              </w:tc>
              <w:tc>
                <w:tcPr>
                  <w:tcW w:w="986" w:type="dxa"/>
                  <w:tcBorders>
                    <w:tl2br w:val="nil"/>
                    <w:tr2bl w:val="nil"/>
                  </w:tcBorders>
                  <w:vAlign w:val="center"/>
                </w:tcPr>
                <w:p>
                  <w:pPr>
                    <w:widowControl/>
                    <w:jc w:val="center"/>
                    <w:textAlignment w:val="center"/>
                    <w:rPr>
                      <w:bCs/>
                      <w:szCs w:val="21"/>
                    </w:rPr>
                  </w:pPr>
                  <w:r>
                    <w:rPr>
                      <w:kern w:val="0"/>
                      <w:szCs w:val="21"/>
                    </w:rPr>
                    <w:t>0.045</w:t>
                  </w:r>
                </w:p>
              </w:tc>
              <w:tc>
                <w:tcPr>
                  <w:tcW w:w="1129" w:type="dxa"/>
                  <w:tcBorders>
                    <w:tl2br w:val="nil"/>
                    <w:tr2bl w:val="nil"/>
                  </w:tcBorders>
                  <w:vAlign w:val="center"/>
                </w:tcPr>
                <w:p>
                  <w:pPr>
                    <w:widowControl/>
                    <w:jc w:val="center"/>
                    <w:textAlignment w:val="center"/>
                    <w:rPr>
                      <w:bCs/>
                      <w:szCs w:val="21"/>
                    </w:rPr>
                  </w:pPr>
                  <w:r>
                    <w:rPr>
                      <w:kern w:val="0"/>
                      <w:szCs w:val="21"/>
                    </w:rPr>
                    <w:t>0.044</w:t>
                  </w:r>
                </w:p>
              </w:tc>
              <w:tc>
                <w:tcPr>
                  <w:tcW w:w="984" w:type="dxa"/>
                  <w:tcBorders>
                    <w:tl2br w:val="nil"/>
                    <w:tr2bl w:val="nil"/>
                  </w:tcBorders>
                  <w:vAlign w:val="center"/>
                </w:tcPr>
                <w:p>
                  <w:pPr>
                    <w:widowControl/>
                    <w:jc w:val="center"/>
                    <w:textAlignment w:val="center"/>
                    <w:rPr>
                      <w:bCs/>
                      <w:szCs w:val="21"/>
                    </w:rPr>
                  </w:pPr>
                  <w:r>
                    <w:rPr>
                      <w:kern w:val="0"/>
                      <w:szCs w:val="21"/>
                    </w:rPr>
                    <w:t>0.047</w:t>
                  </w:r>
                </w:p>
              </w:tc>
              <w:tc>
                <w:tcPr>
                  <w:tcW w:w="992" w:type="dxa"/>
                  <w:tcBorders>
                    <w:tl2br w:val="nil"/>
                    <w:tr2bl w:val="nil"/>
                  </w:tcBorders>
                  <w:vAlign w:val="center"/>
                </w:tcPr>
                <w:p>
                  <w:pPr>
                    <w:widowControl/>
                    <w:jc w:val="center"/>
                    <w:textAlignment w:val="center"/>
                    <w:rPr>
                      <w:szCs w:val="21"/>
                    </w:rPr>
                  </w:pPr>
                  <w:r>
                    <w:rPr>
                      <w:kern w:val="0"/>
                      <w:szCs w:val="21"/>
                    </w:rPr>
                    <w:t>0.045</w:t>
                  </w:r>
                </w:p>
              </w:tc>
              <w:tc>
                <w:tcPr>
                  <w:tcW w:w="847" w:type="dxa"/>
                  <w:tcBorders>
                    <w:tl2br w:val="nil"/>
                    <w:tr2bl w:val="nil"/>
                  </w:tcBorders>
                  <w:vAlign w:val="center"/>
                </w:tcPr>
                <w:p>
                  <w:pPr>
                    <w:widowControl/>
                    <w:jc w:val="center"/>
                    <w:textAlignment w:val="center"/>
                    <w:rPr>
                      <w:kern w:val="0"/>
                      <w:szCs w:val="21"/>
                    </w:rPr>
                  </w:pPr>
                  <w:r>
                    <w:rPr>
                      <w:kern w:val="0"/>
                      <w:szCs w:val="21"/>
                    </w:rPr>
                    <w:t>/</w:t>
                  </w:r>
                </w:p>
              </w:tc>
              <w:tc>
                <w:tcPr>
                  <w:tcW w:w="1129" w:type="dxa"/>
                  <w:tcBorders>
                    <w:tl2br w:val="nil"/>
                    <w:tr2bl w:val="nil"/>
                  </w:tcBorders>
                  <w:vAlign w:val="center"/>
                </w:tcPr>
                <w:p>
                  <w:pPr>
                    <w:widowControl/>
                    <w:jc w:val="center"/>
                    <w:textAlignment w:val="center"/>
                    <w:rPr>
                      <w:kern w:val="0"/>
                      <w:szCs w:val="21"/>
                    </w:rPr>
                  </w:pPr>
                  <w:r>
                    <w:rPr>
                      <w:bCs/>
                      <w:szCs w:val="21"/>
                    </w:rPr>
                    <w:t>3.5</w:t>
                  </w:r>
                </w:p>
              </w:tc>
              <w:tc>
                <w:tcPr>
                  <w:tcW w:w="791" w:type="dxa"/>
                  <w:tcBorders>
                    <w:tl2br w:val="nil"/>
                    <w:tr2bl w:val="nil"/>
                  </w:tcBorders>
                  <w:vAlign w:val="center"/>
                </w:tcPr>
                <w:p>
                  <w:pPr>
                    <w:widowControl/>
                    <w:jc w:val="center"/>
                    <w:textAlignment w:val="center"/>
                    <w:rPr>
                      <w:kern w:val="0"/>
                      <w:szCs w:val="21"/>
                    </w:rPr>
                  </w:pPr>
                  <w:r>
                    <w:rPr>
                      <w:kern w:val="0"/>
                      <w:szCs w:val="21"/>
                    </w:rPr>
                    <w:t>符合</w:t>
                  </w:r>
                </w:p>
              </w:tc>
            </w:tr>
          </w:tbl>
          <w:p>
            <w:pPr>
              <w:adjustRightInd w:val="0"/>
              <w:snapToGrid w:val="0"/>
              <w:spacing w:line="360" w:lineRule="auto"/>
              <w:rPr>
                <w:rFonts w:ascii="宋体" w:hAnsi="宋体"/>
                <w:sz w:val="24"/>
              </w:rPr>
            </w:pPr>
          </w:p>
          <w:p>
            <w:pPr>
              <w:adjustRightInd w:val="0"/>
              <w:snapToGrid w:val="0"/>
              <w:spacing w:line="360" w:lineRule="auto"/>
              <w:ind w:firstLine="480" w:firstLineChars="200"/>
              <w:rPr>
                <w:rFonts w:asciiTheme="minorEastAsia" w:hAnsiTheme="minorEastAsia" w:eastAsiaTheme="minorEastAsia"/>
                <w:color w:val="000000"/>
                <w:sz w:val="24"/>
              </w:rPr>
            </w:pPr>
            <w:r>
              <w:rPr>
                <w:rFonts w:asciiTheme="minorEastAsia" w:hAnsiTheme="minorEastAsia" w:eastAsiaTheme="minorEastAsia"/>
                <w:sz w:val="24"/>
              </w:rPr>
              <w:t>结论：检测结果表明，</w:t>
            </w:r>
            <w:r>
              <w:rPr>
                <w:rFonts w:hint="eastAsia" w:asciiTheme="minorEastAsia" w:hAnsiTheme="minorEastAsia" w:eastAsiaTheme="minorEastAsia"/>
                <w:color w:val="000000"/>
                <w:sz w:val="24"/>
              </w:rPr>
              <w:t>中频电炉产生的颗粒物经</w:t>
            </w:r>
            <w:r>
              <w:rPr>
                <w:rFonts w:cs="宋体" w:asciiTheme="minorEastAsia" w:hAnsiTheme="minorEastAsia" w:eastAsiaTheme="minorEastAsia"/>
                <w:sz w:val="24"/>
              </w:rPr>
              <w:t>中频电炉上方设置的顶吸式集气罩收集，经布袋除尘器(2台中频电炉一备一用,共用1套布袋除尘器)处理后经15高排气筒(P1)排放</w:t>
            </w:r>
            <w:r>
              <w:rPr>
                <w:rFonts w:hint="eastAsia" w:asciiTheme="minorEastAsia" w:hAnsiTheme="minorEastAsia" w:eastAsiaTheme="minorEastAsia"/>
                <w:color w:val="000000"/>
                <w:sz w:val="24"/>
              </w:rPr>
              <w:t>，最大排放浓度为2.6</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asciiTheme="minorEastAsia" w:hAnsiTheme="minorEastAsia" w:eastAsiaTheme="minorEastAsia"/>
                <w:color w:val="000000"/>
                <w:sz w:val="24"/>
              </w:rPr>
              <w:t>，满足《京津冀及周边2</w:t>
            </w:r>
            <w:r>
              <w:rPr>
                <w:rFonts w:asciiTheme="minorEastAsia" w:hAnsiTheme="minorEastAsia" w:eastAsiaTheme="minorEastAsia"/>
                <w:color w:val="000000"/>
                <w:sz w:val="24"/>
              </w:rPr>
              <w:t>018-2019</w:t>
            </w:r>
            <w:r>
              <w:rPr>
                <w:rFonts w:hint="eastAsia" w:asciiTheme="minorEastAsia" w:hAnsiTheme="minorEastAsia" w:eastAsiaTheme="minorEastAsia"/>
                <w:color w:val="000000"/>
                <w:sz w:val="24"/>
              </w:rPr>
              <w:t>年秋冬季大气污染综合治理攻坚行动方案》中第1</w:t>
            </w:r>
            <w:r>
              <w:rPr>
                <w:rFonts w:asciiTheme="minorEastAsia" w:hAnsiTheme="minorEastAsia" w:eastAsiaTheme="minorEastAsia"/>
                <w:color w:val="000000"/>
                <w:sz w:val="24"/>
              </w:rPr>
              <w:t>8</w:t>
            </w:r>
            <w:r>
              <w:rPr>
                <w:rFonts w:hint="eastAsia" w:asciiTheme="minorEastAsia" w:hAnsiTheme="minorEastAsia" w:eastAsiaTheme="minorEastAsia"/>
                <w:color w:val="000000"/>
                <w:sz w:val="24"/>
              </w:rPr>
              <w:t>条“实施工业炉窑深度治理”限值要求，即颗粒物排放限值≤3</w:t>
            </w:r>
            <w:r>
              <w:rPr>
                <w:rFonts w:asciiTheme="minorEastAsia" w:hAnsiTheme="minorEastAsia" w:eastAsiaTheme="minorEastAsia"/>
                <w:color w:val="000000"/>
                <w:sz w:val="24"/>
              </w:rPr>
              <w:t>0</w:t>
            </w:r>
            <w:r>
              <w:rPr>
                <w:rFonts w:hint="eastAsia" w:asciiTheme="minorEastAsia" w:hAnsiTheme="minorEastAsia" w:eastAsiaTheme="minorEastAsia"/>
                <w:color w:val="000000"/>
                <w:sz w:val="24"/>
              </w:rPr>
              <w:t>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p>
          <w:p>
            <w:pPr>
              <w:adjustRightInd w:val="0"/>
              <w:snapToGrid w:val="0"/>
              <w:spacing w:line="360" w:lineRule="auto"/>
              <w:ind w:firstLine="480" w:firstLineChars="200"/>
              <w:rPr>
                <w:rFonts w:asciiTheme="minorEastAsia" w:hAnsiTheme="minorEastAsia" w:eastAsiaTheme="minorEastAsia"/>
                <w:color w:val="000000"/>
                <w:sz w:val="24"/>
              </w:rPr>
            </w:pPr>
            <w:r>
              <w:rPr>
                <w:rFonts w:cs="宋体" w:asciiTheme="minorEastAsia" w:hAnsiTheme="minorEastAsia" w:eastAsiaTheme="minorEastAsia"/>
                <w:sz w:val="24"/>
              </w:rPr>
              <w:t>造型及浇铸工序产生的颗粒物，经顶吸式集气罩收集后,共用1套“过滤棉+V光氧催化装置+活性炭吸附装置”处理，经1根15m高排气筒(P2)排放,</w:t>
            </w:r>
            <w:r>
              <w:rPr>
                <w:rFonts w:hint="eastAsia" w:asciiTheme="minorEastAsia" w:hAnsiTheme="minorEastAsia" w:eastAsiaTheme="minorEastAsia"/>
                <w:color w:val="000000"/>
                <w:sz w:val="24"/>
              </w:rPr>
              <w:t xml:space="preserve"> 最大排放浓度为8.7</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asciiTheme="minorEastAsia" w:hAnsiTheme="minorEastAsia" w:eastAsiaTheme="minorEastAsia"/>
                <w:color w:val="000000"/>
                <w:sz w:val="24"/>
              </w:rPr>
              <w:t>，</w:t>
            </w:r>
            <w:r>
              <w:rPr>
                <w:rFonts w:cs="宋体" w:asciiTheme="minorEastAsia" w:hAnsiTheme="minorEastAsia" w:eastAsiaTheme="minorEastAsia"/>
                <w:sz w:val="24"/>
              </w:rPr>
              <w:t>满足《大气污染物综合排放标准》(GB16297-1996)表2中二级标准要求，</w:t>
            </w:r>
            <w:r>
              <w:rPr>
                <w:rFonts w:hint="eastAsia" w:asciiTheme="minorEastAsia" w:hAnsiTheme="minorEastAsia" w:eastAsiaTheme="minorEastAsia"/>
                <w:color w:val="000000"/>
                <w:sz w:val="24"/>
              </w:rPr>
              <w:t>即颗粒物排放限值≤120mg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p>
          <w:p>
            <w:pPr>
              <w:adjustRightInd w:val="0"/>
              <w:snapToGrid w:val="0"/>
              <w:spacing w:line="360" w:lineRule="auto"/>
              <w:ind w:firstLine="480" w:firstLineChars="200"/>
              <w:rPr>
                <w:rFonts w:asciiTheme="minorEastAsia" w:hAnsiTheme="minorEastAsia" w:eastAsiaTheme="minorEastAsia"/>
                <w:color w:val="000000"/>
                <w:sz w:val="24"/>
              </w:rPr>
            </w:pPr>
            <w:r>
              <w:rPr>
                <w:rFonts w:cs="宋体" w:asciiTheme="minorEastAsia" w:hAnsiTheme="minorEastAsia" w:eastAsiaTheme="minorEastAsia"/>
                <w:sz w:val="24"/>
              </w:rPr>
              <w:t>造型与浇铸产生的有机废气非甲烷总烃，经顶吸式集气罩收集后,共用1套“过滤棉+V光氧催化装置+活性炭吸附装置”处理，经1根15m高排气筒(P2)排放,</w:t>
            </w:r>
            <w:r>
              <w:rPr>
                <w:rFonts w:hint="eastAsia" w:asciiTheme="minorEastAsia" w:hAnsiTheme="minorEastAsia" w:eastAsiaTheme="minorEastAsia"/>
                <w:color w:val="000000"/>
                <w:sz w:val="24"/>
              </w:rPr>
              <w:t xml:space="preserve"> 最大排放浓度为1.57</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cs="宋体" w:asciiTheme="minorEastAsia" w:hAnsiTheme="minorEastAsia" w:eastAsiaTheme="minorEastAsia"/>
                <w:sz w:val="24"/>
              </w:rPr>
              <w:t>，</w:t>
            </w:r>
            <w:r>
              <w:rPr>
                <w:rFonts w:cs="宋体" w:asciiTheme="minorEastAsia" w:hAnsiTheme="minorEastAsia" w:eastAsiaTheme="minorEastAsia"/>
                <w:sz w:val="24"/>
              </w:rPr>
              <w:t>满足《工业企业挥发性有机物排放控制标准》(DB13/2322-2016)表1其他行业排放标准隈值要求，</w:t>
            </w:r>
            <w:r>
              <w:rPr>
                <w:rFonts w:hint="eastAsia" w:asciiTheme="minorEastAsia" w:hAnsiTheme="minorEastAsia" w:eastAsiaTheme="minorEastAsia"/>
                <w:color w:val="000000"/>
                <w:sz w:val="24"/>
              </w:rPr>
              <w:t>即颗粒物排放限值≤80mg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p>
          <w:p>
            <w:pPr>
              <w:adjustRightInd w:val="0"/>
              <w:snapToGrid w:val="0"/>
              <w:spacing w:line="360" w:lineRule="auto"/>
              <w:ind w:firstLine="480" w:firstLineChars="200"/>
              <w:rPr>
                <w:rFonts w:asciiTheme="minorEastAsia" w:hAnsiTheme="minorEastAsia" w:eastAsiaTheme="minorEastAsia"/>
                <w:color w:val="000000"/>
                <w:sz w:val="24"/>
              </w:rPr>
            </w:pPr>
            <w:r>
              <w:rPr>
                <w:rFonts w:cs="宋体" w:asciiTheme="minorEastAsia" w:hAnsiTheme="minorEastAsia" w:eastAsiaTheme="minorEastAsia"/>
                <w:sz w:val="24"/>
              </w:rPr>
              <w:t>铸件脱离、抛丸工序产生的废气，经自带的布袋除尘器处理后,经15m高排气筒(P3)排放,</w:t>
            </w:r>
            <w:r>
              <w:rPr>
                <w:rFonts w:hint="eastAsia" w:asciiTheme="minorEastAsia" w:hAnsiTheme="minorEastAsia" w:eastAsiaTheme="minorEastAsia"/>
                <w:color w:val="000000"/>
                <w:sz w:val="24"/>
              </w:rPr>
              <w:t xml:space="preserve"> 最大排放浓度为12.7</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cs="宋体" w:asciiTheme="minorEastAsia" w:hAnsiTheme="minorEastAsia" w:eastAsiaTheme="minorEastAsia"/>
                <w:sz w:val="24"/>
              </w:rPr>
              <w:t>，</w:t>
            </w:r>
            <w:r>
              <w:rPr>
                <w:rFonts w:cs="宋体" w:asciiTheme="minorEastAsia" w:hAnsiTheme="minorEastAsia" w:eastAsiaTheme="minorEastAsia"/>
                <w:sz w:val="24"/>
              </w:rPr>
              <w:t>满足《大气污染物综合排放标准》(GB16297-1996)表2中二级标准要求，</w:t>
            </w:r>
            <w:r>
              <w:rPr>
                <w:rFonts w:hint="eastAsia" w:asciiTheme="minorEastAsia" w:hAnsiTheme="minorEastAsia" w:eastAsiaTheme="minorEastAsia"/>
                <w:color w:val="000000"/>
                <w:sz w:val="24"/>
              </w:rPr>
              <w:t>即颗粒物排放限值≤120mg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p>
          <w:p>
            <w:pPr>
              <w:pStyle w:val="29"/>
              <w:numPr>
                <w:ilvl w:val="0"/>
                <w:numId w:val="1"/>
              </w:numPr>
              <w:adjustRightInd w:val="0"/>
              <w:snapToGrid w:val="0"/>
              <w:spacing w:line="360" w:lineRule="auto"/>
              <w:ind w:firstLineChars="0"/>
              <w:rPr>
                <w:rFonts w:ascii="宋体" w:hAnsi="宋体"/>
                <w:bCs/>
                <w:sz w:val="24"/>
              </w:rPr>
            </w:pPr>
            <w:r>
              <w:rPr>
                <w:rFonts w:hint="eastAsia" w:ascii="宋体" w:hAnsi="宋体"/>
                <w:bCs/>
                <w:sz w:val="24"/>
              </w:rPr>
              <w:t>无组织废气</w:t>
            </w:r>
          </w:p>
          <w:tbl>
            <w:tblPr>
              <w:tblStyle w:val="12"/>
              <w:tblW w:w="97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010"/>
              <w:gridCol w:w="914"/>
              <w:gridCol w:w="913"/>
              <w:gridCol w:w="928"/>
              <w:gridCol w:w="922"/>
              <w:gridCol w:w="890"/>
              <w:gridCol w:w="823"/>
              <w:gridCol w:w="755"/>
              <w:gridCol w:w="713"/>
              <w:gridCol w:w="6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46" w:type="dxa"/>
                  <w:vMerge w:val="restart"/>
                  <w:tcBorders>
                    <w:tl2br w:val="nil"/>
                    <w:tr2bl w:val="nil"/>
                  </w:tcBorders>
                  <w:vAlign w:val="center"/>
                </w:tcPr>
                <w:p>
                  <w:pPr>
                    <w:jc w:val="center"/>
                    <w:rPr>
                      <w:szCs w:val="21"/>
                    </w:rPr>
                  </w:pPr>
                  <w:r>
                    <w:rPr>
                      <w:szCs w:val="21"/>
                    </w:rPr>
                    <w:t>检测</w:t>
                  </w:r>
                </w:p>
                <w:p>
                  <w:pPr>
                    <w:jc w:val="center"/>
                    <w:rPr>
                      <w:szCs w:val="21"/>
                    </w:rPr>
                  </w:pPr>
                  <w:r>
                    <w:rPr>
                      <w:szCs w:val="21"/>
                    </w:rPr>
                    <w:t>点位</w:t>
                  </w:r>
                </w:p>
              </w:tc>
              <w:tc>
                <w:tcPr>
                  <w:tcW w:w="1010" w:type="dxa"/>
                  <w:vMerge w:val="restart"/>
                  <w:tcBorders>
                    <w:tl2br w:val="nil"/>
                    <w:tr2bl w:val="nil"/>
                  </w:tcBorders>
                  <w:vAlign w:val="center"/>
                </w:tcPr>
                <w:p>
                  <w:pPr>
                    <w:jc w:val="center"/>
                    <w:rPr>
                      <w:szCs w:val="21"/>
                    </w:rPr>
                  </w:pPr>
                  <w:r>
                    <w:rPr>
                      <w:szCs w:val="21"/>
                    </w:rPr>
                    <w:t>检测</w:t>
                  </w:r>
                </w:p>
                <w:p>
                  <w:pPr>
                    <w:jc w:val="center"/>
                    <w:rPr>
                      <w:szCs w:val="21"/>
                    </w:rPr>
                  </w:pPr>
                  <w:r>
                    <w:rPr>
                      <w:szCs w:val="21"/>
                    </w:rPr>
                    <w:t>参数</w:t>
                  </w:r>
                </w:p>
              </w:tc>
              <w:tc>
                <w:tcPr>
                  <w:tcW w:w="4567" w:type="dxa"/>
                  <w:gridSpan w:val="5"/>
                  <w:tcBorders>
                    <w:tl2br w:val="nil"/>
                    <w:tr2bl w:val="nil"/>
                  </w:tcBorders>
                  <w:vAlign w:val="center"/>
                </w:tcPr>
                <w:p>
                  <w:pPr>
                    <w:jc w:val="center"/>
                    <w:rPr>
                      <w:szCs w:val="21"/>
                    </w:rPr>
                  </w:pPr>
                  <w:r>
                    <w:rPr>
                      <w:szCs w:val="21"/>
                    </w:rPr>
                    <w:t>测量值</w:t>
                  </w:r>
                </w:p>
              </w:tc>
              <w:tc>
                <w:tcPr>
                  <w:tcW w:w="823" w:type="dxa"/>
                  <w:vMerge w:val="restart"/>
                  <w:tcBorders>
                    <w:tl2br w:val="nil"/>
                    <w:tr2bl w:val="nil"/>
                  </w:tcBorders>
                  <w:vAlign w:val="center"/>
                </w:tcPr>
                <w:p>
                  <w:pPr>
                    <w:jc w:val="center"/>
                    <w:rPr>
                      <w:szCs w:val="21"/>
                    </w:rPr>
                  </w:pPr>
                  <w:r>
                    <w:rPr>
                      <w:szCs w:val="21"/>
                    </w:rPr>
                    <w:t>单位</w:t>
                  </w:r>
                </w:p>
              </w:tc>
              <w:tc>
                <w:tcPr>
                  <w:tcW w:w="1468" w:type="dxa"/>
                  <w:gridSpan w:val="2"/>
                  <w:tcBorders>
                    <w:tl2br w:val="nil"/>
                    <w:tr2bl w:val="nil"/>
                  </w:tcBorders>
                  <w:vAlign w:val="center"/>
                </w:tcPr>
                <w:p>
                  <w:pPr>
                    <w:jc w:val="center"/>
                    <w:rPr>
                      <w:szCs w:val="21"/>
                    </w:rPr>
                  </w:pPr>
                  <w:r>
                    <w:rPr>
                      <w:szCs w:val="21"/>
                    </w:rPr>
                    <w:t>执行标准</w:t>
                  </w:r>
                </w:p>
                <w:p>
                  <w:pPr>
                    <w:jc w:val="center"/>
                    <w:rPr>
                      <w:szCs w:val="21"/>
                    </w:rPr>
                  </w:pPr>
                  <w:r>
                    <w:rPr>
                      <w:szCs w:val="21"/>
                    </w:rPr>
                    <w:t>及限值</w:t>
                  </w:r>
                </w:p>
              </w:tc>
              <w:tc>
                <w:tcPr>
                  <w:tcW w:w="686" w:type="dxa"/>
                  <w:vMerge w:val="restart"/>
                  <w:tcBorders>
                    <w:tl2br w:val="nil"/>
                    <w:tr2bl w:val="nil"/>
                  </w:tcBorders>
                  <w:vAlign w:val="center"/>
                </w:tcPr>
                <w:p>
                  <w:pPr>
                    <w:jc w:val="center"/>
                    <w:rPr>
                      <w:szCs w:val="21"/>
                    </w:rPr>
                  </w:pPr>
                  <w:r>
                    <w:rPr>
                      <w:szCs w:val="21"/>
                    </w:rPr>
                    <w:t>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146" w:type="dxa"/>
                  <w:vMerge w:val="continue"/>
                  <w:tcBorders>
                    <w:tl2br w:val="nil"/>
                    <w:tr2bl w:val="nil"/>
                  </w:tcBorders>
                  <w:vAlign w:val="center"/>
                </w:tcPr>
                <w:p>
                  <w:pPr>
                    <w:jc w:val="center"/>
                    <w:rPr>
                      <w:szCs w:val="21"/>
                    </w:rPr>
                  </w:pP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第一次</w:t>
                  </w:r>
                </w:p>
              </w:tc>
              <w:tc>
                <w:tcPr>
                  <w:tcW w:w="913" w:type="dxa"/>
                  <w:tcBorders>
                    <w:tl2br w:val="nil"/>
                    <w:tr2bl w:val="nil"/>
                  </w:tcBorders>
                  <w:vAlign w:val="center"/>
                </w:tcPr>
                <w:p>
                  <w:pPr>
                    <w:jc w:val="center"/>
                    <w:rPr>
                      <w:szCs w:val="21"/>
                    </w:rPr>
                  </w:pPr>
                  <w:r>
                    <w:rPr>
                      <w:szCs w:val="21"/>
                    </w:rPr>
                    <w:t>第二次</w:t>
                  </w:r>
                </w:p>
              </w:tc>
              <w:tc>
                <w:tcPr>
                  <w:tcW w:w="928" w:type="dxa"/>
                  <w:tcBorders>
                    <w:tl2br w:val="nil"/>
                    <w:tr2bl w:val="nil"/>
                  </w:tcBorders>
                  <w:vAlign w:val="center"/>
                </w:tcPr>
                <w:p>
                  <w:pPr>
                    <w:jc w:val="center"/>
                    <w:rPr>
                      <w:szCs w:val="21"/>
                    </w:rPr>
                  </w:pPr>
                  <w:r>
                    <w:rPr>
                      <w:szCs w:val="21"/>
                    </w:rPr>
                    <w:t>第三次</w:t>
                  </w:r>
                </w:p>
              </w:tc>
              <w:tc>
                <w:tcPr>
                  <w:tcW w:w="922" w:type="dxa"/>
                  <w:tcBorders>
                    <w:tl2br w:val="nil"/>
                    <w:tr2bl w:val="nil"/>
                  </w:tcBorders>
                  <w:vAlign w:val="center"/>
                </w:tcPr>
                <w:p>
                  <w:pPr>
                    <w:jc w:val="center"/>
                    <w:rPr>
                      <w:szCs w:val="21"/>
                    </w:rPr>
                  </w:pPr>
                  <w:r>
                    <w:rPr>
                      <w:szCs w:val="21"/>
                    </w:rPr>
                    <w:t>第四次</w:t>
                  </w:r>
                </w:p>
              </w:tc>
              <w:tc>
                <w:tcPr>
                  <w:tcW w:w="890" w:type="dxa"/>
                  <w:tcBorders>
                    <w:tl2br w:val="nil"/>
                    <w:tr2bl w:val="nil"/>
                  </w:tcBorders>
                  <w:vAlign w:val="center"/>
                </w:tcPr>
                <w:p>
                  <w:pPr>
                    <w:jc w:val="center"/>
                    <w:rPr>
                      <w:szCs w:val="21"/>
                    </w:rPr>
                  </w:pPr>
                  <w:r>
                    <w:rPr>
                      <w:szCs w:val="21"/>
                    </w:rPr>
                    <w:t>最大值</w:t>
                  </w:r>
                </w:p>
              </w:tc>
              <w:tc>
                <w:tcPr>
                  <w:tcW w:w="823" w:type="dxa"/>
                  <w:vMerge w:val="continue"/>
                  <w:tcBorders>
                    <w:tl2br w:val="nil"/>
                    <w:tr2bl w:val="nil"/>
                  </w:tcBorders>
                  <w:vAlign w:val="center"/>
                </w:tcPr>
                <w:p>
                  <w:pPr>
                    <w:jc w:val="center"/>
                    <w:rPr>
                      <w:szCs w:val="21"/>
                    </w:rPr>
                  </w:pPr>
                </w:p>
              </w:tc>
              <w:tc>
                <w:tcPr>
                  <w:tcW w:w="755" w:type="dxa"/>
                  <w:tcBorders>
                    <w:tl2br w:val="nil"/>
                    <w:tr2bl w:val="nil"/>
                  </w:tcBorders>
                  <w:vAlign w:val="center"/>
                </w:tcPr>
                <w:p>
                  <w:pPr>
                    <w:jc w:val="center"/>
                    <w:rPr>
                      <w:szCs w:val="21"/>
                    </w:rPr>
                  </w:pPr>
                  <w:r>
                    <w:rPr>
                      <w:szCs w:val="21"/>
                    </w:rPr>
                    <w:t>DB13/2322-2016</w:t>
                  </w:r>
                </w:p>
              </w:tc>
              <w:tc>
                <w:tcPr>
                  <w:tcW w:w="713" w:type="dxa"/>
                  <w:tcBorders>
                    <w:tl2br w:val="nil"/>
                    <w:tr2bl w:val="nil"/>
                  </w:tcBorders>
                  <w:vAlign w:val="center"/>
                </w:tcPr>
                <w:p>
                  <w:pPr>
                    <w:jc w:val="center"/>
                    <w:rPr>
                      <w:szCs w:val="21"/>
                    </w:rPr>
                  </w:pPr>
                  <w:r>
                    <w:rPr>
                      <w:szCs w:val="21"/>
                    </w:rPr>
                    <w:t>DB13/1640-2012</w:t>
                  </w: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1#上风向</w:t>
                  </w:r>
                </w:p>
              </w:tc>
              <w:tc>
                <w:tcPr>
                  <w:tcW w:w="1010" w:type="dxa"/>
                  <w:vMerge w:val="restart"/>
                  <w:tcBorders>
                    <w:tl2br w:val="nil"/>
                    <w:tr2bl w:val="nil"/>
                  </w:tcBorders>
                  <w:vAlign w:val="center"/>
                </w:tcPr>
                <w:p>
                  <w:pPr>
                    <w:adjustRightInd w:val="0"/>
                    <w:snapToGrid w:val="0"/>
                    <w:jc w:val="center"/>
                    <w:rPr>
                      <w:szCs w:val="21"/>
                    </w:rPr>
                  </w:pPr>
                  <w:r>
                    <w:rPr>
                      <w:szCs w:val="21"/>
                    </w:rPr>
                    <w:t>非甲烷总烃</w:t>
                  </w:r>
                  <w:r>
                    <w:rPr>
                      <w:kern w:val="0"/>
                      <w:szCs w:val="21"/>
                    </w:rPr>
                    <w:t>（以碳计）</w:t>
                  </w:r>
                </w:p>
                <w:p>
                  <w:pPr>
                    <w:jc w:val="center"/>
                    <w:rPr>
                      <w:szCs w:val="21"/>
                    </w:rPr>
                  </w:pPr>
                  <w:r>
                    <w:rPr>
                      <w:szCs w:val="21"/>
                    </w:rPr>
                    <w:t>5月21日</w:t>
                  </w:r>
                </w:p>
              </w:tc>
              <w:tc>
                <w:tcPr>
                  <w:tcW w:w="914" w:type="dxa"/>
                  <w:tcBorders>
                    <w:tl2br w:val="nil"/>
                    <w:tr2bl w:val="nil"/>
                  </w:tcBorders>
                  <w:vAlign w:val="center"/>
                </w:tcPr>
                <w:p>
                  <w:pPr>
                    <w:jc w:val="center"/>
                    <w:rPr>
                      <w:szCs w:val="21"/>
                    </w:rPr>
                  </w:pPr>
                  <w:r>
                    <w:rPr>
                      <w:szCs w:val="21"/>
                    </w:rPr>
                    <w:t>0.12</w:t>
                  </w:r>
                </w:p>
              </w:tc>
              <w:tc>
                <w:tcPr>
                  <w:tcW w:w="913" w:type="dxa"/>
                  <w:tcBorders>
                    <w:tl2br w:val="nil"/>
                    <w:tr2bl w:val="nil"/>
                  </w:tcBorders>
                  <w:vAlign w:val="center"/>
                </w:tcPr>
                <w:p>
                  <w:pPr>
                    <w:jc w:val="center"/>
                    <w:rPr>
                      <w:szCs w:val="21"/>
                    </w:rPr>
                  </w:pPr>
                  <w:r>
                    <w:rPr>
                      <w:szCs w:val="21"/>
                    </w:rPr>
                    <w:t>0.10</w:t>
                  </w:r>
                </w:p>
              </w:tc>
              <w:tc>
                <w:tcPr>
                  <w:tcW w:w="928" w:type="dxa"/>
                  <w:tcBorders>
                    <w:tl2br w:val="nil"/>
                    <w:tr2bl w:val="nil"/>
                  </w:tcBorders>
                  <w:vAlign w:val="center"/>
                </w:tcPr>
                <w:p>
                  <w:pPr>
                    <w:jc w:val="center"/>
                    <w:rPr>
                      <w:szCs w:val="21"/>
                    </w:rPr>
                  </w:pPr>
                  <w:r>
                    <w:rPr>
                      <w:szCs w:val="21"/>
                    </w:rPr>
                    <w:t>0.08</w:t>
                  </w:r>
                </w:p>
              </w:tc>
              <w:tc>
                <w:tcPr>
                  <w:tcW w:w="922" w:type="dxa"/>
                  <w:tcBorders>
                    <w:tl2br w:val="nil"/>
                    <w:tr2bl w:val="nil"/>
                  </w:tcBorders>
                  <w:vAlign w:val="center"/>
                </w:tcPr>
                <w:p>
                  <w:pPr>
                    <w:jc w:val="center"/>
                    <w:rPr>
                      <w:szCs w:val="21"/>
                    </w:rPr>
                  </w:pPr>
                  <w:r>
                    <w:rPr>
                      <w:szCs w:val="21"/>
                    </w:rPr>
                    <w:t>0.11</w:t>
                  </w:r>
                </w:p>
              </w:tc>
              <w:tc>
                <w:tcPr>
                  <w:tcW w:w="890" w:type="dxa"/>
                  <w:vMerge w:val="restart"/>
                  <w:tcBorders>
                    <w:tl2br w:val="nil"/>
                    <w:tr2bl w:val="nil"/>
                  </w:tcBorders>
                  <w:vAlign w:val="center"/>
                </w:tcPr>
                <w:p>
                  <w:pPr>
                    <w:jc w:val="center"/>
                    <w:rPr>
                      <w:szCs w:val="21"/>
                    </w:rPr>
                  </w:pPr>
                  <w:r>
                    <w:rPr>
                      <w:szCs w:val="21"/>
                    </w:rPr>
                    <w:t>0.67</w:t>
                  </w: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restart"/>
                  <w:tcBorders>
                    <w:tl2br w:val="nil"/>
                    <w:tr2bl w:val="nil"/>
                  </w:tcBorders>
                  <w:vAlign w:val="center"/>
                </w:tcPr>
                <w:p>
                  <w:pPr>
                    <w:jc w:val="center"/>
                    <w:rPr>
                      <w:szCs w:val="21"/>
                    </w:rPr>
                  </w:pPr>
                  <w:r>
                    <w:rPr>
                      <w:szCs w:val="21"/>
                    </w:rPr>
                    <w:t>2.0</w:t>
                  </w:r>
                </w:p>
              </w:tc>
              <w:tc>
                <w:tcPr>
                  <w:tcW w:w="713" w:type="dxa"/>
                  <w:vMerge w:val="restart"/>
                  <w:tcBorders>
                    <w:tl2br w:val="nil"/>
                    <w:tr2bl w:val="nil"/>
                  </w:tcBorders>
                  <w:vAlign w:val="center"/>
                </w:tcPr>
                <w:p>
                  <w:pPr>
                    <w:jc w:val="center"/>
                    <w:rPr>
                      <w:szCs w:val="21"/>
                    </w:rPr>
                  </w:pPr>
                  <w:r>
                    <w:rPr>
                      <w:szCs w:val="21"/>
                    </w:rPr>
                    <w:t>/</w:t>
                  </w:r>
                </w:p>
              </w:tc>
              <w:tc>
                <w:tcPr>
                  <w:tcW w:w="686" w:type="dxa"/>
                  <w:vMerge w:val="restart"/>
                  <w:tcBorders>
                    <w:tl2br w:val="nil"/>
                    <w:tr2bl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2#下风向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0.40</w:t>
                  </w:r>
                </w:p>
              </w:tc>
              <w:tc>
                <w:tcPr>
                  <w:tcW w:w="913" w:type="dxa"/>
                  <w:tcBorders>
                    <w:tl2br w:val="nil"/>
                    <w:tr2bl w:val="nil"/>
                  </w:tcBorders>
                  <w:vAlign w:val="center"/>
                </w:tcPr>
                <w:p>
                  <w:pPr>
                    <w:jc w:val="center"/>
                    <w:rPr>
                      <w:szCs w:val="21"/>
                    </w:rPr>
                  </w:pPr>
                  <w:r>
                    <w:rPr>
                      <w:szCs w:val="21"/>
                    </w:rPr>
                    <w:t>0.44</w:t>
                  </w:r>
                </w:p>
              </w:tc>
              <w:tc>
                <w:tcPr>
                  <w:tcW w:w="928" w:type="dxa"/>
                  <w:tcBorders>
                    <w:tl2br w:val="nil"/>
                    <w:tr2bl w:val="nil"/>
                  </w:tcBorders>
                  <w:vAlign w:val="center"/>
                </w:tcPr>
                <w:p>
                  <w:pPr>
                    <w:jc w:val="center"/>
                    <w:rPr>
                      <w:szCs w:val="21"/>
                    </w:rPr>
                  </w:pPr>
                  <w:r>
                    <w:rPr>
                      <w:szCs w:val="21"/>
                    </w:rPr>
                    <w:t>0.42</w:t>
                  </w:r>
                </w:p>
              </w:tc>
              <w:tc>
                <w:tcPr>
                  <w:tcW w:w="922" w:type="dxa"/>
                  <w:tcBorders>
                    <w:tl2br w:val="nil"/>
                    <w:tr2bl w:val="nil"/>
                  </w:tcBorders>
                  <w:vAlign w:val="center"/>
                </w:tcPr>
                <w:p>
                  <w:pPr>
                    <w:jc w:val="center"/>
                    <w:rPr>
                      <w:szCs w:val="21"/>
                    </w:rPr>
                  </w:pPr>
                  <w:r>
                    <w:rPr>
                      <w:szCs w:val="21"/>
                    </w:rPr>
                    <w:t>0.38</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3#下风向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0.33</w:t>
                  </w:r>
                </w:p>
              </w:tc>
              <w:tc>
                <w:tcPr>
                  <w:tcW w:w="913" w:type="dxa"/>
                  <w:tcBorders>
                    <w:tl2br w:val="nil"/>
                    <w:tr2bl w:val="nil"/>
                  </w:tcBorders>
                  <w:vAlign w:val="center"/>
                </w:tcPr>
                <w:p>
                  <w:pPr>
                    <w:jc w:val="center"/>
                    <w:rPr>
                      <w:szCs w:val="21"/>
                    </w:rPr>
                  </w:pPr>
                  <w:r>
                    <w:rPr>
                      <w:szCs w:val="21"/>
                    </w:rPr>
                    <w:t>0.67</w:t>
                  </w:r>
                </w:p>
              </w:tc>
              <w:tc>
                <w:tcPr>
                  <w:tcW w:w="928" w:type="dxa"/>
                  <w:tcBorders>
                    <w:tl2br w:val="nil"/>
                    <w:tr2bl w:val="nil"/>
                  </w:tcBorders>
                  <w:vAlign w:val="center"/>
                </w:tcPr>
                <w:p>
                  <w:pPr>
                    <w:jc w:val="center"/>
                    <w:rPr>
                      <w:szCs w:val="21"/>
                    </w:rPr>
                  </w:pPr>
                  <w:r>
                    <w:rPr>
                      <w:szCs w:val="21"/>
                    </w:rPr>
                    <w:t>0.30</w:t>
                  </w:r>
                </w:p>
              </w:tc>
              <w:tc>
                <w:tcPr>
                  <w:tcW w:w="922" w:type="dxa"/>
                  <w:tcBorders>
                    <w:tl2br w:val="nil"/>
                    <w:tr2bl w:val="nil"/>
                  </w:tcBorders>
                  <w:vAlign w:val="center"/>
                </w:tcPr>
                <w:p>
                  <w:pPr>
                    <w:jc w:val="center"/>
                    <w:rPr>
                      <w:szCs w:val="21"/>
                    </w:rPr>
                  </w:pPr>
                  <w:r>
                    <w:rPr>
                      <w:szCs w:val="21"/>
                    </w:rPr>
                    <w:t>0.29</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4#下风向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0.32</w:t>
                  </w:r>
                </w:p>
              </w:tc>
              <w:tc>
                <w:tcPr>
                  <w:tcW w:w="913" w:type="dxa"/>
                  <w:tcBorders>
                    <w:tl2br w:val="nil"/>
                    <w:tr2bl w:val="nil"/>
                  </w:tcBorders>
                  <w:vAlign w:val="center"/>
                </w:tcPr>
                <w:p>
                  <w:pPr>
                    <w:jc w:val="center"/>
                    <w:rPr>
                      <w:szCs w:val="21"/>
                    </w:rPr>
                  </w:pPr>
                  <w:r>
                    <w:rPr>
                      <w:szCs w:val="21"/>
                    </w:rPr>
                    <w:t>0.62</w:t>
                  </w:r>
                </w:p>
              </w:tc>
              <w:tc>
                <w:tcPr>
                  <w:tcW w:w="928" w:type="dxa"/>
                  <w:tcBorders>
                    <w:tl2br w:val="nil"/>
                    <w:tr2bl w:val="nil"/>
                  </w:tcBorders>
                  <w:vAlign w:val="center"/>
                </w:tcPr>
                <w:p>
                  <w:pPr>
                    <w:jc w:val="center"/>
                    <w:rPr>
                      <w:szCs w:val="21"/>
                    </w:rPr>
                  </w:pPr>
                  <w:r>
                    <w:rPr>
                      <w:szCs w:val="21"/>
                    </w:rPr>
                    <w:t>0.32</w:t>
                  </w:r>
                </w:p>
              </w:tc>
              <w:tc>
                <w:tcPr>
                  <w:tcW w:w="922" w:type="dxa"/>
                  <w:tcBorders>
                    <w:tl2br w:val="nil"/>
                    <w:tr2bl w:val="nil"/>
                  </w:tcBorders>
                  <w:vAlign w:val="center"/>
                </w:tcPr>
                <w:p>
                  <w:pPr>
                    <w:jc w:val="center"/>
                    <w:rPr>
                      <w:szCs w:val="21"/>
                    </w:rPr>
                  </w:pPr>
                  <w:r>
                    <w:rPr>
                      <w:szCs w:val="21"/>
                    </w:rPr>
                    <w:t>0.39</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1#上风向</w:t>
                  </w:r>
                </w:p>
              </w:tc>
              <w:tc>
                <w:tcPr>
                  <w:tcW w:w="1010" w:type="dxa"/>
                  <w:vMerge w:val="restart"/>
                  <w:tcBorders>
                    <w:tl2br w:val="nil"/>
                    <w:tr2bl w:val="nil"/>
                  </w:tcBorders>
                  <w:vAlign w:val="center"/>
                </w:tcPr>
                <w:p>
                  <w:pPr>
                    <w:adjustRightInd w:val="0"/>
                    <w:snapToGrid w:val="0"/>
                    <w:jc w:val="center"/>
                    <w:rPr>
                      <w:szCs w:val="21"/>
                    </w:rPr>
                  </w:pPr>
                  <w:r>
                    <w:rPr>
                      <w:szCs w:val="21"/>
                    </w:rPr>
                    <w:t>颗粒物</w:t>
                  </w:r>
                </w:p>
                <w:p>
                  <w:pPr>
                    <w:jc w:val="center"/>
                    <w:rPr>
                      <w:szCs w:val="21"/>
                    </w:rPr>
                  </w:pPr>
                  <w:r>
                    <w:rPr>
                      <w:szCs w:val="21"/>
                    </w:rPr>
                    <w:t>5月21日</w:t>
                  </w:r>
                </w:p>
              </w:tc>
              <w:tc>
                <w:tcPr>
                  <w:tcW w:w="914" w:type="dxa"/>
                  <w:tcBorders>
                    <w:tl2br w:val="nil"/>
                    <w:tr2bl w:val="nil"/>
                  </w:tcBorders>
                  <w:vAlign w:val="center"/>
                </w:tcPr>
                <w:p>
                  <w:pPr>
                    <w:jc w:val="center"/>
                    <w:rPr>
                      <w:szCs w:val="21"/>
                    </w:rPr>
                  </w:pPr>
                  <w:r>
                    <w:rPr>
                      <w:szCs w:val="21"/>
                    </w:rPr>
                    <w:t>0.083</w:t>
                  </w:r>
                </w:p>
              </w:tc>
              <w:tc>
                <w:tcPr>
                  <w:tcW w:w="913" w:type="dxa"/>
                  <w:tcBorders>
                    <w:tl2br w:val="nil"/>
                    <w:tr2bl w:val="nil"/>
                  </w:tcBorders>
                  <w:vAlign w:val="center"/>
                </w:tcPr>
                <w:p>
                  <w:pPr>
                    <w:jc w:val="center"/>
                    <w:rPr>
                      <w:szCs w:val="21"/>
                    </w:rPr>
                  </w:pPr>
                  <w:r>
                    <w:rPr>
                      <w:szCs w:val="21"/>
                    </w:rPr>
                    <w:t>0.100</w:t>
                  </w:r>
                </w:p>
              </w:tc>
              <w:tc>
                <w:tcPr>
                  <w:tcW w:w="928" w:type="dxa"/>
                  <w:tcBorders>
                    <w:tl2br w:val="nil"/>
                    <w:tr2bl w:val="nil"/>
                  </w:tcBorders>
                  <w:vAlign w:val="center"/>
                </w:tcPr>
                <w:p>
                  <w:pPr>
                    <w:jc w:val="center"/>
                    <w:rPr>
                      <w:szCs w:val="21"/>
                    </w:rPr>
                  </w:pPr>
                  <w:r>
                    <w:rPr>
                      <w:szCs w:val="21"/>
                    </w:rPr>
                    <w:t>0.150</w:t>
                  </w:r>
                </w:p>
              </w:tc>
              <w:tc>
                <w:tcPr>
                  <w:tcW w:w="922" w:type="dxa"/>
                  <w:tcBorders>
                    <w:tl2br w:val="nil"/>
                    <w:tr2bl w:val="nil"/>
                  </w:tcBorders>
                  <w:vAlign w:val="center"/>
                </w:tcPr>
                <w:p>
                  <w:pPr>
                    <w:jc w:val="center"/>
                    <w:rPr>
                      <w:szCs w:val="21"/>
                    </w:rPr>
                  </w:pPr>
                  <w:r>
                    <w:rPr>
                      <w:szCs w:val="21"/>
                    </w:rPr>
                    <w:t>0.100</w:t>
                  </w:r>
                </w:p>
              </w:tc>
              <w:tc>
                <w:tcPr>
                  <w:tcW w:w="890" w:type="dxa"/>
                  <w:vMerge w:val="restart"/>
                  <w:tcBorders>
                    <w:tl2br w:val="nil"/>
                    <w:tr2bl w:val="nil"/>
                  </w:tcBorders>
                  <w:vAlign w:val="center"/>
                </w:tcPr>
                <w:p>
                  <w:pPr>
                    <w:jc w:val="center"/>
                    <w:rPr>
                      <w:szCs w:val="21"/>
                    </w:rPr>
                  </w:pPr>
                  <w:r>
                    <w:rPr>
                      <w:szCs w:val="21"/>
                    </w:rPr>
                    <w:t>0.433</w:t>
                  </w: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restart"/>
                  <w:tcBorders>
                    <w:tl2br w:val="nil"/>
                    <w:tr2bl w:val="nil"/>
                  </w:tcBorders>
                  <w:vAlign w:val="center"/>
                </w:tcPr>
                <w:p>
                  <w:pPr>
                    <w:jc w:val="center"/>
                    <w:rPr>
                      <w:szCs w:val="21"/>
                    </w:rPr>
                  </w:pPr>
                  <w:r>
                    <w:rPr>
                      <w:szCs w:val="21"/>
                    </w:rPr>
                    <w:t>/</w:t>
                  </w:r>
                </w:p>
              </w:tc>
              <w:tc>
                <w:tcPr>
                  <w:tcW w:w="713" w:type="dxa"/>
                  <w:vMerge w:val="restart"/>
                  <w:tcBorders>
                    <w:tl2br w:val="nil"/>
                    <w:tr2bl w:val="nil"/>
                  </w:tcBorders>
                  <w:vAlign w:val="center"/>
                </w:tcPr>
                <w:p>
                  <w:pPr>
                    <w:jc w:val="center"/>
                    <w:rPr>
                      <w:szCs w:val="21"/>
                    </w:rPr>
                  </w:pPr>
                  <w:r>
                    <w:rPr>
                      <w:szCs w:val="21"/>
                    </w:rPr>
                    <w:t>1.0</w:t>
                  </w:r>
                </w:p>
              </w:tc>
              <w:tc>
                <w:tcPr>
                  <w:tcW w:w="686" w:type="dxa"/>
                  <w:vMerge w:val="restart"/>
                  <w:tcBorders>
                    <w:tl2br w:val="nil"/>
                    <w:tr2bl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2#下风向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0.333</w:t>
                  </w:r>
                </w:p>
              </w:tc>
              <w:tc>
                <w:tcPr>
                  <w:tcW w:w="913" w:type="dxa"/>
                  <w:tcBorders>
                    <w:tl2br w:val="nil"/>
                    <w:tr2bl w:val="nil"/>
                  </w:tcBorders>
                  <w:vAlign w:val="center"/>
                </w:tcPr>
                <w:p>
                  <w:pPr>
                    <w:jc w:val="center"/>
                    <w:rPr>
                      <w:szCs w:val="21"/>
                    </w:rPr>
                  </w:pPr>
                  <w:r>
                    <w:rPr>
                      <w:szCs w:val="21"/>
                    </w:rPr>
                    <w:t>0.433</w:t>
                  </w:r>
                </w:p>
              </w:tc>
              <w:tc>
                <w:tcPr>
                  <w:tcW w:w="928" w:type="dxa"/>
                  <w:tcBorders>
                    <w:tl2br w:val="nil"/>
                    <w:tr2bl w:val="nil"/>
                  </w:tcBorders>
                  <w:vAlign w:val="center"/>
                </w:tcPr>
                <w:p>
                  <w:pPr>
                    <w:jc w:val="center"/>
                    <w:rPr>
                      <w:szCs w:val="21"/>
                    </w:rPr>
                  </w:pPr>
                  <w:r>
                    <w:rPr>
                      <w:szCs w:val="21"/>
                    </w:rPr>
                    <w:t>0.250</w:t>
                  </w:r>
                </w:p>
              </w:tc>
              <w:tc>
                <w:tcPr>
                  <w:tcW w:w="922" w:type="dxa"/>
                  <w:tcBorders>
                    <w:tl2br w:val="nil"/>
                    <w:tr2bl w:val="nil"/>
                  </w:tcBorders>
                  <w:vAlign w:val="center"/>
                </w:tcPr>
                <w:p>
                  <w:pPr>
                    <w:jc w:val="center"/>
                    <w:rPr>
                      <w:szCs w:val="21"/>
                    </w:rPr>
                  </w:pPr>
                  <w:r>
                    <w:rPr>
                      <w:szCs w:val="21"/>
                    </w:rPr>
                    <w:t>0.283</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3#下风向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0.200</w:t>
                  </w:r>
                </w:p>
              </w:tc>
              <w:tc>
                <w:tcPr>
                  <w:tcW w:w="913" w:type="dxa"/>
                  <w:tcBorders>
                    <w:tl2br w:val="nil"/>
                    <w:tr2bl w:val="nil"/>
                  </w:tcBorders>
                  <w:vAlign w:val="center"/>
                </w:tcPr>
                <w:p>
                  <w:pPr>
                    <w:jc w:val="center"/>
                    <w:rPr>
                      <w:szCs w:val="21"/>
                    </w:rPr>
                  </w:pPr>
                  <w:r>
                    <w:rPr>
                      <w:szCs w:val="21"/>
                    </w:rPr>
                    <w:t>0.283</w:t>
                  </w:r>
                </w:p>
              </w:tc>
              <w:tc>
                <w:tcPr>
                  <w:tcW w:w="928" w:type="dxa"/>
                  <w:tcBorders>
                    <w:tl2br w:val="nil"/>
                    <w:tr2bl w:val="nil"/>
                  </w:tcBorders>
                  <w:vAlign w:val="center"/>
                </w:tcPr>
                <w:p>
                  <w:pPr>
                    <w:jc w:val="center"/>
                    <w:rPr>
                      <w:szCs w:val="21"/>
                    </w:rPr>
                  </w:pPr>
                  <w:r>
                    <w:rPr>
                      <w:szCs w:val="21"/>
                    </w:rPr>
                    <w:t>0.367</w:t>
                  </w:r>
                </w:p>
              </w:tc>
              <w:tc>
                <w:tcPr>
                  <w:tcW w:w="922" w:type="dxa"/>
                  <w:tcBorders>
                    <w:tl2br w:val="nil"/>
                    <w:tr2bl w:val="nil"/>
                  </w:tcBorders>
                  <w:vAlign w:val="center"/>
                </w:tcPr>
                <w:p>
                  <w:pPr>
                    <w:jc w:val="center"/>
                    <w:rPr>
                      <w:szCs w:val="21"/>
                    </w:rPr>
                  </w:pPr>
                  <w:r>
                    <w:rPr>
                      <w:szCs w:val="21"/>
                    </w:rPr>
                    <w:t>0.383</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4#下风向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0.350</w:t>
                  </w:r>
                </w:p>
              </w:tc>
              <w:tc>
                <w:tcPr>
                  <w:tcW w:w="913" w:type="dxa"/>
                  <w:tcBorders>
                    <w:tl2br w:val="nil"/>
                    <w:tr2bl w:val="nil"/>
                  </w:tcBorders>
                  <w:vAlign w:val="center"/>
                </w:tcPr>
                <w:p>
                  <w:pPr>
                    <w:jc w:val="center"/>
                    <w:rPr>
                      <w:szCs w:val="21"/>
                    </w:rPr>
                  </w:pPr>
                  <w:r>
                    <w:rPr>
                      <w:szCs w:val="21"/>
                    </w:rPr>
                    <w:t>0.367</w:t>
                  </w:r>
                </w:p>
              </w:tc>
              <w:tc>
                <w:tcPr>
                  <w:tcW w:w="928" w:type="dxa"/>
                  <w:tcBorders>
                    <w:tl2br w:val="nil"/>
                    <w:tr2bl w:val="nil"/>
                  </w:tcBorders>
                  <w:vAlign w:val="center"/>
                </w:tcPr>
                <w:p>
                  <w:pPr>
                    <w:jc w:val="center"/>
                    <w:rPr>
                      <w:szCs w:val="21"/>
                    </w:rPr>
                  </w:pPr>
                  <w:r>
                    <w:rPr>
                      <w:szCs w:val="21"/>
                    </w:rPr>
                    <w:t>0.250</w:t>
                  </w:r>
                </w:p>
              </w:tc>
              <w:tc>
                <w:tcPr>
                  <w:tcW w:w="922" w:type="dxa"/>
                  <w:tcBorders>
                    <w:tl2br w:val="nil"/>
                    <w:tr2bl w:val="nil"/>
                  </w:tcBorders>
                  <w:vAlign w:val="center"/>
                </w:tcPr>
                <w:p>
                  <w:pPr>
                    <w:jc w:val="center"/>
                    <w:rPr>
                      <w:szCs w:val="21"/>
                    </w:rPr>
                  </w:pPr>
                  <w:r>
                    <w:rPr>
                      <w:szCs w:val="21"/>
                    </w:rPr>
                    <w:t>0.400</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tl2br w:val="nil"/>
                    <w:tr2bl w:val="nil"/>
                  </w:tcBorders>
                  <w:vAlign w:val="center"/>
                </w:tcPr>
                <w:p>
                  <w:pPr>
                    <w:jc w:val="center"/>
                    <w:rPr>
                      <w:szCs w:val="21"/>
                    </w:rPr>
                  </w:pPr>
                  <w:r>
                    <w:rPr>
                      <w:szCs w:val="21"/>
                    </w:rPr>
                    <w:t>1#上风向</w:t>
                  </w:r>
                </w:p>
              </w:tc>
              <w:tc>
                <w:tcPr>
                  <w:tcW w:w="1010" w:type="dxa"/>
                  <w:vMerge w:val="restart"/>
                  <w:tcBorders>
                    <w:tl2br w:val="nil"/>
                    <w:tr2bl w:val="nil"/>
                  </w:tcBorders>
                  <w:vAlign w:val="center"/>
                </w:tcPr>
                <w:p>
                  <w:pPr>
                    <w:adjustRightInd w:val="0"/>
                    <w:snapToGrid w:val="0"/>
                    <w:jc w:val="center"/>
                    <w:rPr>
                      <w:szCs w:val="21"/>
                    </w:rPr>
                  </w:pPr>
                  <w:r>
                    <w:rPr>
                      <w:szCs w:val="21"/>
                    </w:rPr>
                    <w:t>非甲烷总烃</w:t>
                  </w:r>
                  <w:r>
                    <w:rPr>
                      <w:kern w:val="0"/>
                      <w:szCs w:val="21"/>
                    </w:rPr>
                    <w:t>（以碳计）</w:t>
                  </w:r>
                </w:p>
                <w:p>
                  <w:pPr>
                    <w:jc w:val="center"/>
                    <w:rPr>
                      <w:szCs w:val="21"/>
                    </w:rPr>
                  </w:pPr>
                  <w:r>
                    <w:rPr>
                      <w:szCs w:val="21"/>
                    </w:rPr>
                    <w:t>5月22日</w:t>
                  </w:r>
                </w:p>
              </w:tc>
              <w:tc>
                <w:tcPr>
                  <w:tcW w:w="914" w:type="dxa"/>
                  <w:tcBorders>
                    <w:tl2br w:val="nil"/>
                    <w:tr2bl w:val="nil"/>
                  </w:tcBorders>
                  <w:vAlign w:val="center"/>
                </w:tcPr>
                <w:p>
                  <w:pPr>
                    <w:jc w:val="center"/>
                    <w:rPr>
                      <w:szCs w:val="21"/>
                    </w:rPr>
                  </w:pPr>
                  <w:r>
                    <w:rPr>
                      <w:szCs w:val="21"/>
                    </w:rPr>
                    <w:t>ND</w:t>
                  </w:r>
                </w:p>
              </w:tc>
              <w:tc>
                <w:tcPr>
                  <w:tcW w:w="913" w:type="dxa"/>
                  <w:tcBorders>
                    <w:tl2br w:val="nil"/>
                    <w:tr2bl w:val="nil"/>
                  </w:tcBorders>
                  <w:vAlign w:val="center"/>
                </w:tcPr>
                <w:p>
                  <w:pPr>
                    <w:jc w:val="center"/>
                    <w:rPr>
                      <w:szCs w:val="21"/>
                    </w:rPr>
                  </w:pPr>
                  <w:r>
                    <w:rPr>
                      <w:szCs w:val="21"/>
                    </w:rPr>
                    <w:t>ND</w:t>
                  </w:r>
                </w:p>
              </w:tc>
              <w:tc>
                <w:tcPr>
                  <w:tcW w:w="928" w:type="dxa"/>
                  <w:tcBorders>
                    <w:tl2br w:val="nil"/>
                    <w:tr2bl w:val="nil"/>
                  </w:tcBorders>
                  <w:vAlign w:val="center"/>
                </w:tcPr>
                <w:p>
                  <w:pPr>
                    <w:jc w:val="center"/>
                    <w:rPr>
                      <w:szCs w:val="21"/>
                    </w:rPr>
                  </w:pPr>
                  <w:r>
                    <w:rPr>
                      <w:szCs w:val="21"/>
                    </w:rPr>
                    <w:t>ND</w:t>
                  </w:r>
                </w:p>
              </w:tc>
              <w:tc>
                <w:tcPr>
                  <w:tcW w:w="922" w:type="dxa"/>
                  <w:tcBorders>
                    <w:tl2br w:val="nil"/>
                    <w:tr2bl w:val="nil"/>
                  </w:tcBorders>
                  <w:vAlign w:val="center"/>
                </w:tcPr>
                <w:p>
                  <w:pPr>
                    <w:jc w:val="center"/>
                    <w:rPr>
                      <w:szCs w:val="21"/>
                    </w:rPr>
                  </w:pPr>
                  <w:r>
                    <w:rPr>
                      <w:szCs w:val="21"/>
                    </w:rPr>
                    <w:t>ND</w:t>
                  </w:r>
                </w:p>
              </w:tc>
              <w:tc>
                <w:tcPr>
                  <w:tcW w:w="890" w:type="dxa"/>
                  <w:vMerge w:val="restart"/>
                  <w:tcBorders>
                    <w:tl2br w:val="nil"/>
                    <w:tr2bl w:val="nil"/>
                  </w:tcBorders>
                  <w:vAlign w:val="center"/>
                </w:tcPr>
                <w:p>
                  <w:pPr>
                    <w:jc w:val="center"/>
                    <w:rPr>
                      <w:szCs w:val="21"/>
                    </w:rPr>
                  </w:pPr>
                  <w:r>
                    <w:rPr>
                      <w:szCs w:val="21"/>
                    </w:rPr>
                    <w:t>0.58</w:t>
                  </w: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restart"/>
                  <w:tcBorders>
                    <w:tl2br w:val="nil"/>
                    <w:tr2bl w:val="nil"/>
                  </w:tcBorders>
                  <w:vAlign w:val="center"/>
                </w:tcPr>
                <w:p>
                  <w:pPr>
                    <w:jc w:val="center"/>
                    <w:rPr>
                      <w:szCs w:val="21"/>
                    </w:rPr>
                  </w:pPr>
                  <w:r>
                    <w:rPr>
                      <w:szCs w:val="21"/>
                    </w:rPr>
                    <w:t>2.0</w:t>
                  </w:r>
                </w:p>
              </w:tc>
              <w:tc>
                <w:tcPr>
                  <w:tcW w:w="713" w:type="dxa"/>
                  <w:vMerge w:val="restart"/>
                  <w:tcBorders>
                    <w:tl2br w:val="nil"/>
                    <w:tr2bl w:val="nil"/>
                  </w:tcBorders>
                  <w:vAlign w:val="center"/>
                </w:tcPr>
                <w:p>
                  <w:pPr>
                    <w:jc w:val="center"/>
                    <w:rPr>
                      <w:szCs w:val="21"/>
                    </w:rPr>
                  </w:pPr>
                  <w:r>
                    <w:rPr>
                      <w:szCs w:val="21"/>
                    </w:rPr>
                    <w:t>/</w:t>
                  </w:r>
                </w:p>
              </w:tc>
              <w:tc>
                <w:tcPr>
                  <w:tcW w:w="686" w:type="dxa"/>
                  <w:vMerge w:val="restart"/>
                  <w:tcBorders>
                    <w:tl2br w:val="nil"/>
                    <w:tr2bl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2#下风向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0.36</w:t>
                  </w:r>
                </w:p>
              </w:tc>
              <w:tc>
                <w:tcPr>
                  <w:tcW w:w="913" w:type="dxa"/>
                  <w:tcBorders>
                    <w:tl2br w:val="nil"/>
                    <w:tr2bl w:val="nil"/>
                  </w:tcBorders>
                  <w:vAlign w:val="center"/>
                </w:tcPr>
                <w:p>
                  <w:pPr>
                    <w:jc w:val="center"/>
                    <w:rPr>
                      <w:szCs w:val="21"/>
                    </w:rPr>
                  </w:pPr>
                  <w:r>
                    <w:rPr>
                      <w:szCs w:val="21"/>
                    </w:rPr>
                    <w:t>0.41</w:t>
                  </w:r>
                </w:p>
              </w:tc>
              <w:tc>
                <w:tcPr>
                  <w:tcW w:w="928" w:type="dxa"/>
                  <w:tcBorders>
                    <w:tl2br w:val="nil"/>
                    <w:tr2bl w:val="nil"/>
                  </w:tcBorders>
                  <w:vAlign w:val="center"/>
                </w:tcPr>
                <w:p>
                  <w:pPr>
                    <w:jc w:val="center"/>
                    <w:rPr>
                      <w:szCs w:val="21"/>
                    </w:rPr>
                  </w:pPr>
                  <w:r>
                    <w:rPr>
                      <w:szCs w:val="21"/>
                    </w:rPr>
                    <w:t>0.33</w:t>
                  </w:r>
                </w:p>
              </w:tc>
              <w:tc>
                <w:tcPr>
                  <w:tcW w:w="922" w:type="dxa"/>
                  <w:tcBorders>
                    <w:tl2br w:val="nil"/>
                    <w:tr2bl w:val="nil"/>
                  </w:tcBorders>
                  <w:vAlign w:val="center"/>
                </w:tcPr>
                <w:p>
                  <w:pPr>
                    <w:jc w:val="center"/>
                    <w:rPr>
                      <w:szCs w:val="21"/>
                    </w:rPr>
                  </w:pPr>
                  <w:r>
                    <w:rPr>
                      <w:szCs w:val="21"/>
                    </w:rPr>
                    <w:t>0.36</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3#下风向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0.36</w:t>
                  </w:r>
                </w:p>
              </w:tc>
              <w:tc>
                <w:tcPr>
                  <w:tcW w:w="913" w:type="dxa"/>
                  <w:tcBorders>
                    <w:tl2br w:val="nil"/>
                    <w:tr2bl w:val="nil"/>
                  </w:tcBorders>
                  <w:vAlign w:val="center"/>
                </w:tcPr>
                <w:p>
                  <w:pPr>
                    <w:jc w:val="center"/>
                    <w:rPr>
                      <w:szCs w:val="21"/>
                    </w:rPr>
                  </w:pPr>
                  <w:r>
                    <w:rPr>
                      <w:szCs w:val="21"/>
                    </w:rPr>
                    <w:t>0.38</w:t>
                  </w:r>
                </w:p>
              </w:tc>
              <w:tc>
                <w:tcPr>
                  <w:tcW w:w="928" w:type="dxa"/>
                  <w:tcBorders>
                    <w:tl2br w:val="nil"/>
                    <w:tr2bl w:val="nil"/>
                  </w:tcBorders>
                  <w:vAlign w:val="center"/>
                </w:tcPr>
                <w:p>
                  <w:pPr>
                    <w:jc w:val="center"/>
                    <w:rPr>
                      <w:szCs w:val="21"/>
                    </w:rPr>
                  </w:pPr>
                  <w:r>
                    <w:rPr>
                      <w:szCs w:val="21"/>
                    </w:rPr>
                    <w:t>0.58</w:t>
                  </w:r>
                </w:p>
              </w:tc>
              <w:tc>
                <w:tcPr>
                  <w:tcW w:w="922" w:type="dxa"/>
                  <w:tcBorders>
                    <w:tl2br w:val="nil"/>
                    <w:tr2bl w:val="nil"/>
                  </w:tcBorders>
                  <w:vAlign w:val="center"/>
                </w:tcPr>
                <w:p>
                  <w:pPr>
                    <w:jc w:val="center"/>
                    <w:rPr>
                      <w:szCs w:val="21"/>
                    </w:rPr>
                  </w:pPr>
                  <w:r>
                    <w:rPr>
                      <w:szCs w:val="21"/>
                    </w:rPr>
                    <w:t>0.32</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4#下风向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0.43</w:t>
                  </w:r>
                </w:p>
              </w:tc>
              <w:tc>
                <w:tcPr>
                  <w:tcW w:w="913" w:type="dxa"/>
                  <w:tcBorders>
                    <w:tl2br w:val="nil"/>
                    <w:tr2bl w:val="nil"/>
                  </w:tcBorders>
                  <w:vAlign w:val="center"/>
                </w:tcPr>
                <w:p>
                  <w:pPr>
                    <w:jc w:val="center"/>
                    <w:rPr>
                      <w:szCs w:val="21"/>
                    </w:rPr>
                  </w:pPr>
                  <w:r>
                    <w:rPr>
                      <w:szCs w:val="21"/>
                    </w:rPr>
                    <w:t>0.30</w:t>
                  </w:r>
                </w:p>
              </w:tc>
              <w:tc>
                <w:tcPr>
                  <w:tcW w:w="928" w:type="dxa"/>
                  <w:tcBorders>
                    <w:tl2br w:val="nil"/>
                    <w:tr2bl w:val="nil"/>
                  </w:tcBorders>
                  <w:vAlign w:val="center"/>
                </w:tcPr>
                <w:p>
                  <w:pPr>
                    <w:jc w:val="center"/>
                    <w:rPr>
                      <w:szCs w:val="21"/>
                    </w:rPr>
                  </w:pPr>
                  <w:r>
                    <w:rPr>
                      <w:szCs w:val="21"/>
                    </w:rPr>
                    <w:t>0.28</w:t>
                  </w:r>
                </w:p>
              </w:tc>
              <w:tc>
                <w:tcPr>
                  <w:tcW w:w="922" w:type="dxa"/>
                  <w:tcBorders>
                    <w:tl2br w:val="nil"/>
                    <w:tr2bl w:val="nil"/>
                  </w:tcBorders>
                  <w:vAlign w:val="center"/>
                </w:tcPr>
                <w:p>
                  <w:pPr>
                    <w:jc w:val="center"/>
                    <w:rPr>
                      <w:szCs w:val="21"/>
                    </w:rPr>
                  </w:pPr>
                  <w:r>
                    <w:rPr>
                      <w:szCs w:val="21"/>
                    </w:rPr>
                    <w:t>0.30</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6" w:type="dxa"/>
                  <w:tcBorders>
                    <w:tl2br w:val="nil"/>
                    <w:tr2bl w:val="nil"/>
                  </w:tcBorders>
                  <w:vAlign w:val="center"/>
                </w:tcPr>
                <w:p>
                  <w:pPr>
                    <w:jc w:val="center"/>
                    <w:rPr>
                      <w:szCs w:val="21"/>
                    </w:rPr>
                  </w:pPr>
                  <w:r>
                    <w:rPr>
                      <w:szCs w:val="21"/>
                    </w:rPr>
                    <w:t>1#上风向</w:t>
                  </w:r>
                </w:p>
              </w:tc>
              <w:tc>
                <w:tcPr>
                  <w:tcW w:w="1010" w:type="dxa"/>
                  <w:vMerge w:val="restart"/>
                  <w:tcBorders>
                    <w:tl2br w:val="nil"/>
                    <w:tr2bl w:val="nil"/>
                  </w:tcBorders>
                  <w:vAlign w:val="center"/>
                </w:tcPr>
                <w:p>
                  <w:pPr>
                    <w:adjustRightInd w:val="0"/>
                    <w:snapToGrid w:val="0"/>
                    <w:jc w:val="center"/>
                    <w:rPr>
                      <w:szCs w:val="21"/>
                    </w:rPr>
                  </w:pPr>
                  <w:r>
                    <w:rPr>
                      <w:szCs w:val="21"/>
                    </w:rPr>
                    <w:t>颗粒物</w:t>
                  </w:r>
                </w:p>
                <w:p>
                  <w:pPr>
                    <w:jc w:val="center"/>
                    <w:rPr>
                      <w:szCs w:val="21"/>
                    </w:rPr>
                  </w:pPr>
                  <w:r>
                    <w:rPr>
                      <w:szCs w:val="21"/>
                    </w:rPr>
                    <w:t>5月22日</w:t>
                  </w:r>
                </w:p>
              </w:tc>
              <w:tc>
                <w:tcPr>
                  <w:tcW w:w="914" w:type="dxa"/>
                  <w:tcBorders>
                    <w:tl2br w:val="nil"/>
                    <w:tr2bl w:val="nil"/>
                  </w:tcBorders>
                  <w:vAlign w:val="center"/>
                </w:tcPr>
                <w:p>
                  <w:pPr>
                    <w:jc w:val="center"/>
                    <w:rPr>
                      <w:szCs w:val="21"/>
                    </w:rPr>
                  </w:pPr>
                  <w:r>
                    <w:rPr>
                      <w:szCs w:val="21"/>
                    </w:rPr>
                    <w:t>0.100</w:t>
                  </w:r>
                </w:p>
              </w:tc>
              <w:tc>
                <w:tcPr>
                  <w:tcW w:w="913" w:type="dxa"/>
                  <w:tcBorders>
                    <w:tl2br w:val="nil"/>
                    <w:tr2bl w:val="nil"/>
                  </w:tcBorders>
                  <w:vAlign w:val="center"/>
                </w:tcPr>
                <w:p>
                  <w:pPr>
                    <w:jc w:val="center"/>
                    <w:rPr>
                      <w:szCs w:val="21"/>
                    </w:rPr>
                  </w:pPr>
                  <w:r>
                    <w:rPr>
                      <w:szCs w:val="21"/>
                    </w:rPr>
                    <w:t>0.133</w:t>
                  </w:r>
                </w:p>
              </w:tc>
              <w:tc>
                <w:tcPr>
                  <w:tcW w:w="928" w:type="dxa"/>
                  <w:tcBorders>
                    <w:tl2br w:val="nil"/>
                    <w:tr2bl w:val="nil"/>
                  </w:tcBorders>
                  <w:vAlign w:val="center"/>
                </w:tcPr>
                <w:p>
                  <w:pPr>
                    <w:jc w:val="center"/>
                    <w:rPr>
                      <w:szCs w:val="21"/>
                    </w:rPr>
                  </w:pPr>
                  <w:r>
                    <w:rPr>
                      <w:szCs w:val="21"/>
                    </w:rPr>
                    <w:t>0.117</w:t>
                  </w:r>
                </w:p>
              </w:tc>
              <w:tc>
                <w:tcPr>
                  <w:tcW w:w="922" w:type="dxa"/>
                  <w:tcBorders>
                    <w:tl2br w:val="nil"/>
                    <w:tr2bl w:val="nil"/>
                  </w:tcBorders>
                  <w:vAlign w:val="center"/>
                </w:tcPr>
                <w:p>
                  <w:pPr>
                    <w:jc w:val="center"/>
                    <w:rPr>
                      <w:szCs w:val="21"/>
                    </w:rPr>
                  </w:pPr>
                  <w:r>
                    <w:rPr>
                      <w:szCs w:val="21"/>
                    </w:rPr>
                    <w:t>0.100</w:t>
                  </w:r>
                </w:p>
              </w:tc>
              <w:tc>
                <w:tcPr>
                  <w:tcW w:w="890" w:type="dxa"/>
                  <w:vMerge w:val="restart"/>
                  <w:tcBorders>
                    <w:tl2br w:val="nil"/>
                    <w:tr2bl w:val="nil"/>
                  </w:tcBorders>
                  <w:vAlign w:val="center"/>
                </w:tcPr>
                <w:p>
                  <w:pPr>
                    <w:jc w:val="center"/>
                    <w:rPr>
                      <w:szCs w:val="21"/>
                    </w:rPr>
                  </w:pPr>
                  <w:r>
                    <w:rPr>
                      <w:szCs w:val="21"/>
                    </w:rPr>
                    <w:t>0.467</w:t>
                  </w: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restart"/>
                  <w:tcBorders>
                    <w:tl2br w:val="nil"/>
                    <w:tr2bl w:val="nil"/>
                  </w:tcBorders>
                  <w:vAlign w:val="center"/>
                </w:tcPr>
                <w:p>
                  <w:pPr>
                    <w:jc w:val="center"/>
                    <w:rPr>
                      <w:szCs w:val="21"/>
                    </w:rPr>
                  </w:pPr>
                  <w:r>
                    <w:rPr>
                      <w:szCs w:val="21"/>
                    </w:rPr>
                    <w:t>/</w:t>
                  </w:r>
                </w:p>
              </w:tc>
              <w:tc>
                <w:tcPr>
                  <w:tcW w:w="713" w:type="dxa"/>
                  <w:vMerge w:val="restart"/>
                  <w:tcBorders>
                    <w:tl2br w:val="nil"/>
                    <w:tr2bl w:val="nil"/>
                  </w:tcBorders>
                  <w:vAlign w:val="center"/>
                </w:tcPr>
                <w:p>
                  <w:pPr>
                    <w:jc w:val="center"/>
                    <w:rPr>
                      <w:szCs w:val="21"/>
                    </w:rPr>
                  </w:pPr>
                  <w:r>
                    <w:rPr>
                      <w:szCs w:val="21"/>
                    </w:rPr>
                    <w:t>1.0</w:t>
                  </w:r>
                </w:p>
              </w:tc>
              <w:tc>
                <w:tcPr>
                  <w:tcW w:w="686" w:type="dxa"/>
                  <w:vMerge w:val="restart"/>
                  <w:tcBorders>
                    <w:tl2br w:val="nil"/>
                    <w:tr2bl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46" w:type="dxa"/>
                  <w:tcBorders>
                    <w:tl2br w:val="nil"/>
                    <w:tr2bl w:val="nil"/>
                  </w:tcBorders>
                  <w:vAlign w:val="center"/>
                </w:tcPr>
                <w:p>
                  <w:pPr>
                    <w:jc w:val="center"/>
                    <w:rPr>
                      <w:szCs w:val="21"/>
                    </w:rPr>
                  </w:pPr>
                  <w:r>
                    <w:rPr>
                      <w:szCs w:val="21"/>
                    </w:rPr>
                    <w:t>2#下风向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0.267</w:t>
                  </w:r>
                </w:p>
              </w:tc>
              <w:tc>
                <w:tcPr>
                  <w:tcW w:w="913" w:type="dxa"/>
                  <w:tcBorders>
                    <w:tl2br w:val="nil"/>
                    <w:tr2bl w:val="nil"/>
                  </w:tcBorders>
                  <w:vAlign w:val="center"/>
                </w:tcPr>
                <w:p>
                  <w:pPr>
                    <w:jc w:val="center"/>
                    <w:rPr>
                      <w:szCs w:val="21"/>
                    </w:rPr>
                  </w:pPr>
                  <w:r>
                    <w:rPr>
                      <w:szCs w:val="21"/>
                    </w:rPr>
                    <w:t>0.333</w:t>
                  </w:r>
                </w:p>
              </w:tc>
              <w:tc>
                <w:tcPr>
                  <w:tcW w:w="928" w:type="dxa"/>
                  <w:tcBorders>
                    <w:tl2br w:val="nil"/>
                    <w:tr2bl w:val="nil"/>
                  </w:tcBorders>
                  <w:vAlign w:val="center"/>
                </w:tcPr>
                <w:p>
                  <w:pPr>
                    <w:jc w:val="center"/>
                    <w:rPr>
                      <w:szCs w:val="21"/>
                    </w:rPr>
                  </w:pPr>
                  <w:r>
                    <w:rPr>
                      <w:szCs w:val="21"/>
                    </w:rPr>
                    <w:t>0.300</w:t>
                  </w:r>
                </w:p>
              </w:tc>
              <w:tc>
                <w:tcPr>
                  <w:tcW w:w="922" w:type="dxa"/>
                  <w:tcBorders>
                    <w:tl2br w:val="nil"/>
                    <w:tr2bl w:val="nil"/>
                  </w:tcBorders>
                  <w:vAlign w:val="center"/>
                </w:tcPr>
                <w:p>
                  <w:pPr>
                    <w:jc w:val="center"/>
                    <w:rPr>
                      <w:szCs w:val="21"/>
                    </w:rPr>
                  </w:pPr>
                  <w:r>
                    <w:rPr>
                      <w:szCs w:val="21"/>
                    </w:rPr>
                    <w:t>0.333</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46" w:type="dxa"/>
                  <w:tcBorders>
                    <w:tl2br w:val="nil"/>
                    <w:tr2bl w:val="nil"/>
                  </w:tcBorders>
                  <w:vAlign w:val="center"/>
                </w:tcPr>
                <w:p>
                  <w:pPr>
                    <w:jc w:val="center"/>
                    <w:rPr>
                      <w:szCs w:val="21"/>
                    </w:rPr>
                  </w:pPr>
                  <w:r>
                    <w:rPr>
                      <w:szCs w:val="21"/>
                    </w:rPr>
                    <w:t>3#下风向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0.400</w:t>
                  </w:r>
                </w:p>
              </w:tc>
              <w:tc>
                <w:tcPr>
                  <w:tcW w:w="913" w:type="dxa"/>
                  <w:tcBorders>
                    <w:tl2br w:val="nil"/>
                    <w:tr2bl w:val="nil"/>
                  </w:tcBorders>
                  <w:vAlign w:val="center"/>
                </w:tcPr>
                <w:p>
                  <w:pPr>
                    <w:jc w:val="center"/>
                    <w:rPr>
                      <w:szCs w:val="21"/>
                    </w:rPr>
                  </w:pPr>
                  <w:r>
                    <w:rPr>
                      <w:szCs w:val="21"/>
                    </w:rPr>
                    <w:t>0.233</w:t>
                  </w:r>
                </w:p>
              </w:tc>
              <w:tc>
                <w:tcPr>
                  <w:tcW w:w="928" w:type="dxa"/>
                  <w:tcBorders>
                    <w:tl2br w:val="nil"/>
                    <w:tr2bl w:val="nil"/>
                  </w:tcBorders>
                  <w:vAlign w:val="center"/>
                </w:tcPr>
                <w:p>
                  <w:pPr>
                    <w:jc w:val="center"/>
                    <w:rPr>
                      <w:szCs w:val="21"/>
                    </w:rPr>
                  </w:pPr>
                  <w:r>
                    <w:rPr>
                      <w:szCs w:val="21"/>
                    </w:rPr>
                    <w:t>0.250</w:t>
                  </w:r>
                </w:p>
              </w:tc>
              <w:tc>
                <w:tcPr>
                  <w:tcW w:w="922" w:type="dxa"/>
                  <w:tcBorders>
                    <w:tl2br w:val="nil"/>
                    <w:tr2bl w:val="nil"/>
                  </w:tcBorders>
                  <w:vAlign w:val="center"/>
                </w:tcPr>
                <w:p>
                  <w:pPr>
                    <w:jc w:val="center"/>
                    <w:rPr>
                      <w:szCs w:val="21"/>
                    </w:rPr>
                  </w:pPr>
                  <w:r>
                    <w:rPr>
                      <w:szCs w:val="21"/>
                    </w:rPr>
                    <w:t>0.467</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46" w:type="dxa"/>
                  <w:tcBorders>
                    <w:tl2br w:val="nil"/>
                    <w:tr2bl w:val="nil"/>
                  </w:tcBorders>
                  <w:vAlign w:val="center"/>
                </w:tcPr>
                <w:p>
                  <w:pPr>
                    <w:jc w:val="center"/>
                    <w:rPr>
                      <w:szCs w:val="21"/>
                    </w:rPr>
                  </w:pPr>
                  <w:r>
                    <w:rPr>
                      <w:szCs w:val="21"/>
                    </w:rPr>
                    <w:t>4#下风向</w:t>
                  </w:r>
                </w:p>
              </w:tc>
              <w:tc>
                <w:tcPr>
                  <w:tcW w:w="1010" w:type="dxa"/>
                  <w:vMerge w:val="continue"/>
                  <w:tcBorders>
                    <w:tl2br w:val="nil"/>
                    <w:tr2bl w:val="nil"/>
                  </w:tcBorders>
                  <w:vAlign w:val="center"/>
                </w:tcPr>
                <w:p>
                  <w:pPr>
                    <w:jc w:val="center"/>
                    <w:rPr>
                      <w:szCs w:val="21"/>
                    </w:rPr>
                  </w:pPr>
                </w:p>
              </w:tc>
              <w:tc>
                <w:tcPr>
                  <w:tcW w:w="914" w:type="dxa"/>
                  <w:tcBorders>
                    <w:tl2br w:val="nil"/>
                    <w:tr2bl w:val="nil"/>
                  </w:tcBorders>
                  <w:vAlign w:val="center"/>
                </w:tcPr>
                <w:p>
                  <w:pPr>
                    <w:jc w:val="center"/>
                    <w:rPr>
                      <w:szCs w:val="21"/>
                    </w:rPr>
                  </w:pPr>
                  <w:r>
                    <w:rPr>
                      <w:szCs w:val="21"/>
                    </w:rPr>
                    <w:t>0.233</w:t>
                  </w:r>
                </w:p>
              </w:tc>
              <w:tc>
                <w:tcPr>
                  <w:tcW w:w="913" w:type="dxa"/>
                  <w:tcBorders>
                    <w:tl2br w:val="nil"/>
                    <w:tr2bl w:val="nil"/>
                  </w:tcBorders>
                  <w:vAlign w:val="center"/>
                </w:tcPr>
                <w:p>
                  <w:pPr>
                    <w:jc w:val="center"/>
                    <w:rPr>
                      <w:szCs w:val="21"/>
                    </w:rPr>
                  </w:pPr>
                  <w:r>
                    <w:rPr>
                      <w:szCs w:val="21"/>
                    </w:rPr>
                    <w:t>0.383</w:t>
                  </w:r>
                </w:p>
              </w:tc>
              <w:tc>
                <w:tcPr>
                  <w:tcW w:w="928" w:type="dxa"/>
                  <w:tcBorders>
                    <w:tl2br w:val="nil"/>
                    <w:tr2bl w:val="nil"/>
                  </w:tcBorders>
                  <w:vAlign w:val="center"/>
                </w:tcPr>
                <w:p>
                  <w:pPr>
                    <w:jc w:val="center"/>
                    <w:rPr>
                      <w:szCs w:val="21"/>
                    </w:rPr>
                  </w:pPr>
                  <w:r>
                    <w:rPr>
                      <w:szCs w:val="21"/>
                    </w:rPr>
                    <w:t>0.350</w:t>
                  </w:r>
                </w:p>
              </w:tc>
              <w:tc>
                <w:tcPr>
                  <w:tcW w:w="922" w:type="dxa"/>
                  <w:tcBorders>
                    <w:tl2br w:val="nil"/>
                    <w:tr2bl w:val="nil"/>
                  </w:tcBorders>
                  <w:vAlign w:val="center"/>
                </w:tcPr>
                <w:p>
                  <w:pPr>
                    <w:jc w:val="center"/>
                    <w:rPr>
                      <w:szCs w:val="21"/>
                    </w:rPr>
                  </w:pPr>
                  <w:r>
                    <w:rPr>
                      <w:szCs w:val="21"/>
                    </w:rPr>
                    <w:t>0.200</w:t>
                  </w:r>
                </w:p>
              </w:tc>
              <w:tc>
                <w:tcPr>
                  <w:tcW w:w="890" w:type="dxa"/>
                  <w:vMerge w:val="continue"/>
                  <w:tcBorders>
                    <w:tl2br w:val="nil"/>
                    <w:tr2bl w:val="nil"/>
                  </w:tcBorders>
                  <w:vAlign w:val="center"/>
                </w:tcPr>
                <w:p>
                  <w:pPr>
                    <w:jc w:val="center"/>
                    <w:rPr>
                      <w:szCs w:val="21"/>
                    </w:rPr>
                  </w:pPr>
                </w:p>
              </w:tc>
              <w:tc>
                <w:tcPr>
                  <w:tcW w:w="823" w:type="dxa"/>
                  <w:tcBorders>
                    <w:tl2br w:val="nil"/>
                    <w:tr2bl w:val="nil"/>
                  </w:tcBorders>
                  <w:vAlign w:val="center"/>
                </w:tcPr>
                <w:p>
                  <w:pPr>
                    <w:jc w:val="center"/>
                    <w:rPr>
                      <w:szCs w:val="21"/>
                    </w:rPr>
                  </w:pPr>
                  <w:r>
                    <w:rPr>
                      <w:szCs w:val="21"/>
                    </w:rPr>
                    <w:t>mg/m</w:t>
                  </w:r>
                  <w:r>
                    <w:rPr>
                      <w:szCs w:val="21"/>
                      <w:vertAlign w:val="superscript"/>
                    </w:rPr>
                    <w:t>3</w:t>
                  </w:r>
                </w:p>
              </w:tc>
              <w:tc>
                <w:tcPr>
                  <w:tcW w:w="755" w:type="dxa"/>
                  <w:vMerge w:val="continue"/>
                  <w:tcBorders>
                    <w:tl2br w:val="nil"/>
                    <w:tr2bl w:val="nil"/>
                  </w:tcBorders>
                  <w:vAlign w:val="center"/>
                </w:tcPr>
                <w:p>
                  <w:pPr>
                    <w:jc w:val="center"/>
                    <w:rPr>
                      <w:szCs w:val="21"/>
                    </w:rPr>
                  </w:pPr>
                </w:p>
              </w:tc>
              <w:tc>
                <w:tcPr>
                  <w:tcW w:w="713" w:type="dxa"/>
                  <w:vMerge w:val="continue"/>
                  <w:tcBorders>
                    <w:tl2br w:val="nil"/>
                    <w:tr2bl w:val="nil"/>
                  </w:tcBorders>
                  <w:vAlign w:val="center"/>
                </w:tcPr>
                <w:p>
                  <w:pPr>
                    <w:jc w:val="center"/>
                    <w:rPr>
                      <w:szCs w:val="21"/>
                    </w:rPr>
                  </w:pPr>
                </w:p>
              </w:tc>
              <w:tc>
                <w:tcPr>
                  <w:tcW w:w="686"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46" w:type="dxa"/>
                  <w:tcBorders>
                    <w:tl2br w:val="nil"/>
                    <w:tr2bl w:val="nil"/>
                  </w:tcBorders>
                  <w:vAlign w:val="center"/>
                </w:tcPr>
                <w:p>
                  <w:pPr>
                    <w:jc w:val="center"/>
                    <w:rPr>
                      <w:szCs w:val="21"/>
                    </w:rPr>
                  </w:pPr>
                  <w:r>
                    <w:rPr>
                      <w:szCs w:val="21"/>
                    </w:rPr>
                    <w:t>备注</w:t>
                  </w:r>
                </w:p>
              </w:tc>
              <w:tc>
                <w:tcPr>
                  <w:tcW w:w="8554" w:type="dxa"/>
                  <w:gridSpan w:val="10"/>
                  <w:tcBorders>
                    <w:tl2br w:val="nil"/>
                    <w:tr2bl w:val="nil"/>
                  </w:tcBorders>
                  <w:vAlign w:val="center"/>
                </w:tcPr>
                <w:p>
                  <w:pPr>
                    <w:jc w:val="left"/>
                    <w:rPr>
                      <w:szCs w:val="21"/>
                    </w:rPr>
                  </w:pPr>
                  <w:r>
                    <w:rPr>
                      <w:szCs w:val="21"/>
                    </w:rPr>
                    <w:t>ND表示未检出或低于方法检出限。</w:t>
                  </w:r>
                </w:p>
              </w:tc>
            </w:tr>
          </w:tbl>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结论：检测结果表明，</w:t>
            </w:r>
            <w:r>
              <w:rPr>
                <w:rFonts w:cs="宋体" w:asciiTheme="minorEastAsia" w:hAnsiTheme="minorEastAsia" w:eastAsiaTheme="minorEastAsia"/>
                <w:color w:val="000000"/>
                <w:sz w:val="24"/>
              </w:rPr>
              <w:t>厂界无组织废气中颗粒物</w:t>
            </w:r>
            <w:r>
              <w:rPr>
                <w:rFonts w:hint="eastAsia" w:cs="宋体" w:asciiTheme="minorEastAsia" w:hAnsiTheme="minorEastAsia" w:eastAsiaTheme="minorEastAsia"/>
                <w:color w:val="000000"/>
                <w:sz w:val="24"/>
              </w:rPr>
              <w:t>最大浓度为0.467mg/m</w:t>
            </w:r>
            <w:r>
              <w:rPr>
                <w:rFonts w:hint="eastAsia" w:cs="宋体" w:asciiTheme="minorEastAsia" w:hAnsiTheme="minorEastAsia" w:eastAsiaTheme="minorEastAsia"/>
                <w:color w:val="000000"/>
                <w:sz w:val="24"/>
                <w:vertAlign w:val="superscript"/>
              </w:rPr>
              <w:t>3</w:t>
            </w:r>
            <w:r>
              <w:rPr>
                <w:rFonts w:hint="eastAsia" w:cs="宋体" w:asciiTheme="minorEastAsia" w:hAnsiTheme="minorEastAsia" w:eastAsiaTheme="minorEastAsia"/>
                <w:color w:val="000000"/>
                <w:sz w:val="24"/>
              </w:rPr>
              <w:t>，满足</w:t>
            </w:r>
            <w:r>
              <w:rPr>
                <w:rFonts w:hint="eastAsia" w:asciiTheme="minorEastAsia" w:hAnsiTheme="minorEastAsia" w:eastAsiaTheme="minorEastAsia"/>
                <w:color w:val="000000"/>
                <w:sz w:val="24"/>
              </w:rPr>
              <w:t>《工业炉窑大气污染物排放标准》（D</w:t>
            </w:r>
            <w:r>
              <w:rPr>
                <w:rFonts w:asciiTheme="minorEastAsia" w:hAnsiTheme="minorEastAsia" w:eastAsiaTheme="minorEastAsia"/>
                <w:color w:val="000000"/>
                <w:sz w:val="24"/>
              </w:rPr>
              <w:t>B13/1640-2012</w:t>
            </w:r>
            <w:r>
              <w:rPr>
                <w:rFonts w:hint="eastAsia" w:asciiTheme="minorEastAsia" w:hAnsiTheme="minorEastAsia" w:eastAsiaTheme="minorEastAsia"/>
                <w:color w:val="000000"/>
                <w:sz w:val="24"/>
              </w:rPr>
              <w:t>）表3工业炉窑无组织排放颗粒物排放限值</w:t>
            </w:r>
            <w:r>
              <w:rPr>
                <w:rFonts w:hint="eastAsia" w:asciiTheme="minorEastAsia" w:hAnsiTheme="minorEastAsia" w:eastAsiaTheme="minorEastAsia"/>
                <w:sz w:val="24"/>
              </w:rPr>
              <w:t>（＜1.0</w:t>
            </w:r>
            <w:r>
              <w:rPr>
                <w:rFonts w:hint="eastAsia" w:cs="宋体" w:asciiTheme="minorEastAsia" w:hAnsiTheme="minorEastAsia" w:eastAsiaTheme="minorEastAsia"/>
                <w:color w:val="000000"/>
                <w:sz w:val="24"/>
              </w:rPr>
              <w:t xml:space="preserve"> mg/m</w:t>
            </w:r>
            <w:r>
              <w:rPr>
                <w:rFonts w:hint="eastAsia" w:cs="宋体" w:asciiTheme="minorEastAsia" w:hAnsiTheme="minorEastAsia" w:eastAsiaTheme="minorEastAsia"/>
                <w:color w:val="000000"/>
                <w:sz w:val="24"/>
                <w:vertAlign w:val="superscript"/>
              </w:rPr>
              <w:t>3</w:t>
            </w:r>
            <w:r>
              <w:rPr>
                <w:rFonts w:hint="eastAsia" w:cs="宋体" w:asciiTheme="minorEastAsia" w:hAnsiTheme="minorEastAsia" w:eastAsiaTheme="minorEastAsia"/>
                <w:color w:val="000000"/>
                <w:sz w:val="24"/>
              </w:rPr>
              <w:t>）要求；厂界无组织废气中的非甲烷总烃最大浓度为0.67mg/m</w:t>
            </w:r>
            <w:r>
              <w:rPr>
                <w:rFonts w:hint="eastAsia" w:cs="宋体" w:asciiTheme="minorEastAsia" w:hAnsiTheme="minorEastAsia" w:eastAsiaTheme="minorEastAsia"/>
                <w:color w:val="000000"/>
                <w:sz w:val="24"/>
                <w:vertAlign w:val="superscript"/>
              </w:rPr>
              <w:t>3</w:t>
            </w:r>
            <w:r>
              <w:rPr>
                <w:rFonts w:hint="eastAsia" w:cs="宋体" w:asciiTheme="minorEastAsia" w:hAnsiTheme="minorEastAsia" w:eastAsiaTheme="minorEastAsia"/>
                <w:color w:val="000000"/>
                <w:sz w:val="24"/>
              </w:rPr>
              <w:t>，满足</w:t>
            </w:r>
            <w:r>
              <w:rPr>
                <w:rFonts w:hint="eastAsia" w:asciiTheme="minorEastAsia" w:hAnsiTheme="minorEastAsia" w:eastAsiaTheme="minorEastAsia"/>
                <w:color w:val="000000"/>
                <w:sz w:val="24"/>
              </w:rPr>
              <w:t>《工业企业挥发性有机物排放控制标准》（DB13/2322- 2016）表2企业边界大气污染物浓度限制中其他企业限值（＜2.0</w:t>
            </w:r>
            <w:r>
              <w:rPr>
                <w:rFonts w:hint="eastAsia" w:cs="宋体" w:asciiTheme="minorEastAsia" w:hAnsiTheme="minorEastAsia" w:eastAsiaTheme="minorEastAsia"/>
                <w:color w:val="000000"/>
                <w:sz w:val="24"/>
              </w:rPr>
              <w:t xml:space="preserve"> mg/m</w:t>
            </w:r>
            <w:r>
              <w:rPr>
                <w:rFonts w:hint="eastAsia" w:cs="宋体" w:asciiTheme="minorEastAsia" w:hAnsiTheme="minorEastAsia" w:eastAsiaTheme="minorEastAsia"/>
                <w:color w:val="000000"/>
                <w:sz w:val="24"/>
                <w:vertAlign w:val="superscript"/>
              </w:rPr>
              <w:t>3</w:t>
            </w:r>
            <w:r>
              <w:rPr>
                <w:rFonts w:hint="eastAsia" w:cs="宋体" w:asciiTheme="minorEastAsia" w:hAnsiTheme="minorEastAsia" w:eastAsiaTheme="minorEastAsia"/>
                <w:color w:val="000000"/>
                <w:sz w:val="24"/>
              </w:rPr>
              <w:t>）要求。</w:t>
            </w:r>
          </w:p>
          <w:p>
            <w:pPr>
              <w:pStyle w:val="29"/>
              <w:numPr>
                <w:ilvl w:val="0"/>
                <w:numId w:val="1"/>
              </w:numPr>
              <w:adjustRightInd w:val="0"/>
              <w:snapToGrid w:val="0"/>
              <w:spacing w:line="360" w:lineRule="auto"/>
              <w:ind w:firstLineChars="0"/>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噪声</w:t>
            </w:r>
          </w:p>
          <w:tbl>
            <w:tblPr>
              <w:tblStyle w:val="12"/>
              <w:tblW w:w="976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92"/>
              <w:gridCol w:w="446"/>
              <w:gridCol w:w="1620"/>
              <w:gridCol w:w="1061"/>
              <w:gridCol w:w="1224"/>
              <w:gridCol w:w="827"/>
              <w:gridCol w:w="1294"/>
              <w:gridCol w:w="715"/>
              <w:gridCol w:w="1700"/>
              <w:gridCol w:w="3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492" w:type="dxa"/>
                  <w:vMerge w:val="restart"/>
                  <w:tcBorders>
                    <w:tl2br w:val="nil"/>
                    <w:tr2bl w:val="nil"/>
                  </w:tcBorders>
                  <w:vAlign w:val="center"/>
                </w:tcPr>
                <w:p>
                  <w:pPr>
                    <w:jc w:val="center"/>
                    <w:rPr>
                      <w:szCs w:val="21"/>
                    </w:rPr>
                  </w:pPr>
                  <w:r>
                    <w:rPr>
                      <w:szCs w:val="21"/>
                    </w:rPr>
                    <w:t>测点</w:t>
                  </w:r>
                </w:p>
                <w:p>
                  <w:pPr>
                    <w:jc w:val="center"/>
                    <w:rPr>
                      <w:szCs w:val="21"/>
                    </w:rPr>
                  </w:pPr>
                  <w:r>
                    <w:rPr>
                      <w:szCs w:val="21"/>
                    </w:rPr>
                    <w:t>编号</w:t>
                  </w:r>
                </w:p>
              </w:tc>
              <w:tc>
                <w:tcPr>
                  <w:tcW w:w="446" w:type="dxa"/>
                  <w:vMerge w:val="restart"/>
                  <w:tcBorders>
                    <w:tl2br w:val="nil"/>
                    <w:tr2bl w:val="nil"/>
                  </w:tcBorders>
                  <w:vAlign w:val="center"/>
                </w:tcPr>
                <w:p>
                  <w:pPr>
                    <w:jc w:val="center"/>
                    <w:rPr>
                      <w:szCs w:val="21"/>
                    </w:rPr>
                  </w:pPr>
                  <w:r>
                    <w:rPr>
                      <w:szCs w:val="21"/>
                    </w:rPr>
                    <w:t>检测日期</w:t>
                  </w:r>
                </w:p>
              </w:tc>
              <w:tc>
                <w:tcPr>
                  <w:tcW w:w="1620" w:type="dxa"/>
                  <w:vMerge w:val="restart"/>
                  <w:tcBorders>
                    <w:tl2br w:val="nil"/>
                    <w:tr2bl w:val="nil"/>
                  </w:tcBorders>
                  <w:vAlign w:val="center"/>
                </w:tcPr>
                <w:p>
                  <w:pPr>
                    <w:jc w:val="center"/>
                    <w:rPr>
                      <w:szCs w:val="21"/>
                    </w:rPr>
                  </w:pPr>
                  <w:r>
                    <w:rPr>
                      <w:szCs w:val="21"/>
                    </w:rPr>
                    <w:t>检测</w:t>
                  </w:r>
                </w:p>
                <w:p>
                  <w:pPr>
                    <w:jc w:val="center"/>
                    <w:rPr>
                      <w:szCs w:val="21"/>
                    </w:rPr>
                  </w:pPr>
                  <w:r>
                    <w:rPr>
                      <w:szCs w:val="21"/>
                    </w:rPr>
                    <w:t>点位</w:t>
                  </w:r>
                </w:p>
              </w:tc>
              <w:tc>
                <w:tcPr>
                  <w:tcW w:w="1061" w:type="dxa"/>
                  <w:vMerge w:val="restart"/>
                  <w:tcBorders>
                    <w:tl2br w:val="nil"/>
                    <w:tr2bl w:val="nil"/>
                  </w:tcBorders>
                  <w:vAlign w:val="center"/>
                </w:tcPr>
                <w:p>
                  <w:pPr>
                    <w:jc w:val="center"/>
                    <w:rPr>
                      <w:szCs w:val="21"/>
                    </w:rPr>
                  </w:pPr>
                  <w:r>
                    <w:rPr>
                      <w:szCs w:val="21"/>
                    </w:rPr>
                    <w:t>主要</w:t>
                  </w:r>
                </w:p>
                <w:p>
                  <w:pPr>
                    <w:jc w:val="center"/>
                    <w:rPr>
                      <w:szCs w:val="21"/>
                    </w:rPr>
                  </w:pPr>
                  <w:r>
                    <w:rPr>
                      <w:szCs w:val="21"/>
                    </w:rPr>
                    <w:t>声源</w:t>
                  </w:r>
                </w:p>
              </w:tc>
              <w:tc>
                <w:tcPr>
                  <w:tcW w:w="4060" w:type="dxa"/>
                  <w:gridSpan w:val="4"/>
                  <w:tcBorders>
                    <w:tl2br w:val="nil"/>
                    <w:tr2bl w:val="nil"/>
                  </w:tcBorders>
                  <w:vAlign w:val="center"/>
                </w:tcPr>
                <w:p>
                  <w:pPr>
                    <w:jc w:val="center"/>
                    <w:rPr>
                      <w:szCs w:val="21"/>
                    </w:rPr>
                  </w:pPr>
                  <w:r>
                    <w:rPr>
                      <w:szCs w:val="21"/>
                    </w:rPr>
                    <w:t>测量值Leq[dB(A)]</w:t>
                  </w:r>
                </w:p>
              </w:tc>
              <w:tc>
                <w:tcPr>
                  <w:tcW w:w="1700" w:type="dxa"/>
                  <w:tcBorders>
                    <w:tl2br w:val="nil"/>
                    <w:tr2bl w:val="nil"/>
                  </w:tcBorders>
                  <w:vAlign w:val="center"/>
                </w:tcPr>
                <w:p>
                  <w:pPr>
                    <w:jc w:val="center"/>
                    <w:rPr>
                      <w:szCs w:val="21"/>
                    </w:rPr>
                  </w:pPr>
                  <w:r>
                    <w:rPr>
                      <w:szCs w:val="21"/>
                    </w:rPr>
                    <w:t>执行标准及限值</w:t>
                  </w:r>
                </w:p>
              </w:tc>
              <w:tc>
                <w:tcPr>
                  <w:tcW w:w="390" w:type="dxa"/>
                  <w:vMerge w:val="restart"/>
                  <w:tcBorders>
                    <w:tl2br w:val="nil"/>
                    <w:tr2bl w:val="nil"/>
                  </w:tcBorders>
                  <w:vAlign w:val="center"/>
                </w:tcPr>
                <w:p>
                  <w:pPr>
                    <w:jc w:val="center"/>
                    <w:rPr>
                      <w:szCs w:val="21"/>
                    </w:rPr>
                  </w:pPr>
                  <w:r>
                    <w:rPr>
                      <w:szCs w:val="21"/>
                    </w:rPr>
                    <w:t>符合情况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92" w:type="dxa"/>
                  <w:vMerge w:val="continue"/>
                  <w:tcBorders>
                    <w:tl2br w:val="nil"/>
                    <w:tr2bl w:val="nil"/>
                  </w:tcBorders>
                  <w:vAlign w:val="center"/>
                </w:tcPr>
                <w:p>
                  <w:pPr>
                    <w:jc w:val="center"/>
                    <w:rPr>
                      <w:szCs w:val="21"/>
                    </w:rPr>
                  </w:pPr>
                </w:p>
              </w:tc>
              <w:tc>
                <w:tcPr>
                  <w:tcW w:w="446" w:type="dxa"/>
                  <w:vMerge w:val="continue"/>
                  <w:tcBorders>
                    <w:tl2br w:val="nil"/>
                    <w:tr2bl w:val="nil"/>
                  </w:tcBorders>
                  <w:vAlign w:val="center"/>
                </w:tcPr>
                <w:p>
                  <w:pPr>
                    <w:jc w:val="center"/>
                    <w:rPr>
                      <w:szCs w:val="21"/>
                    </w:rPr>
                  </w:pPr>
                </w:p>
              </w:tc>
              <w:tc>
                <w:tcPr>
                  <w:tcW w:w="1620" w:type="dxa"/>
                  <w:vMerge w:val="continue"/>
                  <w:tcBorders>
                    <w:tl2br w:val="nil"/>
                    <w:tr2bl w:val="nil"/>
                  </w:tcBorders>
                  <w:vAlign w:val="center"/>
                </w:tcPr>
                <w:p>
                  <w:pPr>
                    <w:jc w:val="center"/>
                    <w:rPr>
                      <w:szCs w:val="21"/>
                    </w:rPr>
                  </w:pPr>
                </w:p>
              </w:tc>
              <w:tc>
                <w:tcPr>
                  <w:tcW w:w="1061" w:type="dxa"/>
                  <w:vMerge w:val="continue"/>
                  <w:tcBorders>
                    <w:tl2br w:val="nil"/>
                    <w:tr2bl w:val="nil"/>
                  </w:tcBorders>
                  <w:vAlign w:val="center"/>
                </w:tcPr>
                <w:p>
                  <w:pPr>
                    <w:jc w:val="center"/>
                    <w:rPr>
                      <w:szCs w:val="21"/>
                    </w:rPr>
                  </w:pPr>
                </w:p>
              </w:tc>
              <w:tc>
                <w:tcPr>
                  <w:tcW w:w="2051" w:type="dxa"/>
                  <w:gridSpan w:val="2"/>
                  <w:tcBorders>
                    <w:right w:val="single" w:color="auto" w:sz="4" w:space="0"/>
                    <w:tl2br w:val="nil"/>
                    <w:tr2bl w:val="nil"/>
                  </w:tcBorders>
                  <w:vAlign w:val="center"/>
                </w:tcPr>
                <w:p>
                  <w:pPr>
                    <w:jc w:val="center"/>
                    <w:rPr>
                      <w:szCs w:val="21"/>
                    </w:rPr>
                  </w:pPr>
                  <w:r>
                    <w:rPr>
                      <w:szCs w:val="21"/>
                    </w:rPr>
                    <w:t>昼间</w:t>
                  </w:r>
                </w:p>
              </w:tc>
              <w:tc>
                <w:tcPr>
                  <w:tcW w:w="2009" w:type="dxa"/>
                  <w:gridSpan w:val="2"/>
                  <w:tcBorders>
                    <w:left w:val="single" w:color="auto" w:sz="4" w:space="0"/>
                    <w:tl2br w:val="nil"/>
                    <w:tr2bl w:val="nil"/>
                  </w:tcBorders>
                  <w:vAlign w:val="center"/>
                </w:tcPr>
                <w:p>
                  <w:pPr>
                    <w:jc w:val="center"/>
                    <w:rPr>
                      <w:szCs w:val="21"/>
                    </w:rPr>
                  </w:pPr>
                  <w:r>
                    <w:rPr>
                      <w:szCs w:val="21"/>
                    </w:rPr>
                    <w:t>夜间</w:t>
                  </w:r>
                </w:p>
              </w:tc>
              <w:tc>
                <w:tcPr>
                  <w:tcW w:w="1700" w:type="dxa"/>
                  <w:vMerge w:val="restart"/>
                  <w:tcBorders>
                    <w:tl2br w:val="nil"/>
                    <w:tr2bl w:val="nil"/>
                  </w:tcBorders>
                  <w:vAlign w:val="center"/>
                </w:tcPr>
                <w:p>
                  <w:pPr>
                    <w:jc w:val="center"/>
                    <w:rPr>
                      <w:szCs w:val="21"/>
                    </w:rPr>
                  </w:pPr>
                  <w:r>
                    <w:rPr>
                      <w:szCs w:val="21"/>
                    </w:rPr>
                    <w:t>GB12348-2008</w:t>
                  </w: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492" w:type="dxa"/>
                  <w:vMerge w:val="continue"/>
                  <w:tcBorders>
                    <w:tl2br w:val="nil"/>
                    <w:tr2bl w:val="nil"/>
                  </w:tcBorders>
                  <w:vAlign w:val="center"/>
                </w:tcPr>
                <w:p>
                  <w:pPr>
                    <w:jc w:val="center"/>
                    <w:rPr>
                      <w:szCs w:val="21"/>
                    </w:rPr>
                  </w:pPr>
                </w:p>
              </w:tc>
              <w:tc>
                <w:tcPr>
                  <w:tcW w:w="446" w:type="dxa"/>
                  <w:vMerge w:val="continue"/>
                  <w:tcBorders>
                    <w:tl2br w:val="nil"/>
                    <w:tr2bl w:val="nil"/>
                  </w:tcBorders>
                  <w:vAlign w:val="center"/>
                </w:tcPr>
                <w:p>
                  <w:pPr>
                    <w:jc w:val="center"/>
                    <w:rPr>
                      <w:szCs w:val="21"/>
                    </w:rPr>
                  </w:pPr>
                </w:p>
              </w:tc>
              <w:tc>
                <w:tcPr>
                  <w:tcW w:w="1620" w:type="dxa"/>
                  <w:vMerge w:val="continue"/>
                  <w:tcBorders>
                    <w:tl2br w:val="nil"/>
                    <w:tr2bl w:val="nil"/>
                  </w:tcBorders>
                  <w:vAlign w:val="center"/>
                </w:tcPr>
                <w:p>
                  <w:pPr>
                    <w:jc w:val="center"/>
                    <w:rPr>
                      <w:szCs w:val="21"/>
                    </w:rPr>
                  </w:pPr>
                </w:p>
              </w:tc>
              <w:tc>
                <w:tcPr>
                  <w:tcW w:w="1061" w:type="dxa"/>
                  <w:vMerge w:val="continue"/>
                  <w:tcBorders>
                    <w:tl2br w:val="nil"/>
                    <w:tr2bl w:val="nil"/>
                  </w:tcBorders>
                  <w:vAlign w:val="center"/>
                </w:tcPr>
                <w:p>
                  <w:pPr>
                    <w:jc w:val="center"/>
                    <w:rPr>
                      <w:szCs w:val="21"/>
                    </w:rPr>
                  </w:pPr>
                </w:p>
              </w:tc>
              <w:tc>
                <w:tcPr>
                  <w:tcW w:w="1224" w:type="dxa"/>
                  <w:tcBorders>
                    <w:tl2br w:val="nil"/>
                    <w:tr2bl w:val="nil"/>
                  </w:tcBorders>
                  <w:vAlign w:val="center"/>
                </w:tcPr>
                <w:p>
                  <w:pPr>
                    <w:jc w:val="center"/>
                    <w:rPr>
                      <w:szCs w:val="21"/>
                    </w:rPr>
                  </w:pPr>
                  <w:r>
                    <w:rPr>
                      <w:szCs w:val="21"/>
                    </w:rPr>
                    <w:t>时间</w:t>
                  </w:r>
                </w:p>
              </w:tc>
              <w:tc>
                <w:tcPr>
                  <w:tcW w:w="827" w:type="dxa"/>
                  <w:tcBorders>
                    <w:right w:val="single" w:color="auto" w:sz="4" w:space="0"/>
                    <w:tl2br w:val="nil"/>
                    <w:tr2bl w:val="nil"/>
                  </w:tcBorders>
                  <w:vAlign w:val="center"/>
                </w:tcPr>
                <w:p>
                  <w:pPr>
                    <w:jc w:val="center"/>
                    <w:rPr>
                      <w:szCs w:val="21"/>
                    </w:rPr>
                  </w:pPr>
                  <w:r>
                    <w:rPr>
                      <w:szCs w:val="21"/>
                    </w:rPr>
                    <w:t>dB(A)</w:t>
                  </w:r>
                </w:p>
              </w:tc>
              <w:tc>
                <w:tcPr>
                  <w:tcW w:w="1294" w:type="dxa"/>
                  <w:tcBorders>
                    <w:left w:val="single" w:color="auto" w:sz="4" w:space="0"/>
                    <w:tl2br w:val="nil"/>
                    <w:tr2bl w:val="nil"/>
                  </w:tcBorders>
                  <w:vAlign w:val="center"/>
                </w:tcPr>
                <w:p>
                  <w:pPr>
                    <w:jc w:val="center"/>
                    <w:rPr>
                      <w:szCs w:val="21"/>
                    </w:rPr>
                  </w:pPr>
                  <w:r>
                    <w:rPr>
                      <w:szCs w:val="21"/>
                    </w:rPr>
                    <w:t>时间</w:t>
                  </w:r>
                </w:p>
              </w:tc>
              <w:tc>
                <w:tcPr>
                  <w:tcW w:w="715" w:type="dxa"/>
                  <w:tcBorders>
                    <w:tl2br w:val="nil"/>
                    <w:tr2bl w:val="nil"/>
                  </w:tcBorders>
                  <w:vAlign w:val="center"/>
                </w:tcPr>
                <w:p>
                  <w:pPr>
                    <w:jc w:val="center"/>
                    <w:rPr>
                      <w:szCs w:val="21"/>
                    </w:rPr>
                  </w:pPr>
                  <w:r>
                    <w:rPr>
                      <w:szCs w:val="21"/>
                    </w:rPr>
                    <w:t>dB(A)</w:t>
                  </w:r>
                </w:p>
              </w:tc>
              <w:tc>
                <w:tcPr>
                  <w:tcW w:w="1700" w:type="dxa"/>
                  <w:vMerge w:val="continue"/>
                  <w:tcBorders>
                    <w:tl2br w:val="nil"/>
                    <w:tr2bl w:val="nil"/>
                  </w:tcBorders>
                  <w:vAlign w:val="center"/>
                </w:tcPr>
                <w:p>
                  <w:pPr>
                    <w:jc w:val="center"/>
                    <w:rPr>
                      <w:szCs w:val="21"/>
                    </w:rPr>
                  </w:pP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1#</w:t>
                  </w:r>
                </w:p>
              </w:tc>
              <w:tc>
                <w:tcPr>
                  <w:tcW w:w="446" w:type="dxa"/>
                  <w:vMerge w:val="restart"/>
                  <w:tcBorders>
                    <w:tl2br w:val="nil"/>
                    <w:tr2bl w:val="nil"/>
                  </w:tcBorders>
                  <w:vAlign w:val="center"/>
                </w:tcPr>
                <w:p>
                  <w:pPr>
                    <w:jc w:val="center"/>
                    <w:rPr>
                      <w:szCs w:val="21"/>
                    </w:rPr>
                  </w:pPr>
                  <w:r>
                    <w:rPr>
                      <w:szCs w:val="21"/>
                    </w:rPr>
                    <w:t>5月21日</w:t>
                  </w:r>
                </w:p>
              </w:tc>
              <w:tc>
                <w:tcPr>
                  <w:tcW w:w="1620" w:type="dxa"/>
                  <w:tcBorders>
                    <w:tl2br w:val="nil"/>
                    <w:tr2bl w:val="nil"/>
                  </w:tcBorders>
                  <w:vAlign w:val="center"/>
                </w:tcPr>
                <w:p>
                  <w:pPr>
                    <w:jc w:val="center"/>
                    <w:rPr>
                      <w:szCs w:val="21"/>
                    </w:rPr>
                  </w:pPr>
                  <w:r>
                    <w:rPr>
                      <w:szCs w:val="21"/>
                    </w:rPr>
                    <w:t>东厂界外1米处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12:22-12:23</w:t>
                  </w:r>
                </w:p>
              </w:tc>
              <w:tc>
                <w:tcPr>
                  <w:tcW w:w="827" w:type="dxa"/>
                  <w:tcBorders>
                    <w:tl2br w:val="nil"/>
                    <w:tr2bl w:val="nil"/>
                  </w:tcBorders>
                  <w:vAlign w:val="center"/>
                </w:tcPr>
                <w:p>
                  <w:pPr>
                    <w:jc w:val="center"/>
                    <w:rPr>
                      <w:szCs w:val="21"/>
                    </w:rPr>
                  </w:pPr>
                  <w:r>
                    <w:rPr>
                      <w:szCs w:val="21"/>
                    </w:rPr>
                    <w:t>56.5</w:t>
                  </w:r>
                </w:p>
              </w:tc>
              <w:tc>
                <w:tcPr>
                  <w:tcW w:w="1294" w:type="dxa"/>
                  <w:tcBorders>
                    <w:tl2br w:val="nil"/>
                    <w:tr2bl w:val="nil"/>
                  </w:tcBorders>
                  <w:vAlign w:val="center"/>
                </w:tcPr>
                <w:p>
                  <w:pPr>
                    <w:jc w:val="center"/>
                    <w:rPr>
                      <w:szCs w:val="21"/>
                    </w:rPr>
                  </w:pPr>
                  <w:r>
                    <w:rPr>
                      <w:szCs w:val="21"/>
                    </w:rPr>
                    <w:t>22:25-22:26</w:t>
                  </w:r>
                </w:p>
              </w:tc>
              <w:tc>
                <w:tcPr>
                  <w:tcW w:w="715" w:type="dxa"/>
                  <w:tcBorders>
                    <w:bottom w:val="single" w:color="auto" w:sz="4" w:space="0"/>
                    <w:tl2br w:val="nil"/>
                    <w:tr2bl w:val="nil"/>
                  </w:tcBorders>
                  <w:vAlign w:val="center"/>
                </w:tcPr>
                <w:p>
                  <w:pPr>
                    <w:jc w:val="center"/>
                    <w:rPr>
                      <w:szCs w:val="21"/>
                    </w:rPr>
                  </w:pPr>
                  <w:r>
                    <w:rPr>
                      <w:szCs w:val="21"/>
                    </w:rPr>
                    <w:t>46.6</w:t>
                  </w:r>
                </w:p>
              </w:tc>
              <w:tc>
                <w:tcPr>
                  <w:tcW w:w="1700" w:type="dxa"/>
                  <w:tcBorders>
                    <w:bottom w:val="single" w:color="auto" w:sz="4" w:space="0"/>
                    <w:tl2br w:val="nil"/>
                    <w:tr2bl w:val="nil"/>
                  </w:tcBorders>
                  <w:vAlign w:val="center"/>
                </w:tcPr>
                <w:p>
                  <w:pPr>
                    <w:jc w:val="center"/>
                    <w:rPr>
                      <w:szCs w:val="21"/>
                    </w:rPr>
                  </w:pPr>
                  <w:r>
                    <w:rPr>
                      <w:szCs w:val="21"/>
                    </w:rPr>
                    <w:t>昼间：≤60dB(A)</w:t>
                  </w:r>
                </w:p>
                <w:p>
                  <w:pPr>
                    <w:jc w:val="center"/>
                    <w:rPr>
                      <w:szCs w:val="21"/>
                    </w:rPr>
                  </w:pPr>
                  <w:r>
                    <w:rPr>
                      <w:szCs w:val="21"/>
                    </w:rPr>
                    <w:t>夜间：≤50dB(A)</w:t>
                  </w:r>
                </w:p>
              </w:tc>
              <w:tc>
                <w:tcPr>
                  <w:tcW w:w="390" w:type="dxa"/>
                  <w:vMerge w:val="restart"/>
                  <w:tcBorders>
                    <w:tl2br w:val="nil"/>
                    <w:tr2bl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2#</w:t>
                  </w:r>
                </w:p>
              </w:tc>
              <w:tc>
                <w:tcPr>
                  <w:tcW w:w="446"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jc w:val="center"/>
                    <w:rPr>
                      <w:szCs w:val="21"/>
                    </w:rPr>
                  </w:pPr>
                  <w:r>
                    <w:rPr>
                      <w:szCs w:val="21"/>
                    </w:rPr>
                    <w:t>南厂界外1米处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12:31-12:32</w:t>
                  </w:r>
                </w:p>
              </w:tc>
              <w:tc>
                <w:tcPr>
                  <w:tcW w:w="827" w:type="dxa"/>
                  <w:tcBorders>
                    <w:tl2br w:val="nil"/>
                    <w:tr2bl w:val="nil"/>
                  </w:tcBorders>
                  <w:vAlign w:val="center"/>
                </w:tcPr>
                <w:p>
                  <w:pPr>
                    <w:jc w:val="center"/>
                    <w:rPr>
                      <w:szCs w:val="21"/>
                    </w:rPr>
                  </w:pPr>
                  <w:r>
                    <w:rPr>
                      <w:szCs w:val="21"/>
                    </w:rPr>
                    <w:t>62.8</w:t>
                  </w:r>
                </w:p>
              </w:tc>
              <w:tc>
                <w:tcPr>
                  <w:tcW w:w="1294" w:type="dxa"/>
                  <w:tcBorders>
                    <w:tl2br w:val="nil"/>
                    <w:tr2bl w:val="nil"/>
                  </w:tcBorders>
                  <w:vAlign w:val="center"/>
                </w:tcPr>
                <w:p>
                  <w:pPr>
                    <w:jc w:val="center"/>
                    <w:rPr>
                      <w:szCs w:val="21"/>
                    </w:rPr>
                  </w:pPr>
                  <w:r>
                    <w:rPr>
                      <w:szCs w:val="21"/>
                    </w:rPr>
                    <w:t>22:32-22:33</w:t>
                  </w:r>
                </w:p>
              </w:tc>
              <w:tc>
                <w:tcPr>
                  <w:tcW w:w="715" w:type="dxa"/>
                  <w:tcBorders>
                    <w:top w:val="single" w:color="auto" w:sz="4" w:space="0"/>
                    <w:bottom w:val="single" w:color="auto" w:sz="4" w:space="0"/>
                    <w:tl2br w:val="nil"/>
                    <w:tr2bl w:val="nil"/>
                  </w:tcBorders>
                  <w:vAlign w:val="center"/>
                </w:tcPr>
                <w:p>
                  <w:pPr>
                    <w:jc w:val="center"/>
                    <w:rPr>
                      <w:szCs w:val="21"/>
                    </w:rPr>
                  </w:pPr>
                  <w:r>
                    <w:rPr>
                      <w:szCs w:val="21"/>
                    </w:rPr>
                    <w:t>51.0</w:t>
                  </w:r>
                </w:p>
              </w:tc>
              <w:tc>
                <w:tcPr>
                  <w:tcW w:w="1700" w:type="dxa"/>
                  <w:tcBorders>
                    <w:top w:val="single" w:color="auto" w:sz="4" w:space="0"/>
                    <w:bottom w:val="single" w:color="auto" w:sz="4" w:space="0"/>
                    <w:tl2br w:val="nil"/>
                    <w:tr2bl w:val="nil"/>
                  </w:tcBorders>
                  <w:vAlign w:val="center"/>
                </w:tcPr>
                <w:p>
                  <w:pPr>
                    <w:jc w:val="center"/>
                    <w:rPr>
                      <w:szCs w:val="21"/>
                    </w:rPr>
                  </w:pPr>
                  <w:r>
                    <w:rPr>
                      <w:szCs w:val="21"/>
                    </w:rPr>
                    <w:t>昼间：≤70dB(A)夜间：≤55dB(A)</w:t>
                  </w: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3#</w:t>
                  </w:r>
                </w:p>
              </w:tc>
              <w:tc>
                <w:tcPr>
                  <w:tcW w:w="446"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jc w:val="center"/>
                    <w:rPr>
                      <w:szCs w:val="21"/>
                    </w:rPr>
                  </w:pPr>
                  <w:r>
                    <w:rPr>
                      <w:szCs w:val="21"/>
                    </w:rPr>
                    <w:t>西厂界外1米处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12:39-12:40</w:t>
                  </w:r>
                </w:p>
              </w:tc>
              <w:tc>
                <w:tcPr>
                  <w:tcW w:w="827" w:type="dxa"/>
                  <w:tcBorders>
                    <w:bottom w:val="single" w:color="000000" w:sz="4" w:space="0"/>
                    <w:tl2br w:val="nil"/>
                    <w:tr2bl w:val="nil"/>
                  </w:tcBorders>
                  <w:vAlign w:val="center"/>
                </w:tcPr>
                <w:p>
                  <w:pPr>
                    <w:jc w:val="center"/>
                    <w:rPr>
                      <w:szCs w:val="21"/>
                    </w:rPr>
                  </w:pPr>
                  <w:r>
                    <w:rPr>
                      <w:szCs w:val="21"/>
                    </w:rPr>
                    <w:t>55.5</w:t>
                  </w:r>
                </w:p>
              </w:tc>
              <w:tc>
                <w:tcPr>
                  <w:tcW w:w="1294" w:type="dxa"/>
                  <w:tcBorders>
                    <w:tl2br w:val="nil"/>
                    <w:tr2bl w:val="nil"/>
                  </w:tcBorders>
                  <w:vAlign w:val="center"/>
                </w:tcPr>
                <w:p>
                  <w:pPr>
                    <w:jc w:val="center"/>
                    <w:rPr>
                      <w:szCs w:val="21"/>
                    </w:rPr>
                  </w:pPr>
                  <w:r>
                    <w:rPr>
                      <w:szCs w:val="21"/>
                    </w:rPr>
                    <w:t>22:41-22:42</w:t>
                  </w:r>
                </w:p>
              </w:tc>
              <w:tc>
                <w:tcPr>
                  <w:tcW w:w="715" w:type="dxa"/>
                  <w:tcBorders>
                    <w:top w:val="single" w:color="auto" w:sz="4" w:space="0"/>
                    <w:tl2br w:val="nil"/>
                    <w:tr2bl w:val="nil"/>
                  </w:tcBorders>
                  <w:vAlign w:val="center"/>
                </w:tcPr>
                <w:p>
                  <w:pPr>
                    <w:jc w:val="center"/>
                    <w:rPr>
                      <w:szCs w:val="21"/>
                    </w:rPr>
                  </w:pPr>
                  <w:r>
                    <w:rPr>
                      <w:szCs w:val="21"/>
                    </w:rPr>
                    <w:t>47.3</w:t>
                  </w:r>
                </w:p>
              </w:tc>
              <w:tc>
                <w:tcPr>
                  <w:tcW w:w="1700" w:type="dxa"/>
                  <w:vMerge w:val="restart"/>
                  <w:tcBorders>
                    <w:top w:val="single" w:color="auto" w:sz="4" w:space="0"/>
                    <w:tl2br w:val="nil"/>
                    <w:tr2bl w:val="nil"/>
                  </w:tcBorders>
                  <w:vAlign w:val="center"/>
                </w:tcPr>
                <w:p>
                  <w:pPr>
                    <w:jc w:val="center"/>
                    <w:rPr>
                      <w:szCs w:val="21"/>
                    </w:rPr>
                  </w:pPr>
                  <w:r>
                    <w:rPr>
                      <w:szCs w:val="21"/>
                    </w:rPr>
                    <w:t>昼间：≤60dB(A)夜间：≤50dB(A)</w:t>
                  </w: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4#</w:t>
                  </w:r>
                </w:p>
              </w:tc>
              <w:tc>
                <w:tcPr>
                  <w:tcW w:w="446"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jc w:val="center"/>
                    <w:rPr>
                      <w:szCs w:val="21"/>
                    </w:rPr>
                  </w:pPr>
                  <w:r>
                    <w:rPr>
                      <w:szCs w:val="21"/>
                    </w:rPr>
                    <w:t>北厂界外1米处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12:45-12:46</w:t>
                  </w:r>
                </w:p>
              </w:tc>
              <w:tc>
                <w:tcPr>
                  <w:tcW w:w="827" w:type="dxa"/>
                  <w:tcBorders>
                    <w:top w:val="single" w:color="000000" w:sz="4" w:space="0"/>
                    <w:bottom w:val="single" w:color="000000" w:sz="4" w:space="0"/>
                    <w:tl2br w:val="nil"/>
                    <w:tr2bl w:val="nil"/>
                  </w:tcBorders>
                  <w:vAlign w:val="center"/>
                </w:tcPr>
                <w:p>
                  <w:pPr>
                    <w:jc w:val="center"/>
                    <w:rPr>
                      <w:szCs w:val="21"/>
                    </w:rPr>
                  </w:pPr>
                  <w:r>
                    <w:rPr>
                      <w:szCs w:val="21"/>
                    </w:rPr>
                    <w:t>56.1</w:t>
                  </w:r>
                </w:p>
              </w:tc>
              <w:tc>
                <w:tcPr>
                  <w:tcW w:w="1294" w:type="dxa"/>
                  <w:tcBorders>
                    <w:tl2br w:val="nil"/>
                    <w:tr2bl w:val="nil"/>
                  </w:tcBorders>
                  <w:vAlign w:val="center"/>
                </w:tcPr>
                <w:p>
                  <w:pPr>
                    <w:jc w:val="center"/>
                    <w:rPr>
                      <w:szCs w:val="21"/>
                    </w:rPr>
                  </w:pPr>
                  <w:r>
                    <w:rPr>
                      <w:szCs w:val="21"/>
                    </w:rPr>
                    <w:t>22:47-22:48</w:t>
                  </w:r>
                </w:p>
              </w:tc>
              <w:tc>
                <w:tcPr>
                  <w:tcW w:w="715" w:type="dxa"/>
                  <w:tcBorders>
                    <w:tl2br w:val="nil"/>
                    <w:tr2bl w:val="nil"/>
                  </w:tcBorders>
                  <w:vAlign w:val="center"/>
                </w:tcPr>
                <w:p>
                  <w:pPr>
                    <w:jc w:val="center"/>
                    <w:rPr>
                      <w:szCs w:val="21"/>
                    </w:rPr>
                  </w:pPr>
                  <w:r>
                    <w:rPr>
                      <w:szCs w:val="21"/>
                    </w:rPr>
                    <w:t>44.8</w:t>
                  </w:r>
                </w:p>
              </w:tc>
              <w:tc>
                <w:tcPr>
                  <w:tcW w:w="1700" w:type="dxa"/>
                  <w:vMerge w:val="continue"/>
                  <w:tcBorders>
                    <w:tl2br w:val="nil"/>
                    <w:tr2bl w:val="nil"/>
                  </w:tcBorders>
                  <w:vAlign w:val="center"/>
                </w:tcPr>
                <w:p>
                  <w:pPr>
                    <w:jc w:val="center"/>
                    <w:rPr>
                      <w:szCs w:val="21"/>
                    </w:rPr>
                  </w:pP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1#</w:t>
                  </w:r>
                </w:p>
              </w:tc>
              <w:tc>
                <w:tcPr>
                  <w:tcW w:w="446" w:type="dxa"/>
                  <w:vMerge w:val="restart"/>
                  <w:tcBorders>
                    <w:tl2br w:val="nil"/>
                    <w:tr2bl w:val="nil"/>
                  </w:tcBorders>
                  <w:vAlign w:val="center"/>
                </w:tcPr>
                <w:p>
                  <w:pPr>
                    <w:jc w:val="center"/>
                    <w:rPr>
                      <w:szCs w:val="21"/>
                    </w:rPr>
                  </w:pPr>
                  <w:r>
                    <w:rPr>
                      <w:szCs w:val="21"/>
                    </w:rPr>
                    <w:t>5月22日</w:t>
                  </w:r>
                </w:p>
              </w:tc>
              <w:tc>
                <w:tcPr>
                  <w:tcW w:w="1620" w:type="dxa"/>
                  <w:tcBorders>
                    <w:tl2br w:val="nil"/>
                    <w:tr2bl w:val="nil"/>
                  </w:tcBorders>
                  <w:vAlign w:val="center"/>
                </w:tcPr>
                <w:p>
                  <w:pPr>
                    <w:jc w:val="center"/>
                    <w:rPr>
                      <w:szCs w:val="21"/>
                    </w:rPr>
                  </w:pPr>
                  <w:r>
                    <w:rPr>
                      <w:szCs w:val="21"/>
                    </w:rPr>
                    <w:t>东厂界外1米处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13:06-13:07</w:t>
                  </w:r>
                </w:p>
              </w:tc>
              <w:tc>
                <w:tcPr>
                  <w:tcW w:w="827" w:type="dxa"/>
                  <w:tcBorders>
                    <w:tl2br w:val="nil"/>
                    <w:tr2bl w:val="nil"/>
                  </w:tcBorders>
                  <w:vAlign w:val="center"/>
                </w:tcPr>
                <w:p>
                  <w:pPr>
                    <w:jc w:val="center"/>
                    <w:rPr>
                      <w:szCs w:val="21"/>
                    </w:rPr>
                  </w:pPr>
                  <w:r>
                    <w:rPr>
                      <w:szCs w:val="21"/>
                    </w:rPr>
                    <w:t>56.8</w:t>
                  </w:r>
                </w:p>
              </w:tc>
              <w:tc>
                <w:tcPr>
                  <w:tcW w:w="1294" w:type="dxa"/>
                  <w:tcBorders>
                    <w:tl2br w:val="nil"/>
                    <w:tr2bl w:val="nil"/>
                  </w:tcBorders>
                  <w:vAlign w:val="center"/>
                </w:tcPr>
                <w:p>
                  <w:pPr>
                    <w:jc w:val="center"/>
                    <w:rPr>
                      <w:szCs w:val="21"/>
                    </w:rPr>
                  </w:pPr>
                  <w:r>
                    <w:rPr>
                      <w:szCs w:val="21"/>
                    </w:rPr>
                    <w:t>22:36-22:37</w:t>
                  </w:r>
                </w:p>
              </w:tc>
              <w:tc>
                <w:tcPr>
                  <w:tcW w:w="715" w:type="dxa"/>
                  <w:tcBorders>
                    <w:tl2br w:val="nil"/>
                    <w:tr2bl w:val="nil"/>
                  </w:tcBorders>
                  <w:vAlign w:val="center"/>
                </w:tcPr>
                <w:p>
                  <w:pPr>
                    <w:jc w:val="center"/>
                    <w:rPr>
                      <w:szCs w:val="21"/>
                    </w:rPr>
                  </w:pPr>
                  <w:r>
                    <w:rPr>
                      <w:szCs w:val="21"/>
                    </w:rPr>
                    <w:t>47.8</w:t>
                  </w:r>
                </w:p>
              </w:tc>
              <w:tc>
                <w:tcPr>
                  <w:tcW w:w="1700" w:type="dxa"/>
                  <w:tcBorders>
                    <w:bottom w:val="single" w:color="auto" w:sz="4" w:space="0"/>
                    <w:tl2br w:val="nil"/>
                    <w:tr2bl w:val="nil"/>
                  </w:tcBorders>
                  <w:vAlign w:val="center"/>
                </w:tcPr>
                <w:p>
                  <w:pPr>
                    <w:jc w:val="center"/>
                    <w:rPr>
                      <w:szCs w:val="21"/>
                    </w:rPr>
                  </w:pPr>
                  <w:r>
                    <w:rPr>
                      <w:szCs w:val="21"/>
                    </w:rPr>
                    <w:t>昼间：≤60dB(A)</w:t>
                  </w:r>
                </w:p>
                <w:p>
                  <w:pPr>
                    <w:jc w:val="center"/>
                    <w:rPr>
                      <w:szCs w:val="21"/>
                    </w:rPr>
                  </w:pPr>
                  <w:r>
                    <w:rPr>
                      <w:szCs w:val="21"/>
                    </w:rPr>
                    <w:t>夜间：≤50dB(A)</w:t>
                  </w:r>
                </w:p>
              </w:tc>
              <w:tc>
                <w:tcPr>
                  <w:tcW w:w="390" w:type="dxa"/>
                  <w:vMerge w:val="restart"/>
                  <w:tcBorders>
                    <w:tl2br w:val="nil"/>
                    <w:tr2bl w:val="nil"/>
                  </w:tcBorders>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2#</w:t>
                  </w:r>
                </w:p>
              </w:tc>
              <w:tc>
                <w:tcPr>
                  <w:tcW w:w="446"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jc w:val="center"/>
                    <w:rPr>
                      <w:szCs w:val="21"/>
                    </w:rPr>
                  </w:pPr>
                  <w:r>
                    <w:rPr>
                      <w:szCs w:val="21"/>
                    </w:rPr>
                    <w:t>南厂界外1米处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13:14-13:15</w:t>
                  </w:r>
                </w:p>
              </w:tc>
              <w:tc>
                <w:tcPr>
                  <w:tcW w:w="827" w:type="dxa"/>
                  <w:tcBorders>
                    <w:tl2br w:val="nil"/>
                    <w:tr2bl w:val="nil"/>
                  </w:tcBorders>
                  <w:vAlign w:val="center"/>
                </w:tcPr>
                <w:p>
                  <w:pPr>
                    <w:jc w:val="center"/>
                    <w:rPr>
                      <w:szCs w:val="21"/>
                    </w:rPr>
                  </w:pPr>
                  <w:r>
                    <w:rPr>
                      <w:szCs w:val="21"/>
                    </w:rPr>
                    <w:t>65.7</w:t>
                  </w:r>
                </w:p>
              </w:tc>
              <w:tc>
                <w:tcPr>
                  <w:tcW w:w="1294" w:type="dxa"/>
                  <w:tcBorders>
                    <w:tl2br w:val="nil"/>
                    <w:tr2bl w:val="nil"/>
                  </w:tcBorders>
                  <w:vAlign w:val="center"/>
                </w:tcPr>
                <w:p>
                  <w:pPr>
                    <w:jc w:val="center"/>
                    <w:rPr>
                      <w:szCs w:val="21"/>
                    </w:rPr>
                  </w:pPr>
                  <w:r>
                    <w:rPr>
                      <w:szCs w:val="21"/>
                    </w:rPr>
                    <w:t>22:43-22:44</w:t>
                  </w:r>
                </w:p>
              </w:tc>
              <w:tc>
                <w:tcPr>
                  <w:tcW w:w="715" w:type="dxa"/>
                  <w:tcBorders>
                    <w:tl2br w:val="nil"/>
                    <w:tr2bl w:val="nil"/>
                  </w:tcBorders>
                  <w:vAlign w:val="center"/>
                </w:tcPr>
                <w:p>
                  <w:pPr>
                    <w:jc w:val="center"/>
                    <w:rPr>
                      <w:szCs w:val="21"/>
                    </w:rPr>
                  </w:pPr>
                  <w:r>
                    <w:rPr>
                      <w:szCs w:val="21"/>
                    </w:rPr>
                    <w:t>49.5</w:t>
                  </w:r>
                </w:p>
              </w:tc>
              <w:tc>
                <w:tcPr>
                  <w:tcW w:w="1700" w:type="dxa"/>
                  <w:tcBorders>
                    <w:top w:val="single" w:color="auto" w:sz="4" w:space="0"/>
                    <w:bottom w:val="single" w:color="auto" w:sz="4" w:space="0"/>
                    <w:tl2br w:val="nil"/>
                    <w:tr2bl w:val="nil"/>
                  </w:tcBorders>
                  <w:vAlign w:val="center"/>
                </w:tcPr>
                <w:p>
                  <w:pPr>
                    <w:jc w:val="center"/>
                    <w:rPr>
                      <w:szCs w:val="21"/>
                    </w:rPr>
                  </w:pPr>
                  <w:r>
                    <w:rPr>
                      <w:szCs w:val="21"/>
                    </w:rPr>
                    <w:t>昼间：≤70dB(A)夜间：≤55dB(A)</w:t>
                  </w: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3#</w:t>
                  </w:r>
                </w:p>
              </w:tc>
              <w:tc>
                <w:tcPr>
                  <w:tcW w:w="446"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jc w:val="center"/>
                    <w:rPr>
                      <w:szCs w:val="21"/>
                    </w:rPr>
                  </w:pPr>
                  <w:r>
                    <w:rPr>
                      <w:szCs w:val="21"/>
                    </w:rPr>
                    <w:t>西厂界外1米处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13:21-13:22</w:t>
                  </w:r>
                </w:p>
              </w:tc>
              <w:tc>
                <w:tcPr>
                  <w:tcW w:w="827" w:type="dxa"/>
                  <w:tcBorders>
                    <w:bottom w:val="single" w:color="000000" w:sz="4" w:space="0"/>
                    <w:tl2br w:val="nil"/>
                    <w:tr2bl w:val="nil"/>
                  </w:tcBorders>
                  <w:vAlign w:val="center"/>
                </w:tcPr>
                <w:p>
                  <w:pPr>
                    <w:jc w:val="center"/>
                    <w:rPr>
                      <w:szCs w:val="21"/>
                    </w:rPr>
                  </w:pPr>
                  <w:r>
                    <w:rPr>
                      <w:szCs w:val="21"/>
                    </w:rPr>
                    <w:t>56.8</w:t>
                  </w:r>
                </w:p>
              </w:tc>
              <w:tc>
                <w:tcPr>
                  <w:tcW w:w="1294" w:type="dxa"/>
                  <w:tcBorders>
                    <w:tl2br w:val="nil"/>
                    <w:tr2bl w:val="nil"/>
                  </w:tcBorders>
                  <w:vAlign w:val="center"/>
                </w:tcPr>
                <w:p>
                  <w:pPr>
                    <w:jc w:val="center"/>
                    <w:rPr>
                      <w:szCs w:val="21"/>
                    </w:rPr>
                  </w:pPr>
                  <w:r>
                    <w:rPr>
                      <w:szCs w:val="21"/>
                    </w:rPr>
                    <w:t>22:51-22:52</w:t>
                  </w:r>
                </w:p>
              </w:tc>
              <w:tc>
                <w:tcPr>
                  <w:tcW w:w="715" w:type="dxa"/>
                  <w:tcBorders>
                    <w:tl2br w:val="nil"/>
                    <w:tr2bl w:val="nil"/>
                  </w:tcBorders>
                  <w:vAlign w:val="center"/>
                </w:tcPr>
                <w:p>
                  <w:pPr>
                    <w:jc w:val="center"/>
                    <w:rPr>
                      <w:szCs w:val="21"/>
                    </w:rPr>
                  </w:pPr>
                  <w:r>
                    <w:rPr>
                      <w:szCs w:val="21"/>
                    </w:rPr>
                    <w:t>46.4</w:t>
                  </w:r>
                </w:p>
              </w:tc>
              <w:tc>
                <w:tcPr>
                  <w:tcW w:w="1700" w:type="dxa"/>
                  <w:vMerge w:val="restart"/>
                  <w:tcBorders>
                    <w:top w:val="single" w:color="auto" w:sz="4" w:space="0"/>
                    <w:tl2br w:val="nil"/>
                    <w:tr2bl w:val="nil"/>
                  </w:tcBorders>
                  <w:vAlign w:val="center"/>
                </w:tcPr>
                <w:p>
                  <w:pPr>
                    <w:jc w:val="center"/>
                    <w:rPr>
                      <w:szCs w:val="21"/>
                    </w:rPr>
                  </w:pPr>
                  <w:r>
                    <w:rPr>
                      <w:szCs w:val="21"/>
                    </w:rPr>
                    <w:t>昼间：≤60dB(A)夜间：≤50dB(A)</w:t>
                  </w: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0" w:hRule="atLeast"/>
                <w:jc w:val="center"/>
              </w:trPr>
              <w:tc>
                <w:tcPr>
                  <w:tcW w:w="492" w:type="dxa"/>
                  <w:tcBorders>
                    <w:tl2br w:val="nil"/>
                    <w:tr2bl w:val="nil"/>
                  </w:tcBorders>
                  <w:vAlign w:val="center"/>
                </w:tcPr>
                <w:p>
                  <w:pPr>
                    <w:jc w:val="center"/>
                    <w:rPr>
                      <w:szCs w:val="21"/>
                    </w:rPr>
                  </w:pPr>
                  <w:r>
                    <w:rPr>
                      <w:szCs w:val="21"/>
                    </w:rPr>
                    <w:t>4#</w:t>
                  </w:r>
                </w:p>
              </w:tc>
              <w:tc>
                <w:tcPr>
                  <w:tcW w:w="446"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jc w:val="center"/>
                    <w:rPr>
                      <w:szCs w:val="21"/>
                    </w:rPr>
                  </w:pPr>
                  <w:r>
                    <w:rPr>
                      <w:szCs w:val="21"/>
                    </w:rPr>
                    <w:t>北厂界外1米处</w:t>
                  </w:r>
                </w:p>
              </w:tc>
              <w:tc>
                <w:tcPr>
                  <w:tcW w:w="1061" w:type="dxa"/>
                  <w:tcBorders>
                    <w:tl2br w:val="nil"/>
                    <w:tr2bl w:val="nil"/>
                  </w:tcBorders>
                  <w:vAlign w:val="center"/>
                </w:tcPr>
                <w:p>
                  <w:pPr>
                    <w:jc w:val="center"/>
                    <w:rPr>
                      <w:szCs w:val="21"/>
                    </w:rPr>
                  </w:pPr>
                  <w:r>
                    <w:rPr>
                      <w:szCs w:val="21"/>
                    </w:rPr>
                    <w:t>运行设备</w:t>
                  </w:r>
                </w:p>
              </w:tc>
              <w:tc>
                <w:tcPr>
                  <w:tcW w:w="1224" w:type="dxa"/>
                  <w:tcBorders>
                    <w:tl2br w:val="nil"/>
                    <w:tr2bl w:val="nil"/>
                  </w:tcBorders>
                  <w:vAlign w:val="center"/>
                </w:tcPr>
                <w:p>
                  <w:pPr>
                    <w:jc w:val="center"/>
                    <w:rPr>
                      <w:szCs w:val="21"/>
                    </w:rPr>
                  </w:pPr>
                  <w:r>
                    <w:rPr>
                      <w:szCs w:val="21"/>
                    </w:rPr>
                    <w:t>13:29-13:30</w:t>
                  </w:r>
                </w:p>
              </w:tc>
              <w:tc>
                <w:tcPr>
                  <w:tcW w:w="827" w:type="dxa"/>
                  <w:tcBorders>
                    <w:top w:val="single" w:color="000000" w:sz="4" w:space="0"/>
                    <w:bottom w:val="single" w:color="000000" w:sz="4" w:space="0"/>
                    <w:tl2br w:val="nil"/>
                    <w:tr2bl w:val="nil"/>
                  </w:tcBorders>
                  <w:vAlign w:val="center"/>
                </w:tcPr>
                <w:p>
                  <w:pPr>
                    <w:jc w:val="center"/>
                    <w:rPr>
                      <w:szCs w:val="21"/>
                    </w:rPr>
                  </w:pPr>
                  <w:r>
                    <w:rPr>
                      <w:szCs w:val="21"/>
                    </w:rPr>
                    <w:t>54.4</w:t>
                  </w:r>
                </w:p>
              </w:tc>
              <w:tc>
                <w:tcPr>
                  <w:tcW w:w="1294" w:type="dxa"/>
                  <w:tcBorders>
                    <w:tl2br w:val="nil"/>
                    <w:tr2bl w:val="nil"/>
                  </w:tcBorders>
                  <w:vAlign w:val="center"/>
                </w:tcPr>
                <w:p>
                  <w:pPr>
                    <w:jc w:val="center"/>
                    <w:rPr>
                      <w:szCs w:val="21"/>
                    </w:rPr>
                  </w:pPr>
                  <w:r>
                    <w:rPr>
                      <w:szCs w:val="21"/>
                    </w:rPr>
                    <w:t>22:57-22:58</w:t>
                  </w:r>
                </w:p>
              </w:tc>
              <w:tc>
                <w:tcPr>
                  <w:tcW w:w="715" w:type="dxa"/>
                  <w:tcBorders>
                    <w:tl2br w:val="nil"/>
                    <w:tr2bl w:val="nil"/>
                  </w:tcBorders>
                  <w:vAlign w:val="center"/>
                </w:tcPr>
                <w:p>
                  <w:pPr>
                    <w:jc w:val="center"/>
                    <w:rPr>
                      <w:szCs w:val="21"/>
                    </w:rPr>
                  </w:pPr>
                  <w:r>
                    <w:rPr>
                      <w:szCs w:val="21"/>
                    </w:rPr>
                    <w:t>45.7</w:t>
                  </w:r>
                </w:p>
              </w:tc>
              <w:tc>
                <w:tcPr>
                  <w:tcW w:w="1700" w:type="dxa"/>
                  <w:vMerge w:val="continue"/>
                  <w:tcBorders>
                    <w:top w:val="single" w:color="auto" w:sz="4" w:space="0"/>
                    <w:bottom w:val="single" w:color="auto" w:sz="4" w:space="0"/>
                    <w:tl2br w:val="nil"/>
                    <w:tr2bl w:val="nil"/>
                  </w:tcBorders>
                  <w:vAlign w:val="center"/>
                </w:tcPr>
                <w:p>
                  <w:pPr>
                    <w:jc w:val="center"/>
                    <w:rPr>
                      <w:szCs w:val="21"/>
                    </w:rPr>
                  </w:pPr>
                </w:p>
              </w:tc>
              <w:tc>
                <w:tcPr>
                  <w:tcW w:w="390" w:type="dxa"/>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1" w:hRule="atLeast"/>
                <w:jc w:val="center"/>
              </w:trPr>
              <w:tc>
                <w:tcPr>
                  <w:tcW w:w="492" w:type="dxa"/>
                  <w:tcBorders>
                    <w:tl2br w:val="nil"/>
                    <w:tr2bl w:val="nil"/>
                  </w:tcBorders>
                  <w:vAlign w:val="center"/>
                </w:tcPr>
                <w:p>
                  <w:pPr>
                    <w:jc w:val="center"/>
                    <w:rPr>
                      <w:szCs w:val="21"/>
                    </w:rPr>
                  </w:pPr>
                  <w:r>
                    <w:rPr>
                      <w:szCs w:val="21"/>
                    </w:rPr>
                    <w:t>备注</w:t>
                  </w:r>
                </w:p>
              </w:tc>
              <w:tc>
                <w:tcPr>
                  <w:tcW w:w="9277" w:type="dxa"/>
                  <w:gridSpan w:val="9"/>
                  <w:tcBorders>
                    <w:tl2br w:val="nil"/>
                    <w:tr2bl w:val="nil"/>
                  </w:tcBorders>
                  <w:vAlign w:val="center"/>
                </w:tcPr>
                <w:p>
                  <w:pPr>
                    <w:jc w:val="left"/>
                    <w:rPr>
                      <w:kern w:val="0"/>
                      <w:szCs w:val="21"/>
                    </w:rPr>
                  </w:pPr>
                  <w:r>
                    <w:rPr>
                      <w:szCs w:val="21"/>
                    </w:rPr>
                    <w:t>1、</w:t>
                  </w:r>
                  <w:r>
                    <w:rPr>
                      <w:kern w:val="0"/>
                      <w:szCs w:val="21"/>
                    </w:rPr>
                    <w:t>多功能声级计</w:t>
                  </w:r>
                  <w:r>
                    <w:rPr>
                      <w:szCs w:val="21"/>
                    </w:rPr>
                    <w:t>AWA6228+</w:t>
                  </w:r>
                  <w:r>
                    <w:rPr>
                      <w:kern w:val="0"/>
                      <w:szCs w:val="21"/>
                    </w:rPr>
                    <w:t>、</w:t>
                  </w:r>
                  <w:r>
                    <w:rPr>
                      <w:bCs/>
                      <w:szCs w:val="21"/>
                    </w:rPr>
                    <w:t>在检测前、后均用</w:t>
                  </w:r>
                  <w:r>
                    <w:rPr>
                      <w:kern w:val="0"/>
                      <w:szCs w:val="21"/>
                    </w:rPr>
                    <w:t>AWA6224F</w:t>
                  </w:r>
                  <w:r>
                    <w:rPr>
                      <w:bCs/>
                      <w:szCs w:val="21"/>
                    </w:rPr>
                    <w:t>进行了校核。</w:t>
                  </w:r>
                </w:p>
                <w:p>
                  <w:pPr>
                    <w:jc w:val="left"/>
                    <w:rPr>
                      <w:szCs w:val="21"/>
                    </w:rPr>
                  </w:pPr>
                  <w:r>
                    <w:rPr>
                      <w:szCs w:val="21"/>
                    </w:rPr>
                    <w:t>2、21日天气：晴，风向：西北，风速：3.0m/s；22日天气：晴，风向：南，风速：2.9m/s。</w:t>
                  </w:r>
                </w:p>
              </w:tc>
            </w:tr>
          </w:tbl>
          <w:p>
            <w:pPr>
              <w:adjustRightInd w:val="0"/>
              <w:snapToGrid w:val="0"/>
              <w:spacing w:line="360" w:lineRule="auto"/>
              <w:rPr>
                <w:rFonts w:asciiTheme="minorEastAsia" w:hAnsiTheme="minorEastAsia" w:eastAsiaTheme="minorEastAsia"/>
                <w:b/>
                <w:bCs/>
                <w:color w:val="000000"/>
                <w:sz w:val="24"/>
              </w:rPr>
            </w:pPr>
          </w:p>
          <w:p>
            <w:pPr>
              <w:adjustRightInd w:val="0"/>
              <w:snapToGri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结论：检测结果表明，201</w:t>
            </w:r>
            <w:r>
              <w:rPr>
                <w:rFonts w:hint="eastAsia" w:asciiTheme="minorEastAsia" w:hAnsiTheme="minorEastAsia" w:eastAsiaTheme="minorEastAsia"/>
                <w:color w:val="000000"/>
                <w:sz w:val="24"/>
              </w:rPr>
              <w:t>9</w:t>
            </w:r>
            <w:r>
              <w:rPr>
                <w:rFonts w:asciiTheme="minorEastAsia" w:hAnsiTheme="minorEastAsia" w:eastAsiaTheme="minorEastAsia"/>
                <w:color w:val="000000"/>
                <w:sz w:val="24"/>
              </w:rPr>
              <w:t>年</w:t>
            </w:r>
            <w:r>
              <w:rPr>
                <w:rFonts w:hint="eastAsia" w:asciiTheme="minorEastAsia" w:hAnsiTheme="minorEastAsia" w:eastAsiaTheme="minorEastAsia"/>
                <w:color w:val="000000"/>
                <w:sz w:val="24"/>
              </w:rPr>
              <w:t>5</w:t>
            </w:r>
            <w:r>
              <w:rPr>
                <w:rFonts w:asciiTheme="minorEastAsia" w:hAnsiTheme="minorEastAsia" w:eastAsiaTheme="minorEastAsia"/>
                <w:color w:val="000000"/>
                <w:sz w:val="24"/>
              </w:rPr>
              <w:t>月</w:t>
            </w:r>
            <w:r>
              <w:rPr>
                <w:rFonts w:hint="eastAsia" w:asciiTheme="minorEastAsia" w:hAnsiTheme="minorEastAsia" w:eastAsiaTheme="minorEastAsia"/>
                <w:color w:val="000000"/>
                <w:sz w:val="24"/>
              </w:rPr>
              <w:t>21</w:t>
            </w:r>
            <w:r>
              <w:rPr>
                <w:rFonts w:asciiTheme="minorEastAsia" w:hAnsiTheme="minorEastAsia" w:eastAsiaTheme="minorEastAsia"/>
                <w:color w:val="000000"/>
                <w:sz w:val="24"/>
              </w:rPr>
              <w:t>日、</w:t>
            </w:r>
            <w:r>
              <w:rPr>
                <w:rFonts w:hint="eastAsia" w:asciiTheme="minorEastAsia" w:hAnsiTheme="minorEastAsia" w:eastAsiaTheme="minorEastAsia"/>
                <w:color w:val="000000"/>
                <w:sz w:val="24"/>
              </w:rPr>
              <w:t>22</w:t>
            </w:r>
            <w:r>
              <w:rPr>
                <w:rFonts w:asciiTheme="minorEastAsia" w:hAnsiTheme="minorEastAsia" w:eastAsiaTheme="minorEastAsia"/>
                <w:color w:val="000000"/>
                <w:sz w:val="24"/>
              </w:rPr>
              <w:t>日</w:t>
            </w:r>
            <w:r>
              <w:rPr>
                <w:rFonts w:hint="eastAsia" w:asciiTheme="minorEastAsia" w:hAnsiTheme="minorEastAsia" w:eastAsiaTheme="minorEastAsia"/>
                <w:color w:val="000000"/>
                <w:sz w:val="24"/>
              </w:rPr>
              <w:t>该项目东、西、北厂界噪声为：昼间54.4 dB（A）～56.8 dB（A），夜间44.8dB（A）～47.8 dB（A），满足《工业企业厂界环境噪声排放标准》（GB12348-2008）中</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类标准值（</w:t>
            </w:r>
            <w:r>
              <w:rPr>
                <w:rFonts w:asciiTheme="minorEastAsia" w:hAnsiTheme="minorEastAsia" w:eastAsiaTheme="minorEastAsia"/>
                <w:sz w:val="24"/>
              </w:rPr>
              <w:t>昼间：≤60dB(A)夜间：≤50dB(A)）要求</w:t>
            </w:r>
            <w:r>
              <w:rPr>
                <w:rFonts w:hint="eastAsia" w:asciiTheme="minorEastAsia" w:hAnsiTheme="minorEastAsia" w:eastAsiaTheme="minorEastAsia"/>
                <w:color w:val="000000"/>
                <w:sz w:val="24"/>
              </w:rPr>
              <w:t>；南侧厂界噪声为：昼间62.8 dB（A）～65.7dB（A），夜间49.5dB（A）～51.0dB（A），满足</w:t>
            </w:r>
            <w:r>
              <w:rPr>
                <w:rFonts w:asciiTheme="minorEastAsia" w:hAnsiTheme="minorEastAsia" w:eastAsiaTheme="minorEastAsia"/>
                <w:color w:val="000000"/>
                <w:sz w:val="24"/>
              </w:rPr>
              <w:t>《工业企业厂界环境噪声排放标准》（GB12348-2008）中</w:t>
            </w:r>
            <w:r>
              <w:rPr>
                <w:rFonts w:hint="eastAsia" w:asciiTheme="minorEastAsia" w:hAnsiTheme="minorEastAsia" w:eastAsiaTheme="minorEastAsia"/>
                <w:color w:val="000000"/>
                <w:sz w:val="24"/>
              </w:rPr>
              <w:t>4</w:t>
            </w:r>
            <w:r>
              <w:rPr>
                <w:rFonts w:asciiTheme="minorEastAsia" w:hAnsiTheme="minorEastAsia" w:eastAsiaTheme="minorEastAsia"/>
                <w:color w:val="000000"/>
                <w:sz w:val="24"/>
              </w:rPr>
              <w:t>类标准（</w:t>
            </w:r>
            <w:r>
              <w:rPr>
                <w:rFonts w:asciiTheme="minorEastAsia" w:hAnsiTheme="minorEastAsia" w:eastAsiaTheme="minorEastAsia"/>
                <w:sz w:val="24"/>
              </w:rPr>
              <w:t>昼间：≤70dB(A)夜间：≤55dB(A)）要求。</w:t>
            </w:r>
          </w:p>
          <w:p>
            <w:pPr>
              <w:jc w:val="left"/>
              <w:rPr>
                <w:rFonts w:ascii="宋体" w:hAnsi="宋体"/>
                <w:color w:val="000000"/>
                <w:sz w:val="24"/>
              </w:rPr>
            </w:pPr>
          </w:p>
          <w:p>
            <w:pPr>
              <w:spacing w:line="440" w:lineRule="exact"/>
              <w:rPr>
                <w:rFonts w:ascii="宋体" w:hAnsi="宋体" w:cs="宋体"/>
                <w:sz w:val="24"/>
              </w:rPr>
            </w:pPr>
            <w:r>
              <w:rPr>
                <w:rFonts w:hint="eastAsia" w:ascii="宋体" w:hAnsi="宋体" w:cs="宋体"/>
                <w:color w:val="000000"/>
                <w:sz w:val="24"/>
              </w:rPr>
              <w:t>（4）</w:t>
            </w:r>
            <w:r>
              <w:rPr>
                <w:rFonts w:hint="eastAsia" w:ascii="宋体" w:hAnsi="宋体" w:cs="宋体"/>
                <w:sz w:val="24"/>
              </w:rPr>
              <w:t>本项目污染物排放总量为：</w:t>
            </w:r>
          </w:p>
          <w:p>
            <w:pPr>
              <w:spacing w:line="440" w:lineRule="exact"/>
              <w:rPr>
                <w:rFonts w:ascii="宋体" w:hAnsi="宋体" w:cs="宋体"/>
                <w:sz w:val="24"/>
              </w:rPr>
            </w:pPr>
            <w:r>
              <w:rPr>
                <w:rFonts w:hint="eastAsia" w:ascii="宋体" w:hAnsi="宋体" w:cs="宋体"/>
                <w:sz w:val="24"/>
              </w:rPr>
              <w:t>SO</w:t>
            </w:r>
            <w:r>
              <w:rPr>
                <w:rFonts w:hint="eastAsia" w:ascii="宋体" w:hAnsi="宋体" w:cs="宋体"/>
                <w:sz w:val="24"/>
                <w:vertAlign w:val="subscript"/>
              </w:rPr>
              <w:t>2</w:t>
            </w:r>
            <w:r>
              <w:rPr>
                <w:rFonts w:hint="eastAsia" w:ascii="宋体" w:hAnsi="宋体" w:cs="宋体"/>
                <w:sz w:val="24"/>
              </w:rPr>
              <w:t>：0t/a ，NOx：0t/a，COD：0t/a、NH</w:t>
            </w:r>
            <w:r>
              <w:rPr>
                <w:rFonts w:hint="eastAsia" w:ascii="宋体" w:hAnsi="宋体" w:cs="宋体"/>
                <w:sz w:val="24"/>
                <w:vertAlign w:val="subscript"/>
              </w:rPr>
              <w:t>3</w:t>
            </w:r>
            <w:r>
              <w:rPr>
                <w:rFonts w:hint="eastAsia" w:ascii="宋体" w:hAnsi="宋体" w:cs="宋体"/>
                <w:sz w:val="24"/>
              </w:rPr>
              <w:t>-N：0t/a；</w:t>
            </w:r>
          </w:p>
          <w:p/>
          <w:p>
            <w:pPr>
              <w:spacing w:line="360" w:lineRule="auto"/>
              <w:jc w:val="center"/>
              <w:rPr>
                <w:rFonts w:ascii="宋体" w:hAnsi="宋体"/>
                <w:b/>
                <w:sz w:val="24"/>
              </w:rPr>
            </w:pPr>
            <w:r>
              <w:rPr>
                <w:rFonts w:ascii="宋体" w:hAnsi="宋体"/>
                <w:b/>
                <w:sz w:val="24"/>
              </w:rPr>
              <w:t>项目废</w:t>
            </w:r>
            <w:r>
              <w:rPr>
                <w:rFonts w:hint="eastAsia" w:ascii="宋体" w:hAnsi="宋体"/>
                <w:b/>
                <w:sz w:val="24"/>
              </w:rPr>
              <w:t>气</w:t>
            </w:r>
            <w:r>
              <w:rPr>
                <w:rFonts w:ascii="宋体" w:hAnsi="宋体"/>
                <w:b/>
                <w:sz w:val="24"/>
              </w:rPr>
              <w:t>污染物排放总量计算</w:t>
            </w:r>
          </w:p>
          <w:tbl>
            <w:tblPr>
              <w:tblStyle w:val="12"/>
              <w:tblpPr w:leftFromText="180" w:rightFromText="180" w:vertAnchor="text" w:horzAnchor="page" w:tblpX="298" w:tblpY="105"/>
              <w:tblOverlap w:val="never"/>
              <w:tblW w:w="93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980"/>
              <w:gridCol w:w="2352"/>
              <w:gridCol w:w="1365"/>
              <w:gridCol w:w="2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978" w:type="dxa"/>
                  <w:gridSpan w:val="2"/>
                  <w:tcBorders>
                    <w:tl2br w:val="nil"/>
                    <w:tr2bl w:val="nil"/>
                  </w:tcBorders>
                  <w:vAlign w:val="center"/>
                </w:tcPr>
                <w:p>
                  <w:pPr>
                    <w:spacing w:line="400" w:lineRule="exact"/>
                    <w:jc w:val="center"/>
                    <w:rPr>
                      <w:rFonts w:ascii="宋体" w:hAnsi="宋体"/>
                      <w:szCs w:val="21"/>
                    </w:rPr>
                  </w:pPr>
                  <w:r>
                    <w:rPr>
                      <w:rFonts w:ascii="宋体" w:hAnsi="宋体"/>
                      <w:szCs w:val="21"/>
                    </w:rPr>
                    <w:t>项目</w:t>
                  </w:r>
                </w:p>
              </w:tc>
              <w:tc>
                <w:tcPr>
                  <w:tcW w:w="2352" w:type="dxa"/>
                  <w:tcBorders>
                    <w:tl2br w:val="nil"/>
                    <w:tr2bl w:val="nil"/>
                  </w:tcBorders>
                  <w:vAlign w:val="center"/>
                </w:tcPr>
                <w:p>
                  <w:pPr>
                    <w:autoSpaceDE w:val="0"/>
                    <w:autoSpaceDN w:val="0"/>
                    <w:adjustRightInd w:val="0"/>
                    <w:jc w:val="center"/>
                    <w:rPr>
                      <w:rFonts w:ascii="宋体" w:hAnsi="宋体"/>
                      <w:szCs w:val="21"/>
                    </w:rPr>
                  </w:pPr>
                  <w:r>
                    <w:rPr>
                      <w:rFonts w:ascii="宋体" w:hAnsi="宋体"/>
                      <w:szCs w:val="21"/>
                    </w:rPr>
                    <w:t>污染物排放速率(</w:t>
                  </w:r>
                  <w:r>
                    <w:rPr>
                      <w:rFonts w:hint="eastAsia" w:ascii="宋体" w:hAnsi="宋体"/>
                      <w:szCs w:val="21"/>
                    </w:rPr>
                    <w:t>kg</w:t>
                  </w:r>
                  <w:r>
                    <w:rPr>
                      <w:rFonts w:ascii="宋体" w:hAnsi="宋体"/>
                      <w:szCs w:val="21"/>
                    </w:rPr>
                    <w:t>/</w:t>
                  </w:r>
                  <w:r>
                    <w:rPr>
                      <w:rFonts w:hint="eastAsia" w:ascii="宋体" w:hAnsi="宋体"/>
                      <w:szCs w:val="21"/>
                    </w:rPr>
                    <w:t>h</w:t>
                  </w:r>
                  <w:r>
                    <w:rPr>
                      <w:rFonts w:ascii="宋体" w:hAnsi="宋体"/>
                      <w:szCs w:val="21"/>
                    </w:rPr>
                    <w:t>)</w:t>
                  </w:r>
                </w:p>
              </w:tc>
              <w:tc>
                <w:tcPr>
                  <w:tcW w:w="1365" w:type="dxa"/>
                  <w:tcBorders>
                    <w:tl2br w:val="nil"/>
                    <w:tr2bl w:val="nil"/>
                  </w:tcBorders>
                  <w:vAlign w:val="center"/>
                </w:tcPr>
                <w:p>
                  <w:pPr>
                    <w:jc w:val="center"/>
                    <w:rPr>
                      <w:rFonts w:ascii="宋体" w:hAnsi="宋体"/>
                      <w:szCs w:val="21"/>
                    </w:rPr>
                  </w:pPr>
                  <w:r>
                    <w:rPr>
                      <w:rFonts w:ascii="宋体" w:hAnsi="宋体"/>
                      <w:szCs w:val="21"/>
                    </w:rPr>
                    <w:t>运行时间（</w:t>
                  </w:r>
                  <w:r>
                    <w:rPr>
                      <w:rFonts w:hint="eastAsia" w:ascii="宋体" w:hAnsi="宋体"/>
                      <w:szCs w:val="21"/>
                    </w:rPr>
                    <w:t>h</w:t>
                  </w:r>
                  <w:r>
                    <w:rPr>
                      <w:rFonts w:ascii="宋体" w:hAnsi="宋体"/>
                      <w:szCs w:val="21"/>
                    </w:rPr>
                    <w:t>/a）</w:t>
                  </w:r>
                </w:p>
              </w:tc>
              <w:tc>
                <w:tcPr>
                  <w:tcW w:w="2660" w:type="dxa"/>
                  <w:tcBorders>
                    <w:tl2br w:val="nil"/>
                    <w:tr2bl w:val="nil"/>
                  </w:tcBorders>
                  <w:vAlign w:val="center"/>
                </w:tcPr>
                <w:p>
                  <w:pPr>
                    <w:ind w:firstLine="105" w:firstLineChars="50"/>
                    <w:jc w:val="center"/>
                    <w:rPr>
                      <w:rFonts w:ascii="宋体" w:hAnsi="宋体"/>
                      <w:szCs w:val="21"/>
                    </w:rPr>
                  </w:pPr>
                  <w:r>
                    <w:rPr>
                      <w:rFonts w:ascii="宋体" w:hAnsi="宋体"/>
                      <w:szCs w:val="21"/>
                    </w:rPr>
                    <w:t>污染物年排放量（t/a）</w:t>
                  </w:r>
                </w:p>
                <w:p>
                  <w:pPr>
                    <w:ind w:firstLine="105" w:firstLineChars="50"/>
                    <w:jc w:val="center"/>
                    <w:rPr>
                      <w:rFonts w:ascii="宋体" w:hAnsi="宋体"/>
                      <w:szCs w:val="21"/>
                    </w:rPr>
                  </w:pPr>
                  <w:r>
                    <w:rPr>
                      <w:rFonts w:ascii="宋体" w:hAnsi="宋体"/>
                      <w:szCs w:val="21"/>
                    </w:rPr>
                    <w:t>（小数点后保留3位）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998" w:type="dxa"/>
                  <w:tcBorders>
                    <w:tl2br w:val="nil"/>
                    <w:tr2bl w:val="nil"/>
                  </w:tcBorders>
                  <w:vAlign w:val="center"/>
                </w:tcPr>
                <w:p>
                  <w:pPr>
                    <w:spacing w:line="400" w:lineRule="exact"/>
                    <w:jc w:val="center"/>
                    <w:rPr>
                      <w:rFonts w:ascii="宋体" w:hAnsi="宋体"/>
                      <w:szCs w:val="21"/>
                    </w:rPr>
                  </w:pPr>
                  <w:r>
                    <w:rPr>
                      <w:szCs w:val="21"/>
                    </w:rPr>
                    <w:t>中频感应炉布袋除尘器出口</w:t>
                  </w:r>
                </w:p>
              </w:tc>
              <w:tc>
                <w:tcPr>
                  <w:tcW w:w="980" w:type="dxa"/>
                  <w:tcBorders>
                    <w:tl2br w:val="nil"/>
                    <w:tr2bl w:val="nil"/>
                  </w:tcBorders>
                  <w:vAlign w:val="center"/>
                </w:tcPr>
                <w:p>
                  <w:pPr>
                    <w:spacing w:line="400" w:lineRule="exact"/>
                    <w:jc w:val="center"/>
                    <w:rPr>
                      <w:rFonts w:ascii="宋体" w:hAnsi="宋体"/>
                      <w:szCs w:val="21"/>
                    </w:rPr>
                  </w:pPr>
                  <w:r>
                    <w:rPr>
                      <w:rFonts w:ascii="宋体" w:hAnsi="宋体"/>
                      <w:szCs w:val="21"/>
                    </w:rPr>
                    <w:t>颗粒物</w:t>
                  </w:r>
                </w:p>
              </w:tc>
              <w:tc>
                <w:tcPr>
                  <w:tcW w:w="2352" w:type="dxa"/>
                  <w:tcBorders>
                    <w:tl2br w:val="nil"/>
                    <w:tr2bl w:val="nil"/>
                  </w:tcBorders>
                  <w:vAlign w:val="center"/>
                </w:tcPr>
                <w:p>
                  <w:pPr>
                    <w:autoSpaceDE w:val="0"/>
                    <w:autoSpaceDN w:val="0"/>
                    <w:adjustRightInd w:val="0"/>
                    <w:jc w:val="center"/>
                    <w:rPr>
                      <w:rFonts w:ascii="宋体" w:hAnsi="宋体"/>
                      <w:szCs w:val="21"/>
                      <w:lang w:val="zh-CN"/>
                    </w:rPr>
                  </w:pPr>
                  <w:r>
                    <w:rPr>
                      <w:kern w:val="0"/>
                      <w:szCs w:val="21"/>
                    </w:rPr>
                    <w:t>0.052</w:t>
                  </w:r>
                </w:p>
              </w:tc>
              <w:tc>
                <w:tcPr>
                  <w:tcW w:w="1365" w:type="dxa"/>
                  <w:tcBorders>
                    <w:tl2br w:val="nil"/>
                    <w:tr2bl w:val="nil"/>
                  </w:tcBorders>
                  <w:vAlign w:val="center"/>
                </w:tcPr>
                <w:p>
                  <w:pPr>
                    <w:jc w:val="center"/>
                    <w:rPr>
                      <w:rFonts w:ascii="宋体" w:hAnsi="宋体"/>
                      <w:szCs w:val="21"/>
                    </w:rPr>
                  </w:pPr>
                  <w:r>
                    <w:rPr>
                      <w:rFonts w:hint="eastAsia" w:ascii="宋体" w:hAnsi="宋体"/>
                      <w:szCs w:val="21"/>
                    </w:rPr>
                    <w:t>3600</w:t>
                  </w:r>
                </w:p>
              </w:tc>
              <w:tc>
                <w:tcPr>
                  <w:tcW w:w="2660" w:type="dxa"/>
                  <w:tcBorders>
                    <w:tl2br w:val="nil"/>
                    <w:tr2bl w:val="nil"/>
                  </w:tcBorders>
                  <w:vAlign w:val="center"/>
                </w:tcPr>
                <w:p>
                  <w:pPr>
                    <w:ind w:firstLine="105" w:firstLineChars="50"/>
                    <w:jc w:val="center"/>
                    <w:rPr>
                      <w:rFonts w:ascii="宋体" w:hAnsi="宋体"/>
                      <w:szCs w:val="21"/>
                    </w:rPr>
                  </w:pPr>
                  <w:r>
                    <w:rPr>
                      <w:rFonts w:hint="eastAsia" w:ascii="宋体" w:hAnsi="宋体"/>
                      <w:szCs w:val="21"/>
                    </w:rPr>
                    <w:t>0.187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998" w:type="dxa"/>
                  <w:tcBorders>
                    <w:tl2br w:val="nil"/>
                    <w:tr2bl w:val="nil"/>
                  </w:tcBorders>
                  <w:vAlign w:val="center"/>
                </w:tcPr>
                <w:p>
                  <w:pPr>
                    <w:spacing w:line="400" w:lineRule="exact"/>
                    <w:jc w:val="center"/>
                    <w:rPr>
                      <w:rFonts w:ascii="宋体" w:hAnsi="宋体"/>
                      <w:szCs w:val="21"/>
                    </w:rPr>
                  </w:pPr>
                  <w:r>
                    <w:rPr>
                      <w:szCs w:val="21"/>
                    </w:rPr>
                    <w:t>铸件脱离、抛丸工序</w:t>
                  </w:r>
                </w:p>
              </w:tc>
              <w:tc>
                <w:tcPr>
                  <w:tcW w:w="980" w:type="dxa"/>
                  <w:tcBorders>
                    <w:tl2br w:val="nil"/>
                    <w:tr2bl w:val="nil"/>
                  </w:tcBorders>
                </w:tcPr>
                <w:p>
                  <w:r>
                    <w:rPr>
                      <w:rFonts w:ascii="宋体" w:hAnsi="宋体"/>
                      <w:szCs w:val="21"/>
                    </w:rPr>
                    <w:t>颗粒物</w:t>
                  </w:r>
                </w:p>
              </w:tc>
              <w:tc>
                <w:tcPr>
                  <w:tcW w:w="2352" w:type="dxa"/>
                  <w:tcBorders>
                    <w:tl2br w:val="nil"/>
                    <w:tr2bl w:val="nil"/>
                  </w:tcBorders>
                  <w:vAlign w:val="center"/>
                </w:tcPr>
                <w:p>
                  <w:pPr>
                    <w:autoSpaceDE w:val="0"/>
                    <w:autoSpaceDN w:val="0"/>
                    <w:adjustRightInd w:val="0"/>
                    <w:jc w:val="center"/>
                    <w:rPr>
                      <w:rFonts w:ascii="宋体" w:hAnsi="宋体"/>
                      <w:szCs w:val="21"/>
                      <w:lang w:val="zh-CN"/>
                    </w:rPr>
                  </w:pPr>
                  <w:r>
                    <w:rPr>
                      <w:rFonts w:hint="eastAsia" w:ascii="宋体" w:hAnsi="宋体"/>
                      <w:szCs w:val="21"/>
                      <w:lang w:val="zh-CN"/>
                    </w:rPr>
                    <w:t>0.058</w:t>
                  </w:r>
                </w:p>
              </w:tc>
              <w:tc>
                <w:tcPr>
                  <w:tcW w:w="1365" w:type="dxa"/>
                  <w:tcBorders>
                    <w:tl2br w:val="nil"/>
                    <w:tr2bl w:val="nil"/>
                  </w:tcBorders>
                  <w:vAlign w:val="center"/>
                </w:tcPr>
                <w:p>
                  <w:pPr>
                    <w:jc w:val="center"/>
                    <w:rPr>
                      <w:rFonts w:ascii="宋体" w:hAnsi="宋体"/>
                      <w:szCs w:val="21"/>
                    </w:rPr>
                  </w:pPr>
                  <w:r>
                    <w:rPr>
                      <w:rFonts w:hint="eastAsia" w:ascii="宋体" w:hAnsi="宋体"/>
                      <w:szCs w:val="21"/>
                    </w:rPr>
                    <w:t>3000</w:t>
                  </w:r>
                </w:p>
              </w:tc>
              <w:tc>
                <w:tcPr>
                  <w:tcW w:w="2660" w:type="dxa"/>
                  <w:tcBorders>
                    <w:tl2br w:val="nil"/>
                    <w:tr2bl w:val="nil"/>
                  </w:tcBorders>
                  <w:vAlign w:val="center"/>
                </w:tcPr>
                <w:p>
                  <w:pPr>
                    <w:ind w:firstLine="105" w:firstLineChars="50"/>
                    <w:jc w:val="center"/>
                    <w:rPr>
                      <w:rFonts w:ascii="宋体" w:hAnsi="宋体"/>
                      <w:szCs w:val="21"/>
                    </w:rPr>
                  </w:pPr>
                  <w:r>
                    <w:rPr>
                      <w:rFonts w:hint="eastAsia" w:ascii="宋体" w:hAnsi="宋体"/>
                      <w:szCs w:val="21"/>
                    </w:rPr>
                    <w:t>0.174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998" w:type="dxa"/>
                  <w:tcBorders>
                    <w:tl2br w:val="nil"/>
                    <w:tr2bl w:val="nil"/>
                  </w:tcBorders>
                  <w:vAlign w:val="center"/>
                </w:tcPr>
                <w:p>
                  <w:pPr>
                    <w:spacing w:line="400" w:lineRule="exact"/>
                    <w:jc w:val="center"/>
                    <w:rPr>
                      <w:rFonts w:ascii="宋体" w:hAnsi="宋体"/>
                      <w:szCs w:val="21"/>
                    </w:rPr>
                  </w:pPr>
                  <w:r>
                    <w:rPr>
                      <w:rFonts w:cs="宋体" w:asciiTheme="minorEastAsia" w:hAnsiTheme="minorEastAsia" w:eastAsiaTheme="minorEastAsia"/>
                      <w:sz w:val="24"/>
                    </w:rPr>
                    <w:t>造型及浇铸工序</w:t>
                  </w:r>
                  <w:r>
                    <w:rPr>
                      <w:szCs w:val="21"/>
                    </w:rPr>
                    <w:t>布袋除尘器出口</w:t>
                  </w:r>
                </w:p>
              </w:tc>
              <w:tc>
                <w:tcPr>
                  <w:tcW w:w="980" w:type="dxa"/>
                  <w:tcBorders>
                    <w:tl2br w:val="nil"/>
                    <w:tr2bl w:val="nil"/>
                  </w:tcBorders>
                </w:tcPr>
                <w:p>
                  <w:r>
                    <w:rPr>
                      <w:rFonts w:ascii="宋体" w:hAnsi="宋体"/>
                      <w:szCs w:val="21"/>
                    </w:rPr>
                    <w:t>颗粒物</w:t>
                  </w:r>
                </w:p>
              </w:tc>
              <w:tc>
                <w:tcPr>
                  <w:tcW w:w="2352" w:type="dxa"/>
                  <w:tcBorders>
                    <w:tl2br w:val="nil"/>
                    <w:tr2bl w:val="nil"/>
                  </w:tcBorders>
                  <w:vAlign w:val="center"/>
                </w:tcPr>
                <w:p>
                  <w:pPr>
                    <w:autoSpaceDE w:val="0"/>
                    <w:autoSpaceDN w:val="0"/>
                    <w:adjustRightInd w:val="0"/>
                    <w:jc w:val="center"/>
                    <w:rPr>
                      <w:rFonts w:ascii="宋体" w:hAnsi="宋体"/>
                      <w:szCs w:val="21"/>
                      <w:lang w:val="zh-CN"/>
                    </w:rPr>
                  </w:pPr>
                  <w:r>
                    <w:rPr>
                      <w:rFonts w:hint="eastAsia" w:ascii="宋体" w:hAnsi="宋体"/>
                      <w:szCs w:val="21"/>
                      <w:lang w:val="zh-CN"/>
                    </w:rPr>
                    <w:t>0.039</w:t>
                  </w:r>
                </w:p>
              </w:tc>
              <w:tc>
                <w:tcPr>
                  <w:tcW w:w="1365" w:type="dxa"/>
                  <w:tcBorders>
                    <w:tl2br w:val="nil"/>
                    <w:tr2bl w:val="nil"/>
                  </w:tcBorders>
                  <w:vAlign w:val="center"/>
                </w:tcPr>
                <w:p>
                  <w:pPr>
                    <w:jc w:val="center"/>
                    <w:rPr>
                      <w:rFonts w:ascii="宋体" w:hAnsi="宋体"/>
                      <w:szCs w:val="21"/>
                    </w:rPr>
                  </w:pPr>
                  <w:r>
                    <w:rPr>
                      <w:rFonts w:hint="eastAsia" w:ascii="宋体" w:hAnsi="宋体"/>
                      <w:szCs w:val="21"/>
                    </w:rPr>
                    <w:t>3600</w:t>
                  </w:r>
                </w:p>
              </w:tc>
              <w:tc>
                <w:tcPr>
                  <w:tcW w:w="2660" w:type="dxa"/>
                  <w:tcBorders>
                    <w:tl2br w:val="nil"/>
                    <w:tr2bl w:val="nil"/>
                  </w:tcBorders>
                  <w:vAlign w:val="center"/>
                </w:tcPr>
                <w:p>
                  <w:pPr>
                    <w:ind w:firstLine="105" w:firstLineChars="50"/>
                    <w:jc w:val="center"/>
                    <w:rPr>
                      <w:rFonts w:ascii="宋体" w:hAnsi="宋体"/>
                      <w:szCs w:val="21"/>
                    </w:rPr>
                  </w:pPr>
                  <w:r>
                    <w:rPr>
                      <w:rFonts w:hint="eastAsia" w:ascii="宋体" w:hAnsi="宋体"/>
                      <w:szCs w:val="21"/>
                    </w:rPr>
                    <w:t>0.140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98" w:type="dxa"/>
                  <w:tcBorders>
                    <w:top w:val="single" w:color="000000" w:sz="4" w:space="0"/>
                    <w:bottom w:val="single" w:color="000000" w:sz="4" w:space="0"/>
                    <w:tl2br w:val="nil"/>
                    <w:tr2bl w:val="nil"/>
                  </w:tcBorders>
                  <w:vAlign w:val="center"/>
                </w:tcPr>
                <w:p>
                  <w:pPr>
                    <w:widowControl/>
                    <w:spacing w:line="260" w:lineRule="exact"/>
                    <w:jc w:val="center"/>
                    <w:rPr>
                      <w:rFonts w:ascii="宋体" w:hAnsi="宋体" w:cs="宋体"/>
                      <w:szCs w:val="21"/>
                    </w:rPr>
                  </w:pPr>
                  <w:r>
                    <w:rPr>
                      <w:rFonts w:cs="宋体" w:asciiTheme="minorEastAsia" w:hAnsiTheme="minorEastAsia" w:eastAsiaTheme="minorEastAsia"/>
                      <w:sz w:val="24"/>
                    </w:rPr>
                    <w:t>造型及浇铸工序净化后</w:t>
                  </w:r>
                  <w:r>
                    <w:rPr>
                      <w:rFonts w:hint="eastAsia" w:ascii="宋体" w:hAnsi="宋体" w:cs="宋体"/>
                      <w:szCs w:val="21"/>
                    </w:rPr>
                    <w:t>废气出口</w:t>
                  </w:r>
                </w:p>
              </w:tc>
              <w:tc>
                <w:tcPr>
                  <w:tcW w:w="980" w:type="dxa"/>
                  <w:tcBorders>
                    <w:top w:val="single" w:color="000000" w:sz="4" w:space="0"/>
                    <w:tl2br w:val="nil"/>
                    <w:tr2bl w:val="nil"/>
                  </w:tcBorders>
                  <w:vAlign w:val="center"/>
                </w:tcPr>
                <w:p>
                  <w:pPr>
                    <w:spacing w:line="240" w:lineRule="exact"/>
                    <w:jc w:val="center"/>
                    <w:rPr>
                      <w:rFonts w:ascii="宋体" w:hAnsi="宋体" w:cs="宋体"/>
                      <w:szCs w:val="21"/>
                    </w:rPr>
                  </w:pPr>
                  <w:r>
                    <w:rPr>
                      <w:rFonts w:hint="eastAsia" w:ascii="宋体" w:hAnsi="宋体" w:cs="宋体"/>
                      <w:szCs w:val="21"/>
                    </w:rPr>
                    <w:t>非甲烷总烃</w:t>
                  </w:r>
                </w:p>
              </w:tc>
              <w:tc>
                <w:tcPr>
                  <w:tcW w:w="2352" w:type="dxa"/>
                  <w:tcBorders>
                    <w:tl2br w:val="nil"/>
                    <w:tr2bl w:val="nil"/>
                  </w:tcBorders>
                  <w:vAlign w:val="center"/>
                </w:tcPr>
                <w:p>
                  <w:pPr>
                    <w:spacing w:line="400" w:lineRule="exact"/>
                    <w:jc w:val="center"/>
                    <w:rPr>
                      <w:rFonts w:ascii="宋体" w:hAnsi="宋体" w:cs="宋体"/>
                      <w:szCs w:val="21"/>
                    </w:rPr>
                  </w:pPr>
                  <w:r>
                    <w:rPr>
                      <w:rFonts w:hint="eastAsia" w:ascii="宋体" w:hAnsi="宋体" w:cs="宋体"/>
                      <w:szCs w:val="21"/>
                    </w:rPr>
                    <w:t>0.0072</w:t>
                  </w:r>
                </w:p>
              </w:tc>
              <w:tc>
                <w:tcPr>
                  <w:tcW w:w="1365" w:type="dxa"/>
                  <w:tcBorders>
                    <w:top w:val="single" w:color="000000" w:sz="4" w:space="0"/>
                    <w:tl2br w:val="nil"/>
                    <w:tr2bl w:val="nil"/>
                  </w:tcBorders>
                  <w:vAlign w:val="center"/>
                </w:tcPr>
                <w:p>
                  <w:pPr>
                    <w:spacing w:line="400" w:lineRule="exact"/>
                    <w:jc w:val="center"/>
                    <w:rPr>
                      <w:rFonts w:ascii="宋体" w:hAnsi="宋体" w:cs="宋体"/>
                      <w:szCs w:val="21"/>
                    </w:rPr>
                  </w:pPr>
                  <w:r>
                    <w:rPr>
                      <w:rFonts w:hint="eastAsia" w:ascii="宋体" w:hAnsi="宋体" w:cs="宋体"/>
                      <w:szCs w:val="21"/>
                    </w:rPr>
                    <w:t>3600</w:t>
                  </w:r>
                </w:p>
              </w:tc>
              <w:tc>
                <w:tcPr>
                  <w:tcW w:w="2660" w:type="dxa"/>
                  <w:tcBorders>
                    <w:tl2br w:val="nil"/>
                    <w:tr2bl w:val="nil"/>
                  </w:tcBorders>
                  <w:vAlign w:val="center"/>
                </w:tcPr>
                <w:p>
                  <w:pPr>
                    <w:widowControl/>
                    <w:jc w:val="center"/>
                    <w:textAlignment w:val="center"/>
                    <w:rPr>
                      <w:rFonts w:ascii="宋体" w:hAnsi="宋体" w:cs="宋体"/>
                      <w:szCs w:val="21"/>
                    </w:rPr>
                  </w:pPr>
                  <w:r>
                    <w:rPr>
                      <w:rFonts w:hint="eastAsia" w:ascii="宋体" w:hAnsi="宋体" w:cs="宋体"/>
                      <w:szCs w:val="21"/>
                    </w:rPr>
                    <w:t>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78" w:type="dxa"/>
                  <w:gridSpan w:val="2"/>
                  <w:tcBorders>
                    <w:tl2br w:val="nil"/>
                    <w:tr2bl w:val="nil"/>
                  </w:tcBorders>
                  <w:vAlign w:val="center"/>
                </w:tcPr>
                <w:p>
                  <w:pPr>
                    <w:spacing w:line="280" w:lineRule="exact"/>
                    <w:jc w:val="center"/>
                    <w:rPr>
                      <w:rFonts w:ascii="宋体" w:hAnsi="宋体"/>
                      <w:szCs w:val="21"/>
                    </w:rPr>
                  </w:pPr>
                  <w:r>
                    <w:rPr>
                      <w:rFonts w:ascii="宋体" w:hAnsi="宋体"/>
                      <w:szCs w:val="21"/>
                    </w:rPr>
                    <w:t>核算</w:t>
                  </w:r>
                </w:p>
                <w:p>
                  <w:pPr>
                    <w:spacing w:line="280" w:lineRule="exact"/>
                    <w:jc w:val="center"/>
                    <w:rPr>
                      <w:rFonts w:ascii="宋体" w:hAnsi="宋体"/>
                      <w:szCs w:val="21"/>
                    </w:rPr>
                  </w:pPr>
                  <w:r>
                    <w:rPr>
                      <w:rFonts w:ascii="宋体" w:hAnsi="宋体"/>
                      <w:szCs w:val="21"/>
                    </w:rPr>
                    <w:t>公式</w:t>
                  </w:r>
                </w:p>
              </w:tc>
              <w:tc>
                <w:tcPr>
                  <w:tcW w:w="6377" w:type="dxa"/>
                  <w:gridSpan w:val="3"/>
                  <w:tcBorders>
                    <w:tl2br w:val="nil"/>
                    <w:tr2bl w:val="nil"/>
                  </w:tcBorders>
                  <w:vAlign w:val="center"/>
                </w:tcPr>
                <w:p>
                  <w:pPr>
                    <w:spacing w:line="400" w:lineRule="exact"/>
                    <w:jc w:val="center"/>
                    <w:rPr>
                      <w:rFonts w:ascii="宋体" w:hAnsi="宋体"/>
                      <w:szCs w:val="21"/>
                    </w:rPr>
                  </w:pPr>
                  <w:r>
                    <w:rPr>
                      <w:rFonts w:ascii="宋体" w:hAnsi="宋体"/>
                      <w:szCs w:val="21"/>
                    </w:rPr>
                    <w:t>污染物排放量（t/a）=污染物排放速率(</w:t>
                  </w:r>
                  <w:r>
                    <w:rPr>
                      <w:rFonts w:hint="eastAsia" w:ascii="宋体" w:hAnsi="宋体"/>
                      <w:szCs w:val="21"/>
                    </w:rPr>
                    <w:t>kg</w:t>
                  </w:r>
                  <w:r>
                    <w:rPr>
                      <w:rFonts w:ascii="宋体" w:hAnsi="宋体"/>
                      <w:szCs w:val="21"/>
                    </w:rPr>
                    <w:t>/</w:t>
                  </w:r>
                  <w:r>
                    <w:rPr>
                      <w:rFonts w:hint="eastAsia" w:ascii="宋体" w:hAnsi="宋体"/>
                      <w:szCs w:val="21"/>
                    </w:rPr>
                    <w:t>h</w:t>
                  </w:r>
                  <w:r>
                    <w:rPr>
                      <w:rFonts w:ascii="宋体" w:hAnsi="宋体"/>
                      <w:szCs w:val="21"/>
                    </w:rPr>
                    <w:t>)*生产时间（</w:t>
                  </w:r>
                  <w:r>
                    <w:rPr>
                      <w:rFonts w:hint="eastAsia" w:ascii="宋体" w:hAnsi="宋体"/>
                      <w:szCs w:val="21"/>
                    </w:rPr>
                    <w:t>h</w:t>
                  </w:r>
                  <w:r>
                    <w:rPr>
                      <w:rFonts w:ascii="宋体" w:hAnsi="宋体"/>
                      <w:szCs w:val="21"/>
                    </w:rPr>
                    <w:t>/a）/10</w:t>
                  </w:r>
                  <w:r>
                    <w:rPr>
                      <w:rFonts w:hint="eastAsia" w:ascii="宋体" w:hAnsi="宋体"/>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978" w:type="dxa"/>
                  <w:gridSpan w:val="2"/>
                  <w:tcBorders>
                    <w:tl2br w:val="nil"/>
                    <w:tr2bl w:val="nil"/>
                  </w:tcBorders>
                  <w:vAlign w:val="center"/>
                </w:tcPr>
                <w:p>
                  <w:pPr>
                    <w:spacing w:line="280" w:lineRule="exact"/>
                    <w:jc w:val="center"/>
                    <w:rPr>
                      <w:rFonts w:ascii="宋体" w:hAnsi="宋体"/>
                      <w:szCs w:val="21"/>
                    </w:rPr>
                  </w:pPr>
                  <w:r>
                    <w:rPr>
                      <w:rFonts w:ascii="宋体" w:hAnsi="宋体"/>
                      <w:szCs w:val="21"/>
                    </w:rPr>
                    <w:t>核算</w:t>
                  </w:r>
                </w:p>
                <w:p>
                  <w:pPr>
                    <w:spacing w:line="280" w:lineRule="exact"/>
                    <w:jc w:val="center"/>
                    <w:rPr>
                      <w:rFonts w:ascii="宋体" w:hAnsi="宋体"/>
                      <w:szCs w:val="21"/>
                    </w:rPr>
                  </w:pPr>
                  <w:r>
                    <w:rPr>
                      <w:rFonts w:ascii="宋体" w:hAnsi="宋体"/>
                      <w:szCs w:val="21"/>
                    </w:rPr>
                    <w:t>结果</w:t>
                  </w:r>
                </w:p>
              </w:tc>
              <w:tc>
                <w:tcPr>
                  <w:tcW w:w="6377" w:type="dxa"/>
                  <w:gridSpan w:val="3"/>
                  <w:tcBorders>
                    <w:tl2br w:val="nil"/>
                    <w:tr2bl w:val="nil"/>
                  </w:tcBorders>
                  <w:vAlign w:val="center"/>
                </w:tcPr>
                <w:p>
                  <w:pPr>
                    <w:spacing w:line="240" w:lineRule="exact"/>
                    <w:jc w:val="left"/>
                    <w:rPr>
                      <w:rFonts w:ascii="宋体" w:hAnsi="宋体"/>
                      <w:szCs w:val="21"/>
                    </w:rPr>
                  </w:pPr>
                  <w:r>
                    <w:rPr>
                      <w:rFonts w:ascii="宋体" w:hAnsi="宋体"/>
                      <w:szCs w:val="21"/>
                    </w:rPr>
                    <w:t>由公式核算可知，项目污染物年排放量分别为：颗粒物：</w:t>
                  </w:r>
                  <w:r>
                    <w:rPr>
                      <w:rFonts w:hint="eastAsia" w:ascii="宋体" w:hAnsi="宋体"/>
                      <w:szCs w:val="21"/>
                    </w:rPr>
                    <w:t>0.501 t/a、非甲烷总烃：0.026t/a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978" w:type="dxa"/>
                  <w:gridSpan w:val="2"/>
                  <w:tcBorders>
                    <w:tl2br w:val="nil"/>
                    <w:tr2bl w:val="nil"/>
                  </w:tcBorders>
                  <w:vAlign w:val="center"/>
                </w:tcPr>
                <w:p>
                  <w:pPr>
                    <w:spacing w:line="280" w:lineRule="exact"/>
                    <w:jc w:val="center"/>
                    <w:rPr>
                      <w:rFonts w:ascii="宋体" w:hAnsi="宋体"/>
                      <w:szCs w:val="21"/>
                    </w:rPr>
                  </w:pPr>
                  <w:r>
                    <w:rPr>
                      <w:rFonts w:hint="eastAsia" w:ascii="宋体" w:hAnsi="宋体"/>
                      <w:szCs w:val="21"/>
                    </w:rPr>
                    <w:t>备注</w:t>
                  </w:r>
                </w:p>
              </w:tc>
              <w:tc>
                <w:tcPr>
                  <w:tcW w:w="6377" w:type="dxa"/>
                  <w:gridSpan w:val="3"/>
                  <w:tcBorders>
                    <w:tl2br w:val="nil"/>
                    <w:tr2bl w:val="nil"/>
                  </w:tcBorders>
                  <w:vAlign w:val="center"/>
                </w:tcPr>
                <w:p>
                  <w:pPr>
                    <w:spacing w:line="240" w:lineRule="exact"/>
                    <w:jc w:val="left"/>
                    <w:rPr>
                      <w:rFonts w:ascii="宋体" w:hAnsi="宋体"/>
                      <w:szCs w:val="21"/>
                    </w:rPr>
                  </w:pPr>
                </w:p>
              </w:tc>
            </w:tr>
          </w:tbl>
          <w:p>
            <w:pPr>
              <w:jc w:val="left"/>
              <w:rPr>
                <w:szCs w:val="21"/>
              </w:rPr>
            </w:pPr>
          </w:p>
          <w:p>
            <w:pPr>
              <w:adjustRightInd w:val="0"/>
              <w:snapToGrid w:val="0"/>
              <w:spacing w:line="400" w:lineRule="exact"/>
              <w:rPr>
                <w:rFonts w:ascii="宋体" w:hAnsi="宋体"/>
                <w:b/>
                <w:bCs/>
                <w:color w:val="000000"/>
                <w:sz w:val="24"/>
              </w:rPr>
            </w:pPr>
          </w:p>
        </w:tc>
      </w:tr>
    </w:tbl>
    <w:p>
      <w:pPr>
        <w:widowControl/>
        <w:jc w:val="left"/>
        <w:rPr>
          <w:rFonts w:ascii="宋体" w:hAnsi="宋体"/>
          <w:b/>
          <w:color w:val="000000"/>
          <w:sz w:val="24"/>
        </w:rPr>
      </w:pPr>
      <w:r>
        <w:rPr>
          <w:rFonts w:ascii="宋体" w:hAnsi="宋体"/>
          <w:b/>
          <w:color w:val="000000"/>
          <w:sz w:val="24"/>
        </w:rPr>
        <w:br w:type="page"/>
      </w:r>
    </w:p>
    <w:p>
      <w:pPr>
        <w:rPr>
          <w:rFonts w:ascii="宋体" w:hAnsi="宋体"/>
          <w:b/>
          <w:color w:val="000000"/>
          <w:sz w:val="24"/>
        </w:rPr>
      </w:pPr>
      <w:r>
        <w:rPr>
          <w:rFonts w:ascii="宋体" w:hAnsi="宋体"/>
          <w:b/>
          <w:color w:val="000000"/>
          <w:sz w:val="24"/>
        </w:rPr>
        <w:t>表八</w:t>
      </w:r>
    </w:p>
    <w:tbl>
      <w:tblPr>
        <w:tblStyle w:val="13"/>
        <w:tblW w:w="996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9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962" w:type="dxa"/>
          </w:tcPr>
          <w:p>
            <w:pPr>
              <w:spacing w:line="360" w:lineRule="auto"/>
              <w:rPr>
                <w:rFonts w:asciiTheme="minorEastAsia" w:hAnsiTheme="minorEastAsia" w:eastAsiaTheme="minorEastAsia"/>
                <w:b/>
                <w:bCs/>
                <w:sz w:val="24"/>
              </w:rPr>
            </w:pPr>
            <w:r>
              <w:rPr>
                <w:rFonts w:asciiTheme="minorEastAsia" w:hAnsiTheme="minorEastAsia" w:eastAsiaTheme="minorEastAsia"/>
                <w:b/>
                <w:bCs/>
                <w:sz w:val="24"/>
              </w:rPr>
              <w:t>验收监测结论：</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卢龙县铧宠铸造有限公司技术改造项目</w:t>
            </w:r>
            <w:r>
              <w:rPr>
                <w:rFonts w:asciiTheme="minorEastAsia" w:hAnsiTheme="minorEastAsia" w:eastAsiaTheme="minorEastAsia"/>
                <w:sz w:val="24"/>
              </w:rPr>
              <w:t>执行了《中华人民共和国环境保护法》和《建设项目环境保护管理条例》的要求，履行了环境影响审批手续，有关档案齐全，环保投资及环保设施基本按照环评和设计要求实施。经过现场调查，本次验收期间企业生产负荷</w:t>
            </w:r>
            <w:r>
              <w:rPr>
                <w:rFonts w:hint="eastAsia" w:asciiTheme="minorEastAsia" w:hAnsiTheme="minorEastAsia" w:eastAsiaTheme="minorEastAsia"/>
                <w:sz w:val="24"/>
              </w:rPr>
              <w:t>7</w:t>
            </w:r>
            <w:r>
              <w:rPr>
                <w:rFonts w:asciiTheme="minorEastAsia" w:hAnsiTheme="minorEastAsia" w:eastAsiaTheme="minorEastAsia"/>
                <w:sz w:val="24"/>
              </w:rPr>
              <w:t>5%，满足试生产阶段工况稳定、生产负荷达75%以上的要求。</w:t>
            </w:r>
          </w:p>
          <w:p>
            <w:pPr>
              <w:adjustRightInd w:val="0"/>
              <w:snapToGrid w:val="0"/>
              <w:spacing w:line="360" w:lineRule="auto"/>
              <w:ind w:firstLine="424" w:firstLineChars="177"/>
              <w:rPr>
                <w:rFonts w:asciiTheme="minorEastAsia" w:hAnsiTheme="minorEastAsia" w:eastAsiaTheme="minorEastAsia"/>
                <w:color w:val="000000"/>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hint="eastAsia" w:asciiTheme="minorEastAsia" w:hAnsiTheme="minorEastAsia" w:eastAsiaTheme="minorEastAsia"/>
                <w:color w:val="000000"/>
                <w:sz w:val="24"/>
              </w:rPr>
              <w:t>中频电炉产生的颗粒物经</w:t>
            </w:r>
            <w:r>
              <w:rPr>
                <w:rFonts w:cs="宋体" w:asciiTheme="minorEastAsia" w:hAnsiTheme="minorEastAsia" w:eastAsiaTheme="minorEastAsia"/>
                <w:sz w:val="24"/>
              </w:rPr>
              <w:t>中频电炉上方设置的顶吸式集气罩收集，经布袋除尘器(2台中频电炉一备一用,共用1套布袋除尘器)处理后经15高排气筒(P1)排放</w:t>
            </w:r>
            <w:r>
              <w:rPr>
                <w:rFonts w:hint="eastAsia" w:asciiTheme="minorEastAsia" w:hAnsiTheme="minorEastAsia" w:eastAsiaTheme="minorEastAsia"/>
                <w:color w:val="000000"/>
                <w:sz w:val="24"/>
              </w:rPr>
              <w:t>，最大排放浓度为2.6</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asciiTheme="minorEastAsia" w:hAnsiTheme="minorEastAsia" w:eastAsiaTheme="minorEastAsia"/>
                <w:color w:val="000000"/>
                <w:sz w:val="24"/>
              </w:rPr>
              <w:t>，满足《京津冀及周边2</w:t>
            </w:r>
            <w:r>
              <w:rPr>
                <w:rFonts w:asciiTheme="minorEastAsia" w:hAnsiTheme="minorEastAsia" w:eastAsiaTheme="minorEastAsia"/>
                <w:color w:val="000000"/>
                <w:sz w:val="24"/>
              </w:rPr>
              <w:t>018-2019</w:t>
            </w:r>
            <w:r>
              <w:rPr>
                <w:rFonts w:hint="eastAsia" w:asciiTheme="minorEastAsia" w:hAnsiTheme="minorEastAsia" w:eastAsiaTheme="minorEastAsia"/>
                <w:color w:val="000000"/>
                <w:sz w:val="24"/>
              </w:rPr>
              <w:t>年秋冬季大气污染综合治理攻坚行动方案》中第1</w:t>
            </w:r>
            <w:r>
              <w:rPr>
                <w:rFonts w:asciiTheme="minorEastAsia" w:hAnsiTheme="minorEastAsia" w:eastAsiaTheme="minorEastAsia"/>
                <w:color w:val="000000"/>
                <w:sz w:val="24"/>
              </w:rPr>
              <w:t>8</w:t>
            </w:r>
            <w:r>
              <w:rPr>
                <w:rFonts w:hint="eastAsia" w:asciiTheme="minorEastAsia" w:hAnsiTheme="minorEastAsia" w:eastAsiaTheme="minorEastAsia"/>
                <w:color w:val="000000"/>
                <w:sz w:val="24"/>
              </w:rPr>
              <w:t>条“实施工业炉窑深度治理”限值要求，即颗粒物排放限值≤3</w:t>
            </w:r>
            <w:r>
              <w:rPr>
                <w:rFonts w:asciiTheme="minorEastAsia" w:hAnsiTheme="minorEastAsia" w:eastAsiaTheme="minorEastAsia"/>
                <w:color w:val="000000"/>
                <w:sz w:val="24"/>
              </w:rPr>
              <w:t>0</w:t>
            </w:r>
            <w:r>
              <w:rPr>
                <w:rFonts w:hint="eastAsia" w:asciiTheme="minorEastAsia" w:hAnsiTheme="minorEastAsia" w:eastAsiaTheme="minorEastAsia"/>
                <w:color w:val="000000"/>
                <w:sz w:val="24"/>
              </w:rPr>
              <w:t>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r>
              <w:rPr>
                <w:rFonts w:cs="宋体" w:asciiTheme="minorEastAsia" w:hAnsiTheme="minorEastAsia" w:eastAsiaTheme="minorEastAsia"/>
                <w:sz w:val="24"/>
              </w:rPr>
              <w:t>造型及浇铸工序产生的颗粒物，经顶吸式集气罩收集后,共用1套“过滤棉+V光氧催化装置+活性炭吸附装置”处理，经1根15m高排气筒(P2)排放,</w:t>
            </w:r>
            <w:r>
              <w:rPr>
                <w:rFonts w:hint="eastAsia" w:asciiTheme="minorEastAsia" w:hAnsiTheme="minorEastAsia" w:eastAsiaTheme="minorEastAsia"/>
                <w:color w:val="000000"/>
                <w:sz w:val="24"/>
              </w:rPr>
              <w:t xml:space="preserve"> 最大排放浓度为8.7</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asciiTheme="minorEastAsia" w:hAnsiTheme="minorEastAsia" w:eastAsiaTheme="minorEastAsia"/>
                <w:color w:val="000000"/>
                <w:sz w:val="24"/>
              </w:rPr>
              <w:t>，</w:t>
            </w:r>
            <w:r>
              <w:rPr>
                <w:rFonts w:cs="宋体" w:asciiTheme="minorEastAsia" w:hAnsiTheme="minorEastAsia" w:eastAsiaTheme="minorEastAsia"/>
                <w:sz w:val="24"/>
              </w:rPr>
              <w:t>铸件脱离、抛丸工序产生的废气，经自带的布袋除尘器处理后,经15m高排气筒(P3)排放,</w:t>
            </w:r>
            <w:r>
              <w:rPr>
                <w:rFonts w:hint="eastAsia" w:asciiTheme="minorEastAsia" w:hAnsiTheme="minorEastAsia" w:eastAsiaTheme="minorEastAsia"/>
                <w:color w:val="000000"/>
                <w:sz w:val="24"/>
              </w:rPr>
              <w:t xml:space="preserve"> 最大排放浓度为12.7</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cs="宋体" w:asciiTheme="minorEastAsia" w:hAnsiTheme="minorEastAsia" w:eastAsiaTheme="minorEastAsia"/>
                <w:sz w:val="24"/>
              </w:rPr>
              <w:t>，</w:t>
            </w:r>
            <w:r>
              <w:rPr>
                <w:rFonts w:cs="宋体" w:asciiTheme="minorEastAsia" w:hAnsiTheme="minorEastAsia" w:eastAsiaTheme="minorEastAsia"/>
                <w:sz w:val="24"/>
              </w:rPr>
              <w:t>满足《大气污染物综合排放标准》(GB16297-1996)表2中二级标准要求，</w:t>
            </w:r>
            <w:r>
              <w:rPr>
                <w:rFonts w:hint="eastAsia" w:asciiTheme="minorEastAsia" w:hAnsiTheme="minorEastAsia" w:eastAsiaTheme="minorEastAsia"/>
                <w:color w:val="000000"/>
                <w:sz w:val="24"/>
              </w:rPr>
              <w:t>即颗粒物排放限值≤120mg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p>
          <w:p>
            <w:pPr>
              <w:adjustRightInd w:val="0"/>
              <w:snapToGrid w:val="0"/>
              <w:spacing w:line="360" w:lineRule="auto"/>
              <w:ind w:firstLine="480" w:firstLineChars="200"/>
              <w:rPr>
                <w:rFonts w:asciiTheme="minorEastAsia" w:hAnsiTheme="minorEastAsia" w:eastAsiaTheme="minorEastAsia"/>
                <w:color w:val="000000"/>
                <w:sz w:val="24"/>
              </w:rPr>
            </w:pPr>
            <w:r>
              <w:rPr>
                <w:rFonts w:cs="宋体" w:asciiTheme="minorEastAsia" w:hAnsiTheme="minorEastAsia" w:eastAsiaTheme="minorEastAsia"/>
                <w:sz w:val="24"/>
              </w:rPr>
              <w:t>造型与浇铸产生的有机废气非甲烷总烃，经顶吸式集气罩收集后,共用1套“过滤棉+V光氧催化装置+活性炭吸附装置”处理，经1根15m高排气筒(P2)排放,</w:t>
            </w:r>
            <w:r>
              <w:rPr>
                <w:rFonts w:hint="eastAsia" w:asciiTheme="minorEastAsia" w:hAnsiTheme="minorEastAsia" w:eastAsiaTheme="minorEastAsia"/>
                <w:color w:val="000000"/>
                <w:sz w:val="24"/>
              </w:rPr>
              <w:t xml:space="preserve"> 最大排放浓度为1.57</w:t>
            </w:r>
            <w:r>
              <w:rPr>
                <w:rFonts w:asciiTheme="minorEastAsia" w:hAnsiTheme="minorEastAsia" w:eastAsiaTheme="minorEastAsia"/>
                <w:sz w:val="24"/>
              </w:rPr>
              <w:t xml:space="preserve"> mg/m</w:t>
            </w:r>
            <w:r>
              <w:rPr>
                <w:rFonts w:asciiTheme="minorEastAsia" w:hAnsiTheme="minorEastAsia" w:eastAsiaTheme="minorEastAsia"/>
                <w:sz w:val="24"/>
                <w:vertAlign w:val="superscript"/>
              </w:rPr>
              <w:t>3</w:t>
            </w:r>
            <w:r>
              <w:rPr>
                <w:rFonts w:hint="eastAsia" w:cs="宋体" w:asciiTheme="minorEastAsia" w:hAnsiTheme="minorEastAsia" w:eastAsiaTheme="minorEastAsia"/>
                <w:sz w:val="24"/>
              </w:rPr>
              <w:t>，</w:t>
            </w:r>
            <w:r>
              <w:rPr>
                <w:rFonts w:cs="宋体" w:asciiTheme="minorEastAsia" w:hAnsiTheme="minorEastAsia" w:eastAsiaTheme="minorEastAsia"/>
                <w:sz w:val="24"/>
              </w:rPr>
              <w:t>满足《工业企业挥发性有机物排放控制标准》(DB13/2322-2016)表1其他行业排放标准隈值要求，</w:t>
            </w:r>
            <w:r>
              <w:rPr>
                <w:rFonts w:hint="eastAsia" w:asciiTheme="minorEastAsia" w:hAnsiTheme="minorEastAsia" w:eastAsiaTheme="minorEastAsia"/>
                <w:color w:val="000000"/>
                <w:sz w:val="24"/>
              </w:rPr>
              <w:t>即颗粒物排放限值≤80mg</w:t>
            </w:r>
            <w:r>
              <w:rPr>
                <w:rFonts w:asciiTheme="minorEastAsia" w:hAnsiTheme="minorEastAsia" w:eastAsiaTheme="minorEastAsia"/>
                <w:color w:val="000000"/>
                <w:sz w:val="24"/>
              </w:rPr>
              <w:t>/m</w:t>
            </w:r>
            <w:r>
              <w:rPr>
                <w:rFonts w:asciiTheme="minorEastAsia" w:hAnsiTheme="minorEastAsia" w:eastAsiaTheme="minorEastAsia"/>
                <w:color w:val="000000"/>
                <w:sz w:val="24"/>
                <w:vertAlign w:val="superscript"/>
              </w:rPr>
              <w:t>3</w:t>
            </w:r>
            <w:r>
              <w:rPr>
                <w:rFonts w:hint="eastAsia" w:asciiTheme="minorEastAsia" w:hAnsiTheme="minorEastAsia" w:eastAsiaTheme="minorEastAsia"/>
                <w:color w:val="000000"/>
                <w:sz w:val="24"/>
              </w:rPr>
              <w:t>。</w:t>
            </w:r>
          </w:p>
          <w:p>
            <w:pPr>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sz w:val="24"/>
              </w:rPr>
              <w:t>2、废水：</w:t>
            </w:r>
            <w:r>
              <w:rPr>
                <w:rFonts w:hint="eastAsia" w:asciiTheme="minorEastAsia" w:hAnsiTheme="minorEastAsia" w:eastAsiaTheme="minorEastAsia"/>
                <w:color w:val="000000"/>
                <w:sz w:val="24"/>
              </w:rPr>
              <w:t>本项目无废水产生，冷却水循环使用，生活</w:t>
            </w:r>
            <w:r>
              <w:rPr>
                <w:rFonts w:hint="eastAsia" w:asciiTheme="minorEastAsia" w:hAnsiTheme="minorEastAsia" w:eastAsiaTheme="minorEastAsia"/>
                <w:color w:val="000000"/>
                <w:sz w:val="24"/>
                <w:lang w:eastAsia="zh-CN"/>
              </w:rPr>
              <w:t>污水处理厂</w:t>
            </w:r>
            <w:r>
              <w:rPr>
                <w:rFonts w:hint="eastAsia" w:asciiTheme="minorEastAsia" w:hAnsiTheme="minorEastAsia" w:eastAsiaTheme="minorEastAsia"/>
                <w:color w:val="000000"/>
                <w:sz w:val="24"/>
              </w:rPr>
              <w:t>区内泼洒抑尘，均不外排。</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3、项目东、西、北厂界噪声为：昼间54.4 dB（A）～56.8 dB（A），夜间44.8dB（A）～47.8 dB（A），满足《工业企业厂界环境噪声排放标准》（GB12348-2008）中</w:t>
            </w:r>
            <w:r>
              <w:rPr>
                <w:rFonts w:asciiTheme="minorEastAsia" w:hAnsiTheme="minorEastAsia" w:eastAsiaTheme="minorEastAsia"/>
                <w:sz w:val="24"/>
              </w:rPr>
              <w:t>2</w:t>
            </w:r>
            <w:r>
              <w:rPr>
                <w:rFonts w:hint="eastAsia" w:asciiTheme="minorEastAsia" w:hAnsiTheme="minorEastAsia" w:eastAsiaTheme="minorEastAsia"/>
                <w:sz w:val="24"/>
              </w:rPr>
              <w:t>类标准值（</w:t>
            </w:r>
            <w:r>
              <w:rPr>
                <w:rFonts w:asciiTheme="minorEastAsia" w:hAnsiTheme="minorEastAsia" w:eastAsiaTheme="minorEastAsia"/>
                <w:sz w:val="24"/>
              </w:rPr>
              <w:t>昼间：≤60dB(A)夜间：≤50dB(A)）要求</w:t>
            </w:r>
            <w:r>
              <w:rPr>
                <w:rFonts w:hint="eastAsia" w:asciiTheme="minorEastAsia" w:hAnsiTheme="minorEastAsia" w:eastAsiaTheme="minorEastAsia"/>
                <w:sz w:val="24"/>
              </w:rPr>
              <w:t>；南侧厂界噪声为：昼间62.8 dB（A）～65.7dB（A），夜间49.5dB（A）～51.0dB（A），满足</w:t>
            </w:r>
            <w:r>
              <w:rPr>
                <w:rFonts w:asciiTheme="minorEastAsia" w:hAnsiTheme="minorEastAsia" w:eastAsiaTheme="minorEastAsia"/>
                <w:sz w:val="24"/>
              </w:rPr>
              <w:t>《工业企业厂界环境噪声排放标准》（GB12348-2008）中</w:t>
            </w:r>
            <w:r>
              <w:rPr>
                <w:rFonts w:hint="eastAsia" w:asciiTheme="minorEastAsia" w:hAnsiTheme="minorEastAsia" w:eastAsiaTheme="minorEastAsia"/>
                <w:sz w:val="24"/>
              </w:rPr>
              <w:t>4</w:t>
            </w:r>
            <w:r>
              <w:rPr>
                <w:rFonts w:asciiTheme="minorEastAsia" w:hAnsiTheme="minorEastAsia" w:eastAsiaTheme="minorEastAsia"/>
                <w:sz w:val="24"/>
              </w:rPr>
              <w:t>类标准（昼间：≤70dB(A)夜间：≤55dB(A)）要求。</w:t>
            </w:r>
          </w:p>
          <w:p>
            <w:pPr>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sz w:val="24"/>
              </w:rPr>
              <w:t>4、固废：</w:t>
            </w:r>
            <w:r>
              <w:rPr>
                <w:rFonts w:hint="eastAsia" w:asciiTheme="minorEastAsia" w:hAnsiTheme="minorEastAsia" w:eastAsiaTheme="minorEastAsia"/>
                <w:color w:val="000000"/>
                <w:sz w:val="24"/>
              </w:rPr>
              <w:t>本项目技改后产生的固废主要为一般固废和危险废物。</w:t>
            </w:r>
          </w:p>
          <w:p>
            <w:pPr>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一般固废为冷却脱壳、中频电炉、浇铸工序产生的废砂，交由生产厂家回收；中频电炉除尘器产生的除尘灰，抛丸工序产生的铁砂混合物、抛丸、撞箱除尘器产生的除尘灰外售废铁收购站，职工生活垃圾交环卫部门处理。一般固体全部得到合理处置。</w:t>
            </w:r>
          </w:p>
          <w:p>
            <w:pPr>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（2）本项目产生的危险废物主要为U</w:t>
            </w:r>
            <w:r>
              <w:rPr>
                <w:rFonts w:asciiTheme="minorEastAsia" w:hAnsiTheme="minorEastAsia" w:eastAsiaTheme="minorEastAsia"/>
                <w:color w:val="000000"/>
                <w:sz w:val="24"/>
              </w:rPr>
              <w:t>V</w:t>
            </w:r>
            <w:r>
              <w:rPr>
                <w:rFonts w:hint="eastAsia" w:asciiTheme="minorEastAsia" w:hAnsiTheme="minorEastAsia" w:eastAsiaTheme="minorEastAsia"/>
                <w:color w:val="000000"/>
                <w:sz w:val="24"/>
              </w:rPr>
              <w:t>光氧催化装置中废过滤棉、废催化剂，活性炭吸附装置中的废活性炭。危险废物在厂区危废间暂存后，交有资质单位处理，得到合理处置。</w:t>
            </w:r>
          </w:p>
          <w:p>
            <w:pPr>
              <w:tabs>
                <w:tab w:val="left" w:pos="630"/>
              </w:tabs>
              <w:adjustRightInd w:val="0"/>
              <w:snapToGrid w:val="0"/>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kern w:val="0"/>
                <w:sz w:val="24"/>
              </w:rPr>
              <w:t>危险废物暂存间</w:t>
            </w:r>
            <w:r>
              <w:rPr>
                <w:rFonts w:asciiTheme="minorEastAsia" w:hAnsiTheme="minorEastAsia" w:eastAsiaTheme="minorEastAsia"/>
                <w:kern w:val="0"/>
                <w:sz w:val="24"/>
              </w:rPr>
              <w:t>地面及裙角采用C25混凝土，抗渗等级不低于P6，厚度不应小于100mm，采用2mm厚的高密度聚氯乙烯防渗材料或其他具有相同防渗能力的材料，渗透系数不大于10</w:t>
            </w:r>
            <w:r>
              <w:rPr>
                <w:rFonts w:asciiTheme="minorEastAsia" w:hAnsiTheme="minorEastAsia" w:eastAsiaTheme="minorEastAsia"/>
                <w:kern w:val="0"/>
                <w:sz w:val="24"/>
                <w:vertAlign w:val="superscript"/>
              </w:rPr>
              <w:t>-10</w:t>
            </w:r>
            <w:r>
              <w:rPr>
                <w:rFonts w:asciiTheme="minorEastAsia" w:hAnsiTheme="minorEastAsia" w:eastAsiaTheme="minorEastAsia"/>
                <w:kern w:val="0"/>
                <w:sz w:val="24"/>
              </w:rPr>
              <w:t>cm/s。</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总量控制</w:t>
            </w:r>
          </w:p>
          <w:p>
            <w:pPr>
              <w:adjustRightInd w:val="0"/>
              <w:snapToGrid w:val="0"/>
              <w:spacing w:line="360" w:lineRule="auto"/>
              <w:ind w:firstLine="480" w:firstLineChars="200"/>
              <w:rPr>
                <w:rFonts w:asciiTheme="minorEastAsia" w:hAnsiTheme="minorEastAsia" w:eastAsiaTheme="minorEastAsia"/>
                <w:color w:val="000000"/>
                <w:sz w:val="24"/>
                <w:lang w:val="fr-FR"/>
              </w:rPr>
            </w:pPr>
            <w:r>
              <w:rPr>
                <w:rFonts w:hint="eastAsia" w:asciiTheme="minorEastAsia" w:hAnsiTheme="minorEastAsia" w:eastAsiaTheme="minorEastAsia"/>
                <w:snapToGrid w:val="0"/>
                <w:color w:val="000000"/>
                <w:kern w:val="4"/>
                <w:sz w:val="24"/>
                <w:lang w:val="de-DE"/>
              </w:rPr>
              <w:t>本项目</w:t>
            </w:r>
            <w:r>
              <w:rPr>
                <w:rFonts w:hint="eastAsia" w:asciiTheme="minorEastAsia" w:hAnsiTheme="minorEastAsia" w:eastAsiaTheme="minorEastAsia"/>
                <w:color w:val="000000"/>
                <w:kern w:val="0"/>
                <w:sz w:val="24"/>
              </w:rPr>
              <w:t>技改完成后，全厂污染物总量控制指标</w:t>
            </w:r>
            <w:r>
              <w:rPr>
                <w:rFonts w:asciiTheme="minorEastAsia" w:hAnsiTheme="minorEastAsia" w:eastAsiaTheme="minorEastAsia"/>
                <w:color w:val="000000"/>
                <w:kern w:val="0"/>
                <w:sz w:val="24"/>
              </w:rPr>
              <w:t>建议值为：</w:t>
            </w:r>
            <w:r>
              <w:rPr>
                <w:rFonts w:asciiTheme="minorEastAsia" w:hAnsiTheme="minorEastAsia" w:eastAsiaTheme="minorEastAsia"/>
                <w:color w:val="000000"/>
                <w:sz w:val="24"/>
                <w:lang w:val="fr-FR"/>
              </w:rPr>
              <w:t>COD</w:t>
            </w:r>
            <w:r>
              <w:rPr>
                <w:rFonts w:hint="eastAsia" w:asciiTheme="minorEastAsia" w:hAnsiTheme="minorEastAsia" w:eastAsiaTheme="minorEastAsia"/>
                <w:color w:val="000000"/>
                <w:sz w:val="24"/>
                <w:lang w:val="fr-FR"/>
              </w:rPr>
              <w:t>：</w:t>
            </w:r>
            <w:r>
              <w:rPr>
                <w:rFonts w:asciiTheme="minorEastAsia" w:hAnsiTheme="minorEastAsia" w:eastAsiaTheme="minorEastAsia"/>
                <w:color w:val="000000"/>
                <w:sz w:val="24"/>
                <w:lang w:val="fr-FR"/>
              </w:rPr>
              <w:t>0</w:t>
            </w:r>
            <w:r>
              <w:rPr>
                <w:rFonts w:hint="eastAsia" w:asciiTheme="minorEastAsia" w:hAnsiTheme="minorEastAsia" w:eastAsiaTheme="minorEastAsia"/>
                <w:color w:val="000000"/>
                <w:sz w:val="24"/>
                <w:lang w:val="fr-FR"/>
              </w:rPr>
              <w:t>t/a</w:t>
            </w:r>
            <w:r>
              <w:rPr>
                <w:rFonts w:asciiTheme="minorEastAsia" w:hAnsiTheme="minorEastAsia" w:eastAsiaTheme="minorEastAsia"/>
                <w:color w:val="000000"/>
                <w:sz w:val="24"/>
              </w:rPr>
              <w:t>、氨氮</w:t>
            </w:r>
            <w:r>
              <w:rPr>
                <w:rFonts w:hint="eastAsia" w:asciiTheme="minorEastAsia" w:hAnsiTheme="minorEastAsia" w:eastAsiaTheme="minorEastAsia"/>
                <w:color w:val="000000"/>
                <w:sz w:val="24"/>
                <w:lang w:val="fr-FR"/>
              </w:rPr>
              <w:t>：</w:t>
            </w:r>
            <w:r>
              <w:rPr>
                <w:rFonts w:asciiTheme="minorEastAsia" w:hAnsiTheme="minorEastAsia" w:eastAsiaTheme="minorEastAsia"/>
                <w:color w:val="000000"/>
                <w:sz w:val="24"/>
                <w:lang w:val="fr-FR"/>
              </w:rPr>
              <w:t>0</w:t>
            </w:r>
            <w:r>
              <w:rPr>
                <w:rFonts w:hint="eastAsia" w:asciiTheme="minorEastAsia" w:hAnsiTheme="minorEastAsia" w:eastAsiaTheme="minorEastAsia"/>
                <w:color w:val="000000"/>
                <w:sz w:val="24"/>
                <w:lang w:val="fr-FR"/>
              </w:rPr>
              <w:t>t/a</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lang w:val="de-DE"/>
              </w:rPr>
              <w:t>SO</w:t>
            </w:r>
            <w:r>
              <w:rPr>
                <w:rFonts w:asciiTheme="minorEastAsia" w:hAnsiTheme="minorEastAsia" w:eastAsiaTheme="minorEastAsia"/>
                <w:color w:val="000000"/>
                <w:sz w:val="24"/>
                <w:vertAlign w:val="subscript"/>
                <w:lang w:val="de-DE"/>
              </w:rPr>
              <w:t>2</w:t>
            </w:r>
            <w:r>
              <w:rPr>
                <w:rFonts w:asciiTheme="minorEastAsia" w:hAnsiTheme="minorEastAsia" w:eastAsiaTheme="minorEastAsia"/>
                <w:color w:val="000000"/>
                <w:sz w:val="24"/>
                <w:lang w:val="de-DE"/>
              </w:rPr>
              <w:t>：0t/a，NO</w:t>
            </w:r>
            <w:r>
              <w:rPr>
                <w:rFonts w:hint="eastAsia" w:asciiTheme="minorEastAsia" w:hAnsiTheme="minorEastAsia" w:eastAsiaTheme="minorEastAsia"/>
                <w:color w:val="000000"/>
                <w:sz w:val="24"/>
                <w:vertAlign w:val="subscript"/>
                <w:lang w:val="de-DE"/>
              </w:rPr>
              <w:t>x</w:t>
            </w:r>
            <w:r>
              <w:rPr>
                <w:rFonts w:asciiTheme="minorEastAsia" w:hAnsiTheme="minorEastAsia" w:eastAsiaTheme="minorEastAsia"/>
                <w:color w:val="000000"/>
                <w:sz w:val="24"/>
                <w:lang w:val="de-DE"/>
              </w:rPr>
              <w:t>：0t/a</w:t>
            </w:r>
            <w:r>
              <w:rPr>
                <w:rFonts w:hint="eastAsia" w:asciiTheme="minorEastAsia" w:hAnsiTheme="minorEastAsia" w:eastAsiaTheme="minorEastAsia"/>
                <w:color w:val="000000"/>
                <w:sz w:val="24"/>
                <w:lang w:val="de-DE"/>
              </w:rPr>
              <w:t>，</w:t>
            </w:r>
            <w:r>
              <w:rPr>
                <w:rFonts w:hint="eastAsia" w:asciiTheme="minorEastAsia" w:hAnsiTheme="minorEastAsia" w:eastAsiaTheme="minorEastAsia"/>
                <w:color w:val="000000"/>
                <w:kern w:val="0"/>
                <w:sz w:val="24"/>
                <w:lang w:val="de-DE"/>
              </w:rPr>
              <w:t>非甲烷总烃：0.24t/a</w:t>
            </w:r>
            <w:r>
              <w:rPr>
                <w:rFonts w:hint="eastAsia" w:asciiTheme="minorEastAsia" w:hAnsiTheme="minorEastAsia" w:eastAsiaTheme="minorEastAsia"/>
                <w:color w:val="000000"/>
                <w:kern w:val="0"/>
                <w:sz w:val="24"/>
              </w:rPr>
              <w:t>。</w:t>
            </w:r>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结论：综上所述，本项目经</w:t>
            </w:r>
            <w:r>
              <w:rPr>
                <w:rFonts w:hint="eastAsia" w:asciiTheme="minorEastAsia" w:hAnsiTheme="minorEastAsia" w:eastAsiaTheme="minorEastAsia"/>
                <w:sz w:val="24"/>
              </w:rPr>
              <w:t>现场调查及</w:t>
            </w:r>
            <w:r>
              <w:rPr>
                <w:rFonts w:asciiTheme="minorEastAsia" w:hAnsiTheme="minorEastAsia" w:eastAsiaTheme="minorEastAsia"/>
                <w:sz w:val="24"/>
              </w:rPr>
              <w:t>验收监测，相关环保设施已安装完毕且正常运转，废气、噪声均按照环评批复要求达标排放，符合环保验收要求，可向秦皇岛市环境保护局</w:t>
            </w:r>
            <w:r>
              <w:rPr>
                <w:rFonts w:hint="eastAsia" w:asciiTheme="minorEastAsia" w:hAnsiTheme="minorEastAsia" w:eastAsiaTheme="minorEastAsia"/>
                <w:sz w:val="24"/>
              </w:rPr>
              <w:t>卢龙分局</w:t>
            </w:r>
            <w:r>
              <w:rPr>
                <w:rFonts w:asciiTheme="minorEastAsia" w:hAnsiTheme="minorEastAsia" w:eastAsiaTheme="minorEastAsia"/>
                <w:sz w:val="24"/>
              </w:rPr>
              <w:t>申请环保验收。</w:t>
            </w:r>
          </w:p>
          <w:p>
            <w:pPr>
              <w:adjustRightInd w:val="0"/>
              <w:snapToGrid w:val="0"/>
              <w:spacing w:line="360" w:lineRule="auto"/>
              <w:ind w:firstLine="200"/>
              <w:rPr>
                <w:rFonts w:asciiTheme="minorEastAsia" w:hAnsiTheme="minorEastAsia" w:eastAsiaTheme="minorEastAsia"/>
                <w:b/>
                <w:bCs/>
                <w:sz w:val="24"/>
              </w:rPr>
            </w:pPr>
            <w:r>
              <w:rPr>
                <w:rFonts w:asciiTheme="minorEastAsia" w:hAnsiTheme="minorEastAsia" w:eastAsiaTheme="minorEastAsia"/>
                <w:b/>
                <w:bCs/>
                <w:sz w:val="24"/>
              </w:rPr>
              <w:t>验收建议：</w:t>
            </w:r>
          </w:p>
          <w:p>
            <w:pPr>
              <w:adjustRightInd w:val="0"/>
              <w:snapToGrid w:val="0"/>
              <w:spacing w:line="360" w:lineRule="auto"/>
              <w:ind w:firstLine="480" w:firstLineChars="200"/>
              <w:rPr>
                <w:rFonts w:ascii="宋体" w:hAnsi="宋体"/>
                <w:color w:val="000000"/>
                <w:sz w:val="24"/>
              </w:rPr>
            </w:pPr>
            <w:r>
              <w:rPr>
                <w:rFonts w:asciiTheme="minorEastAsia" w:hAnsiTheme="minorEastAsia" w:eastAsiaTheme="minorEastAsia"/>
                <w:sz w:val="24"/>
              </w:rPr>
              <w:t>加强对环保设施的运行管理，做到定期检查，及时发现问题及时解决，保证环保设施的正常运行。</w:t>
            </w: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tc>
      </w:tr>
    </w:tbl>
    <w:p>
      <w:pPr>
        <w:rPr>
          <w:rFonts w:ascii="宋体" w:hAnsi="宋体"/>
          <w:color w:val="000000"/>
          <w:sz w:val="24"/>
        </w:rPr>
      </w:pPr>
    </w:p>
    <w:p>
      <w:pPr>
        <w:rPr>
          <w:rFonts w:ascii="宋体" w:hAnsi="宋体"/>
          <w:color w:val="000000"/>
          <w:sz w:val="24"/>
        </w:rPr>
      </w:pPr>
    </w:p>
    <w:p>
      <w:pPr>
        <w:rPr>
          <w:rFonts w:ascii="宋体" w:hAnsi="宋体"/>
          <w:b/>
          <w:bCs/>
          <w:color w:val="000000"/>
          <w:sz w:val="28"/>
          <w:szCs w:val="28"/>
        </w:rPr>
      </w:pPr>
      <w:r>
        <w:rPr>
          <w:rFonts w:hint="eastAsia" w:ascii="宋体" w:hAnsi="宋体"/>
          <w:b/>
          <w:bCs/>
          <w:color w:val="000000"/>
          <w:sz w:val="28"/>
          <w:szCs w:val="28"/>
        </w:rPr>
        <w:t>现场照片如下：</w:t>
      </w:r>
    </w:p>
    <w:p>
      <w:pPr>
        <w:jc w:val="center"/>
      </w:pPr>
      <w:r>
        <w:pict>
          <v:shape id="_x0000_s2050" o:spid="_x0000_s2050" o:spt="61" type="#_x0000_t61" style="position:absolute;left:0pt;margin-left:85pt;margin-top:15.05pt;height:30.1pt;width:111.35pt;z-index:251661312;mso-width-relative:page;mso-height-relative:page;" coordsize="21600,21600" adj="8322,88517">
            <v:path/>
            <v:fill focussize="0,0"/>
            <v:stroke joinstyle="miter"/>
            <v:imagedata o:title=""/>
            <o:lock v:ext="edit"/>
            <v:textbox>
              <w:txbxContent>
                <w:p>
                  <w:pPr>
                    <w:rPr>
                      <w:color w:val="FF0000"/>
                      <w:sz w:val="28"/>
                      <w:szCs w:val="28"/>
                    </w:rPr>
                  </w:pPr>
                  <w:r>
                    <w:rPr>
                      <w:color w:val="FF0000"/>
                      <w:sz w:val="28"/>
                      <w:szCs w:val="28"/>
                    </w:rPr>
                    <w:t>超标报警装置</w:t>
                  </w:r>
                </w:p>
              </w:txbxContent>
            </v:textbox>
          </v:shape>
        </w:pict>
      </w:r>
      <w:r>
        <w:drawing>
          <wp:inline distT="0" distB="0" distL="0" distR="0">
            <wp:extent cx="5212080" cy="3738245"/>
            <wp:effectExtent l="0" t="0" r="7620" b="14605"/>
            <wp:docPr id="1" name="图片 1" descr="C:\Users\FENGJUN\AppData\Local\Temp\WeChat Files\f8d8d9f678d6c7744ed0c69a13cf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FENGJUN\AppData\Local\Temp\WeChat Files\f8d8d9f678d6c7744ed0c69a13cf31d.jpg"/>
                    <pic:cNvPicPr>
                      <a:picLocks noChangeAspect="1" noChangeArrowheads="1"/>
                    </pic:cNvPicPr>
                  </pic:nvPicPr>
                  <pic:blipFill>
                    <a:blip r:embed="rId12"/>
                    <a:srcRect l="10527" t="5646" r="3902" b="12614"/>
                    <a:stretch>
                      <a:fillRect/>
                    </a:stretch>
                  </pic:blipFill>
                  <pic:spPr>
                    <a:xfrm>
                      <a:off x="0" y="0"/>
                      <a:ext cx="5216579" cy="3741511"/>
                    </a:xfrm>
                    <a:prstGeom prst="rect">
                      <a:avLst/>
                    </a:prstGeom>
                    <a:noFill/>
                    <a:ln w="9525">
                      <a:noFill/>
                      <a:miter lim="800000"/>
                      <a:headEnd/>
                      <a:tailEnd/>
                    </a:ln>
                  </pic:spPr>
                </pic:pic>
              </a:graphicData>
            </a:graphic>
          </wp:inline>
        </w:drawing>
      </w:r>
    </w:p>
    <w:p/>
    <w:p>
      <w:pPr>
        <w:jc w:val="center"/>
        <w:rPr>
          <w:rFonts w:eastAsiaTheme="minorEastAsia"/>
        </w:rPr>
      </w:pPr>
      <w:r>
        <w:pict>
          <v:shape id="_x0000_s2051" o:spid="_x0000_s2051" o:spt="61" type="#_x0000_t61" style="position:absolute;left:0pt;margin-left:86.25pt;margin-top:181.75pt;height:41.05pt;width:127.25pt;rotation:11796480f;z-index:251662336;mso-width-relative:page;mso-height-relative:page;" coordsize="21600,21600" adj="917,48751">
            <v:path/>
            <v:fill focussize="0,0"/>
            <v:stroke joinstyle="miter"/>
            <v:imagedata o:title=""/>
            <o:lock v:ext="edit"/>
            <v:textbox>
              <w:txbxContent>
                <w:p>
                  <w:pPr>
                    <w:rPr>
                      <w:color w:val="FF0000"/>
                      <w:sz w:val="28"/>
                      <w:szCs w:val="28"/>
                    </w:rPr>
                  </w:pPr>
                  <w:r>
                    <w:rPr>
                      <w:color w:val="FF0000"/>
                      <w:sz w:val="28"/>
                      <w:szCs w:val="28"/>
                    </w:rPr>
                    <w:t>造型工序集气罩</w:t>
                  </w:r>
                </w:p>
              </w:txbxContent>
            </v:textbox>
          </v:shape>
        </w:pict>
      </w:r>
      <w:r>
        <w:rPr>
          <w:rFonts w:hint="eastAsia" w:eastAsiaTheme="minorEastAsia"/>
        </w:rPr>
        <w:drawing>
          <wp:inline distT="0" distB="0" distL="114300" distR="114300">
            <wp:extent cx="5273040" cy="3029585"/>
            <wp:effectExtent l="0" t="0" r="3810" b="18415"/>
            <wp:docPr id="10" name="图片 10" descr="169c7485c81adbd4dd304e419766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c7485c81adbd4dd304e41976694d"/>
                    <pic:cNvPicPr>
                      <a:picLocks noChangeAspect="1"/>
                    </pic:cNvPicPr>
                  </pic:nvPicPr>
                  <pic:blipFill>
                    <a:blip r:embed="rId13"/>
                    <a:stretch>
                      <a:fillRect/>
                    </a:stretch>
                  </pic:blipFill>
                  <pic:spPr>
                    <a:xfrm>
                      <a:off x="0" y="0"/>
                      <a:ext cx="5273040" cy="3029585"/>
                    </a:xfrm>
                    <a:prstGeom prst="rect">
                      <a:avLst/>
                    </a:prstGeom>
                  </pic:spPr>
                </pic:pic>
              </a:graphicData>
            </a:graphic>
          </wp:inline>
        </w:drawing>
      </w:r>
    </w:p>
    <w:p>
      <w:pPr>
        <w:widowControl/>
        <w:jc w:val="left"/>
      </w:pPr>
      <w:r>
        <w:br w:type="page"/>
      </w:r>
    </w:p>
    <w:p>
      <w:pPr>
        <w:jc w:val="center"/>
      </w:pPr>
      <w:r>
        <w:pict>
          <v:shape id="_x0000_s2052" o:spid="_x0000_s2052" o:spt="61" type="#_x0000_t61" style="position:absolute;left:0pt;margin-left:90pt;margin-top:44.35pt;height:46.9pt;width:88.75pt;z-index:251663360;mso-width-relative:page;mso-height-relative:page;" coordsize="21600,21600" adj="52570,35532">
            <v:path/>
            <v:fill focussize="0,0"/>
            <v:stroke joinstyle="miter"/>
            <v:imagedata o:title=""/>
            <o:lock v:ext="edit"/>
            <v:textbox>
              <w:txbxContent>
                <w:p>
                  <w:pPr>
                    <w:rPr>
                      <w:color w:val="FF0000"/>
                      <w:sz w:val="28"/>
                      <w:szCs w:val="28"/>
                    </w:rPr>
                  </w:pPr>
                  <w:r>
                    <w:rPr>
                      <w:color w:val="FF0000"/>
                      <w:sz w:val="28"/>
                      <w:szCs w:val="28"/>
                    </w:rPr>
                    <w:t>电炉除尘器</w:t>
                  </w:r>
                </w:p>
              </w:txbxContent>
            </v:textbox>
          </v:shape>
        </w:pict>
      </w:r>
      <w:r>
        <w:drawing>
          <wp:inline distT="0" distB="0" distL="0" distR="0">
            <wp:extent cx="5274310" cy="3385820"/>
            <wp:effectExtent l="0" t="0" r="2540" b="5080"/>
            <wp:docPr id="3" name="图片 3" descr="C:\Users\FENGJUN\AppData\Local\Temp\WeChat Files\d62862bd2363a9f2a58660e2dfdd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FENGJUN\AppData\Local\Temp\WeChat Files\d62862bd2363a9f2a58660e2dfddf4b.jpg"/>
                    <pic:cNvPicPr>
                      <a:picLocks noChangeAspect="1" noChangeArrowheads="1"/>
                    </pic:cNvPicPr>
                  </pic:nvPicPr>
                  <pic:blipFill>
                    <a:blip r:embed="rId14"/>
                    <a:srcRect b="14442"/>
                    <a:stretch>
                      <a:fillRect/>
                    </a:stretch>
                  </pic:blipFill>
                  <pic:spPr>
                    <a:xfrm>
                      <a:off x="0" y="0"/>
                      <a:ext cx="5274310" cy="3385820"/>
                    </a:xfrm>
                    <a:prstGeom prst="rect">
                      <a:avLst/>
                    </a:prstGeom>
                    <a:noFill/>
                    <a:ln w="9525">
                      <a:noFill/>
                      <a:miter lim="800000"/>
                      <a:headEnd/>
                      <a:tailEnd/>
                    </a:ln>
                  </pic:spPr>
                </pic:pic>
              </a:graphicData>
            </a:graphic>
          </wp:inline>
        </w:drawing>
      </w:r>
    </w:p>
    <w:p>
      <w:pPr>
        <w:jc w:val="center"/>
        <w:rPr>
          <w:rFonts w:eastAsiaTheme="minorEastAsia"/>
        </w:rPr>
      </w:pPr>
      <w:r>
        <w:pict>
          <v:shape id="_x0000_s2053" o:spid="_x0000_s2053" o:spt="61" type="#_x0000_t61" style="position:absolute;left:0pt;flip:x;margin-left:298pt;margin-top:56.35pt;height:45.4pt;width:151.2pt;z-index:251685888;mso-width-relative:page;mso-height-relative:page;" coordsize="21600,21600" adj="29200,49694">
            <v:path/>
            <v:fill focussize="0,0"/>
            <v:stroke joinstyle="miter"/>
            <v:imagedata o:title=""/>
            <o:lock v:ext="edit"/>
            <v:textbox>
              <w:txbxContent>
                <w:p>
                  <w:pPr>
                    <w:rPr>
                      <w:rFonts w:eastAsiaTheme="minorEastAsia"/>
                      <w:color w:val="FF0000"/>
                      <w:sz w:val="28"/>
                      <w:szCs w:val="28"/>
                    </w:rPr>
                  </w:pPr>
                  <w:r>
                    <w:rPr>
                      <w:color w:val="FF0000"/>
                      <w:sz w:val="28"/>
                      <w:szCs w:val="28"/>
                    </w:rPr>
                    <w:t>除尘</w:t>
                  </w:r>
                  <w:r>
                    <w:rPr>
                      <w:rFonts w:hint="eastAsia"/>
                      <w:color w:val="FF0000"/>
                      <w:sz w:val="28"/>
                      <w:szCs w:val="28"/>
                    </w:rPr>
                    <w:t>灰落灰口处封闭</w:t>
                  </w:r>
                </w:p>
              </w:txbxContent>
            </v:textbox>
          </v:shape>
        </w:pict>
      </w:r>
      <w:r>
        <w:rPr>
          <w:rFonts w:hint="eastAsia" w:eastAsiaTheme="minorEastAsia"/>
        </w:rPr>
        <w:drawing>
          <wp:inline distT="0" distB="0" distL="114300" distR="114300">
            <wp:extent cx="5266690" cy="3788410"/>
            <wp:effectExtent l="0" t="0" r="10160" b="2540"/>
            <wp:docPr id="4" name="图片 4" descr="f43f084ed8476059cb3428c46fbb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43f084ed8476059cb3428c46fbbbd4"/>
                    <pic:cNvPicPr>
                      <a:picLocks noChangeAspect="1"/>
                    </pic:cNvPicPr>
                  </pic:nvPicPr>
                  <pic:blipFill>
                    <a:blip r:embed="rId15"/>
                    <a:srcRect b="4099"/>
                    <a:stretch>
                      <a:fillRect/>
                    </a:stretch>
                  </pic:blipFill>
                  <pic:spPr>
                    <a:xfrm>
                      <a:off x="0" y="0"/>
                      <a:ext cx="5266690" cy="3788410"/>
                    </a:xfrm>
                    <a:prstGeom prst="rect">
                      <a:avLst/>
                    </a:prstGeom>
                  </pic:spPr>
                </pic:pic>
              </a:graphicData>
            </a:graphic>
          </wp:inline>
        </w:drawing>
      </w:r>
    </w:p>
    <w:p/>
    <w:p>
      <w:pPr>
        <w:rPr>
          <w:rFonts w:eastAsiaTheme="minorEastAsia"/>
        </w:rPr>
      </w:pPr>
    </w:p>
    <w:p>
      <w:pPr>
        <w:widowControl/>
        <w:jc w:val="center"/>
      </w:pPr>
      <w:r>
        <w:br w:type="page"/>
      </w:r>
    </w:p>
    <w:p>
      <w:pPr>
        <w:widowControl/>
        <w:jc w:val="center"/>
        <w:rPr>
          <w:rFonts w:eastAsiaTheme="minorEastAsia"/>
        </w:rPr>
      </w:pPr>
      <w:r>
        <w:pict>
          <v:shape id="_x0000_s2077" o:spid="_x0000_s2077" o:spt="61" type="#_x0000_t61" style="position:absolute;left:0pt;flip:x;margin-left:348.25pt;margin-top:222.4pt;height:45.4pt;width:130.95pt;z-index:251688960;mso-width-relative:page;mso-height-relative:page;" coordsize="21600,21600" adj="37880,58972">
            <v:path/>
            <v:fill focussize="0,0"/>
            <v:stroke joinstyle="miter"/>
            <v:imagedata o:title=""/>
            <o:lock v:ext="edit"/>
            <v:textbox>
              <w:txbxContent>
                <w:p>
                  <w:pPr>
                    <w:rPr>
                      <w:rFonts w:eastAsiaTheme="minorEastAsia"/>
                      <w:color w:val="FF0000"/>
                      <w:sz w:val="28"/>
                      <w:szCs w:val="28"/>
                    </w:rPr>
                  </w:pPr>
                  <w:r>
                    <w:rPr>
                      <w:color w:val="FF0000"/>
                      <w:sz w:val="28"/>
                      <w:szCs w:val="28"/>
                    </w:rPr>
                    <w:t>除尘</w:t>
                  </w:r>
                  <w:r>
                    <w:rPr>
                      <w:rFonts w:hint="eastAsia"/>
                      <w:color w:val="FF0000"/>
                      <w:sz w:val="28"/>
                      <w:szCs w:val="28"/>
                    </w:rPr>
                    <w:t>灰落灰处围挡</w:t>
                  </w:r>
                </w:p>
              </w:txbxContent>
            </v:textbox>
          </v:shape>
        </w:pict>
      </w:r>
      <w:r>
        <w:drawing>
          <wp:inline distT="0" distB="0" distL="114300" distR="114300">
            <wp:extent cx="5939155" cy="7919720"/>
            <wp:effectExtent l="0" t="0" r="4445" b="5080"/>
            <wp:docPr id="32" name="图片 32" descr="99546723c9d3c9c89d579f84b42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9546723c9d3c9c89d579f84b420777"/>
                    <pic:cNvPicPr>
                      <a:picLocks noChangeAspect="1"/>
                    </pic:cNvPicPr>
                  </pic:nvPicPr>
                  <pic:blipFill>
                    <a:blip r:embed="rId16"/>
                    <a:stretch>
                      <a:fillRect/>
                    </a:stretch>
                  </pic:blipFill>
                  <pic:spPr>
                    <a:xfrm>
                      <a:off x="0" y="0"/>
                      <a:ext cx="5939155" cy="7919720"/>
                    </a:xfrm>
                    <a:prstGeom prst="rect">
                      <a:avLst/>
                    </a:prstGeom>
                  </pic:spPr>
                </pic:pic>
              </a:graphicData>
            </a:graphic>
          </wp:inline>
        </w:drawing>
      </w:r>
      <w:r>
        <w:pict>
          <v:shape id="_x0000_s2054" o:spid="_x0000_s2054" o:spt="61" type="#_x0000_t61" style="position:absolute;left:0pt;margin-left:286.2pt;margin-top:89.4pt;height:36.85pt;width:138.45pt;z-index:251664384;mso-width-relative:page;mso-height-relative:page;" coordsize="21600,21600" adj="-3768,55334">
            <v:path/>
            <v:fill focussize="0,0"/>
            <v:stroke joinstyle="miter"/>
            <v:imagedata o:title=""/>
            <o:lock v:ext="edit"/>
            <v:textbox>
              <w:txbxContent>
                <w:p>
                  <w:pPr>
                    <w:rPr>
                      <w:color w:val="FF0000"/>
                      <w:sz w:val="28"/>
                      <w:szCs w:val="28"/>
                    </w:rPr>
                  </w:pPr>
                  <w:r>
                    <w:rPr>
                      <w:rFonts w:hint="eastAsia"/>
                      <w:color w:val="FF0000"/>
                      <w:sz w:val="28"/>
                      <w:szCs w:val="28"/>
                    </w:rPr>
                    <w:t>1个</w:t>
                  </w:r>
                  <w:r>
                    <w:rPr>
                      <w:color w:val="FF0000"/>
                      <w:sz w:val="28"/>
                      <w:szCs w:val="28"/>
                    </w:rPr>
                    <w:t>电炉</w:t>
                  </w:r>
                  <w:r>
                    <w:rPr>
                      <w:rFonts w:hint="eastAsia"/>
                      <w:color w:val="FF0000"/>
                      <w:sz w:val="28"/>
                      <w:szCs w:val="28"/>
                    </w:rPr>
                    <w:t>封闭</w:t>
                  </w:r>
                  <w:r>
                    <w:rPr>
                      <w:color w:val="FF0000"/>
                      <w:sz w:val="28"/>
                      <w:szCs w:val="28"/>
                    </w:rPr>
                    <w:t>集气罩</w:t>
                  </w:r>
                </w:p>
              </w:txbxContent>
            </v:textbox>
          </v:shape>
        </w:pict>
      </w:r>
      <w:r>
        <w:rPr>
          <w:rFonts w:hint="eastAsia" w:eastAsiaTheme="minorEastAsia"/>
        </w:rPr>
        <w:drawing>
          <wp:inline distT="0" distB="0" distL="114300" distR="114300">
            <wp:extent cx="5266690" cy="3955415"/>
            <wp:effectExtent l="0" t="0" r="10160" b="6985"/>
            <wp:docPr id="6" name="图片 6" descr="816608bf92784eda85834464ee0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6608bf92784eda85834464ee08c86"/>
                    <pic:cNvPicPr>
                      <a:picLocks noChangeAspect="1"/>
                    </pic:cNvPicPr>
                  </pic:nvPicPr>
                  <pic:blipFill>
                    <a:blip r:embed="rId17"/>
                    <a:srcRect t="17768" b="25907"/>
                    <a:stretch>
                      <a:fillRect/>
                    </a:stretch>
                  </pic:blipFill>
                  <pic:spPr>
                    <a:xfrm>
                      <a:off x="0" y="0"/>
                      <a:ext cx="5266690" cy="3955415"/>
                    </a:xfrm>
                    <a:prstGeom prst="rect">
                      <a:avLst/>
                    </a:prstGeom>
                  </pic:spPr>
                </pic:pic>
              </a:graphicData>
            </a:graphic>
          </wp:inline>
        </w:drawing>
      </w:r>
    </w:p>
    <w:p>
      <w:pPr>
        <w:rPr>
          <w:rFonts w:eastAsiaTheme="minorEastAsia"/>
        </w:rPr>
      </w:pPr>
    </w:p>
    <w:p>
      <w:pPr>
        <w:jc w:val="center"/>
        <w:rPr>
          <w:rFonts w:asciiTheme="minorHAnsi" w:hAnsiTheme="minorHAnsi" w:eastAsiaTheme="minorEastAsia" w:cstheme="minorBidi"/>
          <w:szCs w:val="22"/>
        </w:rPr>
      </w:pPr>
      <w:r>
        <w:rPr>
          <w:rFonts w:hint="eastAsia" w:eastAsiaTheme="minorEastAsia"/>
        </w:rPr>
        <w:drawing>
          <wp:inline distT="0" distB="0" distL="114300" distR="114300">
            <wp:extent cx="5266690" cy="3950335"/>
            <wp:effectExtent l="0" t="0" r="10160" b="12065"/>
            <wp:docPr id="11" name="图片 11" descr="d2356ee01912f4acbbd1795e6c3f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356ee01912f4acbbd1795e6c3f49f"/>
                    <pic:cNvPicPr>
                      <a:picLocks noChangeAspect="1"/>
                    </pic:cNvPicPr>
                  </pic:nvPicPr>
                  <pic:blipFill>
                    <a:blip r:embed="rId18"/>
                    <a:stretch>
                      <a:fillRect/>
                    </a:stretch>
                  </pic:blipFill>
                  <pic:spPr>
                    <a:xfrm>
                      <a:off x="0" y="0"/>
                      <a:ext cx="5266690" cy="3950335"/>
                    </a:xfrm>
                    <a:prstGeom prst="rect">
                      <a:avLst/>
                    </a:prstGeom>
                  </pic:spPr>
                </pic:pic>
              </a:graphicData>
            </a:graphic>
          </wp:inline>
        </w:drawing>
      </w:r>
      <w:r>
        <w:pict>
          <v:shape id="_x0000_s2055" o:spid="_x0000_s2055" o:spt="61" type="#_x0000_t61" style="position:absolute;left:0pt;margin-left:74.55pt;margin-top:20.2pt;height:36.85pt;width:178.9pt;z-index:251671552;mso-width-relative:page;mso-height-relative:page;" coordsize="21600,21600" adj="10287,68522">
            <v:path/>
            <v:fill focussize="0,0"/>
            <v:stroke joinstyle="miter"/>
            <v:imagedata o:title=""/>
            <o:lock v:ext="edit"/>
            <v:textbox>
              <w:txbxContent>
                <w:p>
                  <w:pPr>
                    <w:rPr>
                      <w:color w:val="FF0000"/>
                      <w:sz w:val="28"/>
                      <w:szCs w:val="28"/>
                    </w:rPr>
                  </w:pPr>
                  <w:r>
                    <w:rPr>
                      <w:rFonts w:hint="eastAsia"/>
                      <w:color w:val="FF0000"/>
                      <w:sz w:val="28"/>
                      <w:szCs w:val="28"/>
                    </w:rPr>
                    <w:t>另1个</w:t>
                  </w:r>
                  <w:r>
                    <w:rPr>
                      <w:color w:val="FF0000"/>
                      <w:sz w:val="28"/>
                      <w:szCs w:val="28"/>
                    </w:rPr>
                    <w:t>电炉</w:t>
                  </w:r>
                  <w:r>
                    <w:rPr>
                      <w:rFonts w:hint="eastAsia"/>
                      <w:color w:val="FF0000"/>
                      <w:sz w:val="28"/>
                      <w:szCs w:val="28"/>
                    </w:rPr>
                    <w:t>封闭</w:t>
                  </w:r>
                  <w:r>
                    <w:rPr>
                      <w:color w:val="FF0000"/>
                      <w:sz w:val="28"/>
                      <w:szCs w:val="28"/>
                    </w:rPr>
                    <w:t>集气罩</w:t>
                  </w:r>
                </w:p>
              </w:txbxContent>
            </v:textbox>
          </v:shape>
        </w:pict>
      </w:r>
    </w:p>
    <w:p>
      <w:pPr>
        <w:tabs>
          <w:tab w:val="left" w:pos="711"/>
        </w:tabs>
        <w:jc w:val="left"/>
      </w:pPr>
      <w:r>
        <w:pict>
          <v:shape id="_x0000_s2056" o:spid="_x0000_s2056" o:spt="61" type="#_x0000_t61" style="position:absolute;left:0pt;margin-left:200pt;margin-top:36.35pt;height:36.85pt;width:159.45pt;z-index:251686912;mso-width-relative:page;mso-height-relative:page;" coordsize="21600,21600" adj="-3768,55334">
            <v:path/>
            <v:fill focussize="0,0"/>
            <v:stroke joinstyle="miter"/>
            <v:imagedata o:title=""/>
            <o:lock v:ext="edit"/>
            <v:textbox>
              <w:txbxContent>
                <w:p>
                  <w:pPr>
                    <w:rPr>
                      <w:rFonts w:eastAsiaTheme="minorEastAsia"/>
                      <w:color w:val="FF0000"/>
                      <w:sz w:val="28"/>
                      <w:szCs w:val="28"/>
                    </w:rPr>
                  </w:pPr>
                  <w:r>
                    <w:rPr>
                      <w:color w:val="FF0000"/>
                      <w:sz w:val="28"/>
                      <w:szCs w:val="28"/>
                    </w:rPr>
                    <w:t>浇铸</w:t>
                  </w:r>
                  <w:r>
                    <w:rPr>
                      <w:rFonts w:hint="eastAsia"/>
                      <w:color w:val="FF0000"/>
                      <w:sz w:val="28"/>
                      <w:szCs w:val="28"/>
                    </w:rPr>
                    <w:t>区正面封闭</w:t>
                  </w:r>
                  <w:r>
                    <w:rPr>
                      <w:color w:val="FF0000"/>
                      <w:sz w:val="28"/>
                      <w:szCs w:val="28"/>
                    </w:rPr>
                    <w:t>罩</w:t>
                  </w:r>
                  <w:r>
                    <w:rPr>
                      <w:rFonts w:hint="eastAsia"/>
                      <w:color w:val="FF0000"/>
                      <w:sz w:val="28"/>
                      <w:szCs w:val="28"/>
                    </w:rPr>
                    <w:t>及帘</w:t>
                  </w:r>
                </w:p>
              </w:txbxContent>
            </v:textbox>
          </v:shape>
        </w:pict>
      </w:r>
      <w:r>
        <w:rPr>
          <w:rFonts w:hint="eastAsia"/>
        </w:rPr>
        <w:tab/>
      </w:r>
      <w:r>
        <w:rPr>
          <w:rFonts w:hint="eastAsia"/>
        </w:rPr>
        <w:drawing>
          <wp:inline distT="0" distB="0" distL="114300" distR="114300">
            <wp:extent cx="5266690" cy="3950335"/>
            <wp:effectExtent l="0" t="0" r="10160" b="12065"/>
            <wp:docPr id="7" name="图片 7" descr="072ad7ed7461293fca73486e6216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2ad7ed7461293fca73486e6216c14"/>
                    <pic:cNvPicPr>
                      <a:picLocks noChangeAspect="1"/>
                    </pic:cNvPicPr>
                  </pic:nvPicPr>
                  <pic:blipFill>
                    <a:blip r:embed="rId19"/>
                    <a:stretch>
                      <a:fillRect/>
                    </a:stretch>
                  </pic:blipFill>
                  <pic:spPr>
                    <a:xfrm>
                      <a:off x="0" y="0"/>
                      <a:ext cx="5266690" cy="3950335"/>
                    </a:xfrm>
                    <a:prstGeom prst="rect">
                      <a:avLst/>
                    </a:prstGeom>
                  </pic:spPr>
                </pic:pic>
              </a:graphicData>
            </a:graphic>
          </wp:inline>
        </w:drawing>
      </w:r>
    </w:p>
    <w:p>
      <w:pPr>
        <w:jc w:val="center"/>
        <w:rPr>
          <w:rFonts w:eastAsiaTheme="minorEastAsia"/>
        </w:rPr>
      </w:pPr>
      <w:r>
        <w:pict>
          <v:shape id="_x0000_s2057" o:spid="_x0000_s2057" o:spt="61" type="#_x0000_t61" style="position:absolute;left:0pt;margin-left:234.5pt;margin-top:28.85pt;height:36.85pt;width:159.45pt;z-index:251687936;mso-width-relative:page;mso-height-relative:page;" coordsize="21600,21600" adj="-3961,73358">
            <v:path/>
            <v:fill focussize="0,0"/>
            <v:stroke joinstyle="miter"/>
            <v:imagedata o:title=""/>
            <o:lock v:ext="edit"/>
            <v:textbox>
              <w:txbxContent>
                <w:p>
                  <w:pPr>
                    <w:rPr>
                      <w:rFonts w:eastAsiaTheme="minorEastAsia"/>
                      <w:color w:val="FF0000"/>
                      <w:sz w:val="28"/>
                      <w:szCs w:val="28"/>
                    </w:rPr>
                  </w:pPr>
                  <w:r>
                    <w:rPr>
                      <w:color w:val="FF0000"/>
                      <w:sz w:val="28"/>
                      <w:szCs w:val="28"/>
                    </w:rPr>
                    <w:t>浇铸</w:t>
                  </w:r>
                  <w:r>
                    <w:rPr>
                      <w:rFonts w:hint="eastAsia"/>
                      <w:color w:val="FF0000"/>
                      <w:sz w:val="28"/>
                      <w:szCs w:val="28"/>
                    </w:rPr>
                    <w:t>区侧面封闭</w:t>
                  </w:r>
                  <w:r>
                    <w:rPr>
                      <w:color w:val="FF0000"/>
                      <w:sz w:val="28"/>
                      <w:szCs w:val="28"/>
                    </w:rPr>
                    <w:t>罩</w:t>
                  </w:r>
                </w:p>
              </w:txbxContent>
            </v:textbox>
          </v:shape>
        </w:pict>
      </w:r>
      <w:r>
        <w:rPr>
          <w:rFonts w:hint="eastAsia" w:eastAsiaTheme="minorEastAsia"/>
        </w:rPr>
        <w:drawing>
          <wp:inline distT="0" distB="0" distL="114300" distR="114300">
            <wp:extent cx="5266690" cy="3950335"/>
            <wp:effectExtent l="0" t="0" r="10160" b="12065"/>
            <wp:docPr id="19" name="图片 19" descr="f9ddb32422fb913a37aadd215316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9ddb32422fb913a37aadd2153169af"/>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p>
      <w:pPr>
        <w:jc w:val="center"/>
      </w:pPr>
      <w:r>
        <w:pict>
          <v:shape id="_x0000_s2058" o:spid="_x0000_s2058" o:spt="61" type="#_x0000_t61" style="position:absolute;left:0pt;margin-left:267.8pt;margin-top:33.5pt;height:36.85pt;width:135.4pt;z-index:251673600;mso-width-relative:page;mso-height-relative:page;" coordsize="21600,21600" adj="7721,57971">
            <v:path/>
            <v:fill focussize="0,0"/>
            <v:stroke joinstyle="miter"/>
            <v:imagedata o:title=""/>
            <o:lock v:ext="edit"/>
            <v:textbox>
              <w:txbxContent>
                <w:p>
                  <w:pPr>
                    <w:rPr>
                      <w:color w:val="FF0000"/>
                      <w:sz w:val="28"/>
                      <w:szCs w:val="28"/>
                    </w:rPr>
                  </w:pPr>
                  <w:r>
                    <w:rPr>
                      <w:color w:val="FF0000"/>
                      <w:sz w:val="28"/>
                      <w:szCs w:val="28"/>
                    </w:rPr>
                    <w:t>抛丸机自带除尘器</w:t>
                  </w:r>
                </w:p>
              </w:txbxContent>
            </v:textbox>
          </v:shape>
        </w:pict>
      </w:r>
      <w:r>
        <w:rPr>
          <w:rFonts w:hint="eastAsia"/>
        </w:rPr>
        <w:drawing>
          <wp:inline distT="0" distB="0" distL="0" distR="0">
            <wp:extent cx="5262880" cy="3955415"/>
            <wp:effectExtent l="0" t="0" r="13970" b="6985"/>
            <wp:docPr id="21" name="图片 10" descr="C:\Users\FENGJUN\AppData\Local\Temp\WeChat Files\4f34b654875d2cba606bc2441f2a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C:\Users\FENGJUN\AppData\Local\Temp\WeChat Files\4f34b654875d2cba606bc2441f2a95a.jpg"/>
                    <pic:cNvPicPr>
                      <a:picLocks noChangeAspect="1" noChangeArrowheads="1"/>
                    </pic:cNvPicPr>
                  </pic:nvPicPr>
                  <pic:blipFill>
                    <a:blip r:embed="rId21"/>
                    <a:srcRect/>
                    <a:stretch>
                      <a:fillRect/>
                    </a:stretch>
                  </pic:blipFill>
                  <pic:spPr>
                    <a:xfrm>
                      <a:off x="0" y="0"/>
                      <a:ext cx="5262880" cy="3955415"/>
                    </a:xfrm>
                    <a:prstGeom prst="rect">
                      <a:avLst/>
                    </a:prstGeom>
                    <a:noFill/>
                    <a:ln w="9525">
                      <a:noFill/>
                      <a:miter lim="800000"/>
                      <a:headEnd/>
                      <a:tailEnd/>
                    </a:ln>
                  </pic:spPr>
                </pic:pic>
              </a:graphicData>
            </a:graphic>
          </wp:inline>
        </w:drawing>
      </w:r>
    </w:p>
    <w:p/>
    <w:p/>
    <w:p/>
    <w:p>
      <w:pPr>
        <w:jc w:val="center"/>
      </w:pPr>
      <w:r>
        <w:pict>
          <v:shape id="_x0000_s2059" o:spid="_x0000_s2059" o:spt="61" type="#_x0000_t61" style="position:absolute;left:0pt;margin-left:272.5pt;margin-top:48.1pt;height:36.85pt;width:135.4pt;z-index:251672576;mso-width-relative:page;mso-height-relative:page;" coordsize="21600,21600" adj="4730,64126">
            <v:path/>
            <v:fill focussize="0,0"/>
            <v:stroke joinstyle="miter"/>
            <v:imagedata o:title=""/>
            <o:lock v:ext="edit"/>
            <v:textbox>
              <w:txbxContent>
                <w:p>
                  <w:pPr>
                    <w:rPr>
                      <w:color w:val="FF0000"/>
                      <w:sz w:val="28"/>
                      <w:szCs w:val="28"/>
                    </w:rPr>
                  </w:pPr>
                  <w:r>
                    <w:rPr>
                      <w:color w:val="FF0000"/>
                      <w:sz w:val="28"/>
                      <w:szCs w:val="28"/>
                    </w:rPr>
                    <w:t>抛丸机自带除尘器</w:t>
                  </w:r>
                </w:p>
              </w:txbxContent>
            </v:textbox>
          </v:shape>
        </w:pict>
      </w:r>
      <w:r>
        <w:rPr>
          <w:rFonts w:hint="eastAsia"/>
        </w:rPr>
        <w:drawing>
          <wp:inline distT="0" distB="0" distL="0" distR="0">
            <wp:extent cx="5262880" cy="3955415"/>
            <wp:effectExtent l="0" t="0" r="13970" b="6985"/>
            <wp:docPr id="22" name="图片 11" descr="C:\Users\FENGJUN\AppData\Local\Temp\WeChat Files\55169ee9c69cb3fa6ebff8eb41c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C:\Users\FENGJUN\AppData\Local\Temp\WeChat Files\55169ee9c69cb3fa6ebff8eb41c7163.jpg"/>
                    <pic:cNvPicPr>
                      <a:picLocks noChangeAspect="1" noChangeArrowheads="1"/>
                    </pic:cNvPicPr>
                  </pic:nvPicPr>
                  <pic:blipFill>
                    <a:blip r:embed="rId22"/>
                    <a:srcRect/>
                    <a:stretch>
                      <a:fillRect/>
                    </a:stretch>
                  </pic:blipFill>
                  <pic:spPr>
                    <a:xfrm>
                      <a:off x="0" y="0"/>
                      <a:ext cx="5262880" cy="3955415"/>
                    </a:xfrm>
                    <a:prstGeom prst="rect">
                      <a:avLst/>
                    </a:prstGeom>
                    <a:noFill/>
                    <a:ln w="9525">
                      <a:noFill/>
                      <a:miter lim="800000"/>
                      <a:headEnd/>
                      <a:tailEnd/>
                    </a:ln>
                  </pic:spPr>
                </pic:pic>
              </a:graphicData>
            </a:graphic>
          </wp:inline>
        </w:drawing>
      </w:r>
    </w:p>
    <w:p>
      <w:pPr>
        <w:widowControl/>
        <w:jc w:val="center"/>
      </w:pPr>
      <w:r>
        <w:pict>
          <v:shape id="_x0000_s2060" o:spid="_x0000_s2060" o:spt="61" type="#_x0000_t61" style="position:absolute;left:0pt;margin-left:200.1pt;margin-top:18.5pt;height:41.05pt;width:174.75pt;z-index:251670528;mso-width-relative:page;mso-height-relative:page;" coordsize="21600,21600" adj="-2954,21942">
            <v:path/>
            <v:fill focussize="0,0"/>
            <v:stroke joinstyle="miter"/>
            <v:imagedata o:title=""/>
            <o:lock v:ext="edit"/>
            <v:textbox>
              <w:txbxContent>
                <w:p>
                  <w:pPr>
                    <w:rPr>
                      <w:color w:val="FF0000"/>
                      <w:sz w:val="28"/>
                      <w:szCs w:val="28"/>
                    </w:rPr>
                  </w:pPr>
                  <w:r>
                    <w:rPr>
                      <w:rFonts w:hint="eastAsia"/>
                      <w:color w:val="FF0000"/>
                      <w:sz w:val="28"/>
                      <w:szCs w:val="28"/>
                    </w:rPr>
                    <w:t>造型、浇铸15m高排气筒</w:t>
                  </w:r>
                </w:p>
              </w:txbxContent>
            </v:textbox>
          </v:shape>
        </w:pict>
      </w:r>
      <w:r>
        <w:pict>
          <v:shape id="_x0000_s2061" o:spid="_x0000_s2061" o:spt="61" type="#_x0000_t61" style="position:absolute;left:0pt;margin-left:313.9pt;margin-top:184.45pt;height:36.85pt;width:128.95pt;z-index:251669504;mso-width-relative:page;mso-height-relative:page;" coordsize="21600,21600" adj="-4003,46043">
            <v:path/>
            <v:fill focussize="0,0"/>
            <v:stroke joinstyle="miter"/>
            <v:imagedata o:title=""/>
            <o:lock v:ext="edit"/>
            <v:textbox>
              <w:txbxContent>
                <w:p>
                  <w:pPr>
                    <w:rPr>
                      <w:color w:val="FF0000"/>
                      <w:sz w:val="28"/>
                      <w:szCs w:val="28"/>
                    </w:rPr>
                  </w:pPr>
                  <w:r>
                    <w:rPr>
                      <w:rFonts w:hint="eastAsia"/>
                      <w:color w:val="FF0000"/>
                      <w:sz w:val="28"/>
                      <w:szCs w:val="28"/>
                    </w:rPr>
                    <w:t>电炉15m高排气筒</w:t>
                  </w:r>
                </w:p>
              </w:txbxContent>
            </v:textbox>
          </v:shape>
        </w:pict>
      </w:r>
      <w:r>
        <w:drawing>
          <wp:inline distT="0" distB="0" distL="0" distR="0">
            <wp:extent cx="5262880" cy="7017385"/>
            <wp:effectExtent l="0" t="0" r="13970" b="12065"/>
            <wp:docPr id="18" name="图片 7" descr="C:\Users\FENGJUN\AppData\Local\Temp\WeChat Files\c06e0c9af78848d38186ce7dcc62d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FENGJUN\AppData\Local\Temp\WeChat Files\c06e0c9af78848d38186ce7dcc62d8a.jpg"/>
                    <pic:cNvPicPr>
                      <a:picLocks noChangeAspect="1" noChangeArrowheads="1"/>
                    </pic:cNvPicPr>
                  </pic:nvPicPr>
                  <pic:blipFill>
                    <a:blip r:embed="rId23"/>
                    <a:srcRect/>
                    <a:stretch>
                      <a:fillRect/>
                    </a:stretch>
                  </pic:blipFill>
                  <pic:spPr>
                    <a:xfrm>
                      <a:off x="0" y="0"/>
                      <a:ext cx="5262880" cy="7017385"/>
                    </a:xfrm>
                    <a:prstGeom prst="rect">
                      <a:avLst/>
                    </a:prstGeom>
                    <a:noFill/>
                    <a:ln w="9525">
                      <a:noFill/>
                      <a:miter lim="800000"/>
                      <a:headEnd/>
                      <a:tailEnd/>
                    </a:ln>
                  </pic:spPr>
                </pic:pic>
              </a:graphicData>
            </a:graphic>
          </wp:inline>
        </w:drawing>
      </w:r>
      <w:r>
        <w:br w:type="page"/>
      </w:r>
    </w:p>
    <w:p/>
    <w:p/>
    <w:p/>
    <w:p>
      <w:pPr>
        <w:jc w:val="center"/>
        <w:rPr>
          <w:rFonts w:eastAsiaTheme="minorEastAsia"/>
        </w:rPr>
      </w:pPr>
      <w:r>
        <w:pict>
          <v:shape id="_x0000_s2065" o:spid="_x0000_s2065" o:spt="61" type="#_x0000_t61" style="position:absolute;left:0pt;margin-left:102.75pt;margin-top:449.5pt;height:36.85pt;width:125.6pt;z-index:251674624;mso-width-relative:page;mso-height-relative:page;" coordsize="21600,21600" adj="1445,-31271">
            <v:path/>
            <v:fill focussize="0,0"/>
            <v:stroke joinstyle="miter"/>
            <v:imagedata o:title=""/>
            <o:lock v:ext="edit"/>
            <v:textbox>
              <w:txbxContent>
                <w:p>
                  <w:pPr>
                    <w:rPr>
                      <w:color w:val="FF0000"/>
                      <w:sz w:val="28"/>
                      <w:szCs w:val="28"/>
                    </w:rPr>
                  </w:pPr>
                  <w:r>
                    <w:rPr>
                      <w:rFonts w:hint="eastAsia"/>
                      <w:color w:val="FF0000"/>
                      <w:sz w:val="28"/>
                      <w:szCs w:val="28"/>
                    </w:rPr>
                    <w:t>撞箱除尘器</w:t>
                  </w:r>
                </w:p>
              </w:txbxContent>
            </v:textbox>
          </v:shape>
        </w:pict>
      </w:r>
      <w:r>
        <w:pict>
          <v:shape id="_x0000_s2062" o:spid="_x0000_s2062" o:spt="61" type="#_x0000_t61" style="position:absolute;left:0pt;margin-left:256.35pt;margin-top:266.8pt;height:37.7pt;width:58.35pt;z-index:251675648;mso-width-relative:page;mso-height-relative:page;" coordsize="21600,21600" adj="13845,80012">
            <v:path/>
            <v:fill focussize="0,0"/>
            <v:stroke joinstyle="miter"/>
            <v:imagedata o:title=""/>
            <o:lock v:ext="edit"/>
            <v:textbox>
              <w:txbxContent>
                <w:p>
                  <w:pPr>
                    <w:rPr>
                      <w:color w:val="FF0000"/>
                      <w:sz w:val="28"/>
                      <w:szCs w:val="28"/>
                    </w:rPr>
                  </w:pPr>
                  <w:r>
                    <w:rPr>
                      <w:rFonts w:hint="eastAsia"/>
                      <w:color w:val="FF0000"/>
                      <w:sz w:val="28"/>
                      <w:szCs w:val="28"/>
                    </w:rPr>
                    <w:t>撞箱</w:t>
                  </w:r>
                </w:p>
              </w:txbxContent>
            </v:textbox>
          </v:shape>
        </w:pict>
      </w:r>
      <w:r>
        <w:pict>
          <v:shape id="_x0000_s2063" o:spid="_x0000_s2063" o:spt="61" type="#_x0000_t61" style="position:absolute;left:0pt;margin-left:146.7pt;margin-top:206.3pt;height:31.65pt;width:147.15pt;z-index:251684864;mso-width-relative:page;mso-height-relative:page;" coordsize="21600,21600" adj="3031,48523">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撞箱处管道截门</w:t>
                  </w:r>
                </w:p>
              </w:txbxContent>
            </v:textbox>
          </v:shape>
        </w:pict>
      </w:r>
      <w:r>
        <w:pict>
          <v:shape id="_x0000_s2064" o:spid="_x0000_s2064" o:spt="61" type="#_x0000_t61" style="position:absolute;left:0pt;margin-left:191.7pt;margin-top:44.8pt;height:36.85pt;width:225.85pt;z-index:251665408;mso-width-relative:page;mso-height-relative:page;" coordsize="21600,21600" adj="-5197,46922">
            <v:path/>
            <v:fill focussize="0,0"/>
            <v:stroke joinstyle="miter"/>
            <v:imagedata o:title=""/>
            <o:lock v:ext="edit"/>
            <v:textbox>
              <w:txbxContent>
                <w:p>
                  <w:pPr>
                    <w:rPr>
                      <w:color w:val="FF0000"/>
                      <w:sz w:val="28"/>
                      <w:szCs w:val="28"/>
                    </w:rPr>
                  </w:pPr>
                  <w:r>
                    <w:rPr>
                      <w:rFonts w:hint="eastAsia"/>
                      <w:color w:val="FF0000"/>
                      <w:sz w:val="28"/>
                      <w:szCs w:val="28"/>
                    </w:rPr>
                    <w:t>撞箱及抛丸合用处15米高排气筒</w:t>
                  </w:r>
                </w:p>
              </w:txbxContent>
            </v:textbox>
          </v:shape>
        </w:pict>
      </w:r>
      <w:r>
        <w:rPr>
          <w:rFonts w:hint="eastAsia" w:eastAsiaTheme="minorEastAsia"/>
        </w:rPr>
        <w:drawing>
          <wp:inline distT="0" distB="0" distL="114300" distR="114300">
            <wp:extent cx="5266690" cy="7022465"/>
            <wp:effectExtent l="0" t="0" r="10160" b="6985"/>
            <wp:docPr id="8" name="图片 8" descr="7cb946f74a5077a45f73c149ff8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cb946f74a5077a45f73c149ff87826"/>
                    <pic:cNvPicPr>
                      <a:picLocks noChangeAspect="1"/>
                    </pic:cNvPicPr>
                  </pic:nvPicPr>
                  <pic:blipFill>
                    <a:blip r:embed="rId24"/>
                    <a:stretch>
                      <a:fillRect/>
                    </a:stretch>
                  </pic:blipFill>
                  <pic:spPr>
                    <a:xfrm>
                      <a:off x="0" y="0"/>
                      <a:ext cx="5266690" cy="7022465"/>
                    </a:xfrm>
                    <a:prstGeom prst="rect">
                      <a:avLst/>
                    </a:prstGeom>
                  </pic:spPr>
                </pic:pic>
              </a:graphicData>
            </a:graphic>
          </wp:inline>
        </w:drawing>
      </w:r>
    </w:p>
    <w:p>
      <w:pPr>
        <w:rPr>
          <w:rFonts w:eastAsiaTheme="minorEastAsia"/>
        </w:rPr>
      </w:pPr>
    </w:p>
    <w:p>
      <w:pPr>
        <w:widowControl/>
        <w:jc w:val="left"/>
      </w:pPr>
    </w:p>
    <w:p>
      <w:pPr>
        <w:jc w:val="center"/>
      </w:pPr>
      <w:r>
        <w:pict>
          <v:shape id="_x0000_s2066" o:spid="_x0000_s2066" o:spt="61" type="#_x0000_t61" style="position:absolute;left:0pt;margin-left:233.75pt;margin-top:19.25pt;height:39.35pt;width:174.95pt;z-index:251666432;mso-width-relative:page;mso-height-relative:page;" coordsize="21600,21600" adj="-7581,50473">
            <v:path/>
            <v:fill focussize="0,0"/>
            <v:stroke joinstyle="miter"/>
            <v:imagedata o:title=""/>
            <o:lock v:ext="edit"/>
            <v:textbox>
              <w:txbxContent>
                <w:p>
                  <w:pPr>
                    <w:rPr>
                      <w:color w:val="FF0000"/>
                      <w:szCs w:val="28"/>
                    </w:rPr>
                  </w:pPr>
                  <w:r>
                    <w:rPr>
                      <w:rFonts w:cs="宋体" w:asciiTheme="minorEastAsia" w:hAnsiTheme="minorEastAsia"/>
                      <w:color w:val="FF0000"/>
                      <w:szCs w:val="21"/>
                    </w:rPr>
                    <w:t>过滤棉+V光氧催化装置+活性炭吸附装置</w:t>
                  </w:r>
                </w:p>
              </w:txbxContent>
            </v:textbox>
          </v:shape>
        </w:pict>
      </w:r>
      <w:r>
        <w:drawing>
          <wp:inline distT="0" distB="0" distL="0" distR="0">
            <wp:extent cx="5273675" cy="2466975"/>
            <wp:effectExtent l="0" t="0" r="3175" b="9525"/>
            <wp:docPr id="9" name="图片 5" descr="C:\Users\FENGJUN\AppData\Local\Temp\WeChat Files\ab1e42bea8dbe05550fd15b53267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FENGJUN\AppData\Local\Temp\WeChat Files\ab1e42bea8dbe05550fd15b53267f80.jpg"/>
                    <pic:cNvPicPr>
                      <a:picLocks noChangeAspect="1" noChangeArrowheads="1"/>
                    </pic:cNvPicPr>
                  </pic:nvPicPr>
                  <pic:blipFill>
                    <a:blip r:embed="rId25"/>
                    <a:srcRect/>
                    <a:stretch>
                      <a:fillRect/>
                    </a:stretch>
                  </pic:blipFill>
                  <pic:spPr>
                    <a:xfrm>
                      <a:off x="0" y="0"/>
                      <a:ext cx="5273675" cy="2466975"/>
                    </a:xfrm>
                    <a:prstGeom prst="rect">
                      <a:avLst/>
                    </a:prstGeom>
                    <a:noFill/>
                    <a:ln w="9525">
                      <a:noFill/>
                      <a:miter lim="800000"/>
                      <a:headEnd/>
                      <a:tailEnd/>
                    </a:ln>
                  </pic:spPr>
                </pic:pic>
              </a:graphicData>
            </a:graphic>
          </wp:inline>
        </w:drawing>
      </w:r>
    </w:p>
    <w:p>
      <w:pPr>
        <w:widowControl/>
        <w:jc w:val="left"/>
      </w:pPr>
    </w:p>
    <w:p>
      <w:pPr>
        <w:widowControl/>
        <w:jc w:val="left"/>
      </w:pPr>
    </w:p>
    <w:p>
      <w:pPr>
        <w:widowControl/>
        <w:jc w:val="center"/>
      </w:pPr>
      <w:r>
        <w:pict>
          <v:shape id="_x0000_s2067" o:spid="_x0000_s2067" o:spt="61" type="#_x0000_t61" style="position:absolute;left:0pt;margin-left:289.7pt;margin-top:17.3pt;height:36.85pt;width:125.6pt;z-index:251677696;mso-width-relative:page;mso-height-relative:page;" coordsize="21600,21600" adj="-4394,33792">
            <v:path/>
            <v:fill focussize="0,0"/>
            <v:stroke joinstyle="miter"/>
            <v:imagedata o:title=""/>
            <o:lock v:ext="edit"/>
            <v:textbox>
              <w:txbxContent>
                <w:p>
                  <w:pPr>
                    <w:rPr>
                      <w:color w:val="FF0000"/>
                      <w:sz w:val="28"/>
                      <w:szCs w:val="28"/>
                    </w:rPr>
                  </w:pPr>
                  <w:r>
                    <w:rPr>
                      <w:rFonts w:hint="eastAsia"/>
                      <w:color w:val="FF0000"/>
                      <w:sz w:val="28"/>
                      <w:szCs w:val="28"/>
                    </w:rPr>
                    <w:t>雾炮</w:t>
                  </w:r>
                </w:p>
              </w:txbxContent>
            </v:textbox>
          </v:shape>
        </w:pict>
      </w:r>
      <w:r>
        <w:drawing>
          <wp:inline distT="0" distB="0" distL="0" distR="0">
            <wp:extent cx="5274310" cy="2463800"/>
            <wp:effectExtent l="0" t="0" r="2540" b="12700"/>
            <wp:docPr id="15" name="图片 1" descr="C:\Users\FENGJUN\AppData\Local\Temp\WeChat Files\c74068a7465ebb5e88493e3e175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FENGJUN\AppData\Local\Temp\WeChat Files\c74068a7465ebb5e88493e3e1750753.jpg"/>
                    <pic:cNvPicPr>
                      <a:picLocks noChangeAspect="1" noChangeArrowheads="1"/>
                    </pic:cNvPicPr>
                  </pic:nvPicPr>
                  <pic:blipFill>
                    <a:blip r:embed="rId26"/>
                    <a:srcRect/>
                    <a:stretch>
                      <a:fillRect/>
                    </a:stretch>
                  </pic:blipFill>
                  <pic:spPr>
                    <a:xfrm>
                      <a:off x="0" y="0"/>
                      <a:ext cx="5274310" cy="2464068"/>
                    </a:xfrm>
                    <a:prstGeom prst="rect">
                      <a:avLst/>
                    </a:prstGeom>
                    <a:noFill/>
                    <a:ln w="9525">
                      <a:noFill/>
                      <a:miter lim="800000"/>
                      <a:headEnd/>
                      <a:tailEnd/>
                    </a:ln>
                  </pic:spPr>
                </pic:pic>
              </a:graphicData>
            </a:graphic>
          </wp:inline>
        </w:drawing>
      </w:r>
    </w:p>
    <w:p>
      <w:pPr>
        <w:widowControl/>
        <w:jc w:val="left"/>
      </w:pPr>
    </w:p>
    <w:p>
      <w:pPr>
        <w:widowControl/>
        <w:jc w:val="center"/>
      </w:pPr>
      <w:r>
        <w:pict>
          <v:shape id="_x0000_s2068" o:spid="_x0000_s2068" o:spt="61" type="#_x0000_t61" style="position:absolute;left:0pt;margin-left:76pt;margin-top:110.4pt;height:36.85pt;width:125.6pt;z-index:251676672;mso-width-relative:page;mso-height-relative:page;" coordsize="21600,21600" adj="27972,39449">
            <v:path/>
            <v:fill focussize="0,0"/>
            <v:stroke joinstyle="miter"/>
            <v:imagedata o:title=""/>
            <o:lock v:ext="edit"/>
            <v:textbox>
              <w:txbxContent>
                <w:p>
                  <w:pPr>
                    <w:rPr>
                      <w:color w:val="FF0000"/>
                      <w:sz w:val="28"/>
                      <w:szCs w:val="28"/>
                    </w:rPr>
                  </w:pPr>
                  <w:r>
                    <w:rPr>
                      <w:rFonts w:hint="eastAsia"/>
                      <w:color w:val="FF0000"/>
                      <w:sz w:val="28"/>
                      <w:szCs w:val="28"/>
                    </w:rPr>
                    <w:t>循环水池</w:t>
                  </w:r>
                </w:p>
              </w:txbxContent>
            </v:textbox>
          </v:shape>
        </w:pict>
      </w:r>
      <w:r>
        <w:drawing>
          <wp:inline distT="0" distB="0" distL="0" distR="0">
            <wp:extent cx="5262880" cy="2688590"/>
            <wp:effectExtent l="0" t="0" r="13970" b="16510"/>
            <wp:docPr id="23" name="图片 12" descr="C:\Users\FENGJUN\AppData\Local\Temp\WeChat Files\f01d878440b041fb133dbfcb6fc5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C:\Users\FENGJUN\AppData\Local\Temp\WeChat Files\f01d878440b041fb133dbfcb6fc551e.jpg"/>
                    <pic:cNvPicPr>
                      <a:picLocks noChangeAspect="1" noChangeArrowheads="1"/>
                    </pic:cNvPicPr>
                  </pic:nvPicPr>
                  <pic:blipFill>
                    <a:blip r:embed="rId27"/>
                    <a:srcRect t="32028"/>
                    <a:stretch>
                      <a:fillRect/>
                    </a:stretch>
                  </pic:blipFill>
                  <pic:spPr>
                    <a:xfrm>
                      <a:off x="0" y="0"/>
                      <a:ext cx="5262880" cy="2688590"/>
                    </a:xfrm>
                    <a:prstGeom prst="rect">
                      <a:avLst/>
                    </a:prstGeom>
                    <a:noFill/>
                    <a:ln w="9525">
                      <a:noFill/>
                      <a:miter lim="800000"/>
                      <a:headEnd/>
                      <a:tailEnd/>
                    </a:ln>
                  </pic:spPr>
                </pic:pic>
              </a:graphicData>
            </a:graphic>
          </wp:inline>
        </w:drawing>
      </w:r>
      <w:r>
        <w:br w:type="page"/>
      </w:r>
    </w:p>
    <w:p/>
    <w:p>
      <w:pPr>
        <w:jc w:val="center"/>
      </w:pPr>
    </w:p>
    <w:p>
      <w:pPr>
        <w:jc w:val="center"/>
        <w:rPr>
          <w:rFonts w:eastAsiaTheme="minorEastAsia"/>
        </w:rPr>
      </w:pPr>
      <w:r>
        <w:pict>
          <v:shape id="_x0000_s2069" o:spid="_x0000_s2069" o:spt="61" type="#_x0000_t61" style="position:absolute;left:0pt;flip:y;margin-left:186.05pt;margin-top:21.9pt;height:38.3pt;width:128.45pt;z-index:251667456;mso-width-relative:page;mso-height-relative:page;" coordsize="21600,21600" adj="9439,-37191">
            <v:path/>
            <v:fill focussize="0,0"/>
            <v:stroke joinstyle="miter"/>
            <v:imagedata o:title=""/>
            <o:lock v:ext="edit"/>
            <v:textbox>
              <w:txbxContent>
                <w:p>
                  <w:pPr>
                    <w:rPr>
                      <w:color w:val="FF0000"/>
                      <w:sz w:val="28"/>
                      <w:szCs w:val="28"/>
                    </w:rPr>
                  </w:pPr>
                  <w:r>
                    <w:rPr>
                      <w:color w:val="FF0000"/>
                      <w:sz w:val="28"/>
                      <w:szCs w:val="28"/>
                    </w:rPr>
                    <w:t>危废间</w:t>
                  </w:r>
                  <w:r>
                    <w:rPr>
                      <w:rFonts w:hint="eastAsia"/>
                      <w:color w:val="FF0000"/>
                      <w:sz w:val="28"/>
                      <w:szCs w:val="28"/>
                    </w:rPr>
                    <w:t>门口</w:t>
                  </w:r>
                  <w:r>
                    <w:rPr>
                      <w:color w:val="FF0000"/>
                      <w:sz w:val="28"/>
                      <w:szCs w:val="28"/>
                    </w:rPr>
                    <w:t>标识</w:t>
                  </w:r>
                </w:p>
              </w:txbxContent>
            </v:textbox>
          </v:shape>
        </w:pict>
      </w:r>
      <w:r>
        <w:rPr>
          <w:rFonts w:hint="eastAsia" w:eastAsiaTheme="minorEastAsia"/>
        </w:rPr>
        <w:drawing>
          <wp:inline distT="0" distB="0" distL="114300" distR="114300">
            <wp:extent cx="3876675" cy="5431790"/>
            <wp:effectExtent l="0" t="0" r="9525" b="16510"/>
            <wp:docPr id="29" name="图片 29" descr="63724a7bd503227d0872111853aa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3724a7bd503227d0872111853aa8ee"/>
                    <pic:cNvPicPr>
                      <a:picLocks noChangeAspect="1"/>
                    </pic:cNvPicPr>
                  </pic:nvPicPr>
                  <pic:blipFill>
                    <a:blip r:embed="rId28"/>
                    <a:srcRect t="18083" b="17114"/>
                    <a:stretch>
                      <a:fillRect/>
                    </a:stretch>
                  </pic:blipFill>
                  <pic:spPr>
                    <a:xfrm>
                      <a:off x="0" y="0"/>
                      <a:ext cx="3876675" cy="5431790"/>
                    </a:xfrm>
                    <a:prstGeom prst="rect">
                      <a:avLst/>
                    </a:prstGeom>
                  </pic:spPr>
                </pic:pic>
              </a:graphicData>
            </a:graphic>
          </wp:inline>
        </w:drawing>
      </w:r>
    </w:p>
    <w:p>
      <w:pPr>
        <w:jc w:val="center"/>
      </w:pPr>
    </w:p>
    <w:p>
      <w:pPr>
        <w:jc w:val="center"/>
      </w:pPr>
      <w:r>
        <w:pict>
          <v:shape id="_x0000_s2070" o:spid="_x0000_s2070" o:spt="61" type="#_x0000_t61" style="position:absolute;left:0pt;margin-left:198.3pt;margin-top:27.1pt;height:33.5pt;width:121.35pt;z-index:251668480;mso-width-relative:page;mso-height-relative:page;" coordsize="21600,21600" adj="3382,55515">
            <v:path/>
            <v:fill focussize="0,0"/>
            <v:stroke joinstyle="miter"/>
            <v:imagedata o:title=""/>
            <o:lock v:ext="edit"/>
            <v:textbox>
              <w:txbxContent>
                <w:p>
                  <w:pPr>
                    <w:rPr>
                      <w:color w:val="FF0000"/>
                      <w:sz w:val="28"/>
                      <w:szCs w:val="28"/>
                    </w:rPr>
                  </w:pPr>
                  <w:r>
                    <w:rPr>
                      <w:color w:val="FF0000"/>
                      <w:sz w:val="28"/>
                      <w:szCs w:val="28"/>
                    </w:rPr>
                    <w:t>危废间围堰</w:t>
                  </w:r>
                </w:p>
              </w:txbxContent>
            </v:textbox>
          </v:shape>
        </w:pict>
      </w:r>
      <w:r>
        <w:drawing>
          <wp:inline distT="0" distB="0" distL="0" distR="0">
            <wp:extent cx="5274310" cy="2463800"/>
            <wp:effectExtent l="0" t="0" r="2540" b="12700"/>
            <wp:docPr id="17" name="图片 7" descr="C:\Users\FENGJUN\AppData\Local\Temp\WeChat Files\faf978cd1d704bce93287452201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FENGJUN\AppData\Local\Temp\WeChat Files\faf978cd1d704bce932874522013915.jpg"/>
                    <pic:cNvPicPr>
                      <a:picLocks noChangeAspect="1" noChangeArrowheads="1"/>
                    </pic:cNvPicPr>
                  </pic:nvPicPr>
                  <pic:blipFill>
                    <a:blip r:embed="rId29"/>
                    <a:srcRect/>
                    <a:stretch>
                      <a:fillRect/>
                    </a:stretch>
                  </pic:blipFill>
                  <pic:spPr>
                    <a:xfrm>
                      <a:off x="0" y="0"/>
                      <a:ext cx="5274310" cy="2464068"/>
                    </a:xfrm>
                    <a:prstGeom prst="rect">
                      <a:avLst/>
                    </a:prstGeom>
                    <a:noFill/>
                    <a:ln w="9525">
                      <a:noFill/>
                      <a:miter lim="800000"/>
                      <a:headEnd/>
                      <a:tailEnd/>
                    </a:ln>
                  </pic:spPr>
                </pic:pic>
              </a:graphicData>
            </a:graphic>
          </wp:inline>
        </w:drawing>
      </w:r>
    </w:p>
    <w:p>
      <w:pPr>
        <w:jc w:val="center"/>
      </w:pPr>
      <w:r>
        <w:drawing>
          <wp:inline distT="0" distB="0" distL="0" distR="0">
            <wp:extent cx="5273040" cy="4890770"/>
            <wp:effectExtent l="0" t="0" r="3810" b="5080"/>
            <wp:docPr id="20" name="图片 6" descr="C:\Users\FENGJUN\AppData\Local\Temp\WeChat Files\21b8d13d229df3e4abc5db155efd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FENGJUN\AppData\Local\Temp\WeChat Files\21b8d13d229df3e4abc5db155efd06b.jpg"/>
                    <pic:cNvPicPr>
                      <a:picLocks noChangeAspect="1" noChangeArrowheads="1"/>
                    </pic:cNvPicPr>
                  </pic:nvPicPr>
                  <pic:blipFill>
                    <a:blip r:embed="rId30"/>
                    <a:srcRect b="23013"/>
                    <a:stretch>
                      <a:fillRect/>
                    </a:stretch>
                  </pic:blipFill>
                  <pic:spPr>
                    <a:xfrm>
                      <a:off x="0" y="0"/>
                      <a:ext cx="5273424" cy="4890977"/>
                    </a:xfrm>
                    <a:prstGeom prst="rect">
                      <a:avLst/>
                    </a:prstGeom>
                    <a:noFill/>
                    <a:ln w="9525">
                      <a:noFill/>
                      <a:miter lim="800000"/>
                      <a:headEnd/>
                      <a:tailEnd/>
                    </a:ln>
                  </pic:spPr>
                </pic:pic>
              </a:graphicData>
            </a:graphic>
          </wp:inline>
        </w:drawing>
      </w:r>
    </w:p>
    <w:p/>
    <w:p/>
    <w:p/>
    <w:p/>
    <w:p/>
    <w:p>
      <w:pPr>
        <w:jc w:val="center"/>
        <w:rPr>
          <w:rFonts w:eastAsiaTheme="minorEastAsia"/>
        </w:rPr>
      </w:pPr>
      <w:r>
        <w:pict>
          <v:shape id="_x0000_s2071" o:spid="_x0000_s2071" o:spt="61" type="#_x0000_t61" style="position:absolute;left:0pt;margin-left:43.05pt;margin-top:113.95pt;height:33.5pt;width:121.35pt;rotation:11796480f;z-index:251678720;mso-width-relative:page;mso-height-relative:page;" coordsize="21600,21600" adj="3382,55515">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车间封顶</w:t>
                  </w:r>
                </w:p>
              </w:txbxContent>
            </v:textbox>
          </v:shape>
        </w:pict>
      </w:r>
      <w:r>
        <w:rPr>
          <w:rFonts w:hint="eastAsia" w:eastAsiaTheme="minorEastAsia"/>
        </w:rPr>
        <w:drawing>
          <wp:inline distT="0" distB="0" distL="114300" distR="114300">
            <wp:extent cx="5273040" cy="2439035"/>
            <wp:effectExtent l="0" t="0" r="3810" b="18415"/>
            <wp:docPr id="24" name="图片 24" descr="988a5070f84e519ff9baf6cb8fdb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88a5070f84e519ff9baf6cb8fdb05d"/>
                    <pic:cNvPicPr>
                      <a:picLocks noChangeAspect="1"/>
                    </pic:cNvPicPr>
                  </pic:nvPicPr>
                  <pic:blipFill>
                    <a:blip r:embed="rId31"/>
                    <a:stretch>
                      <a:fillRect/>
                    </a:stretch>
                  </pic:blipFill>
                  <pic:spPr>
                    <a:xfrm>
                      <a:off x="0" y="0"/>
                      <a:ext cx="5273040" cy="2439035"/>
                    </a:xfrm>
                    <a:prstGeom prst="rect">
                      <a:avLst/>
                    </a:prstGeom>
                  </pic:spPr>
                </pic:pic>
              </a:graphicData>
            </a:graphic>
          </wp:inline>
        </w:drawing>
      </w:r>
    </w:p>
    <w:p>
      <w:pPr>
        <w:jc w:val="center"/>
        <w:rPr>
          <w:rFonts w:eastAsiaTheme="minorEastAsia"/>
        </w:rPr>
      </w:pPr>
      <w:r>
        <w:pict>
          <v:shape id="_x0000_s2072" o:spid="_x0000_s2072" o:spt="61" type="#_x0000_t61" style="position:absolute;left:0pt;margin-left:113.55pt;margin-top:262.9pt;height:33.5pt;width:161.1pt;rotation:11796480f;z-index:251679744;mso-width-relative:page;mso-height-relative:page;" coordsize="21600,21600" adj="3382,55515">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车间内一般固废存放处</w:t>
                  </w:r>
                </w:p>
              </w:txbxContent>
            </v:textbox>
          </v:shape>
        </w:pict>
      </w:r>
      <w:r>
        <w:rPr>
          <w:rFonts w:hint="eastAsia" w:eastAsiaTheme="minorEastAsia"/>
        </w:rPr>
        <w:drawing>
          <wp:inline distT="0" distB="0" distL="114300" distR="114300">
            <wp:extent cx="5266690" cy="3950335"/>
            <wp:effectExtent l="0" t="0" r="10160" b="12065"/>
            <wp:docPr id="25" name="图片 25" descr="e366238adcab78296632229e25d4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366238adcab78296632229e25d402c"/>
                    <pic:cNvPicPr>
                      <a:picLocks noChangeAspect="1"/>
                    </pic:cNvPicPr>
                  </pic:nvPicPr>
                  <pic:blipFill>
                    <a:blip r:embed="rId32"/>
                    <a:stretch>
                      <a:fillRect/>
                    </a:stretch>
                  </pic:blipFill>
                  <pic:spPr>
                    <a:xfrm>
                      <a:off x="0" y="0"/>
                      <a:ext cx="5266690" cy="3950335"/>
                    </a:xfrm>
                    <a:prstGeom prst="rect">
                      <a:avLst/>
                    </a:prstGeom>
                  </pic:spPr>
                </pic:pic>
              </a:graphicData>
            </a:graphic>
          </wp:inline>
        </w:drawing>
      </w:r>
    </w:p>
    <w:p>
      <w:pPr>
        <w:rPr>
          <w:rFonts w:asciiTheme="minorHAnsi" w:hAnsiTheme="minorHAnsi" w:eastAsiaTheme="minorEastAsia" w:cstheme="minorBidi"/>
          <w:szCs w:val="22"/>
        </w:rPr>
      </w:pPr>
    </w:p>
    <w:p>
      <w:pPr>
        <w:jc w:val="right"/>
      </w:pPr>
    </w:p>
    <w:p>
      <w:pPr>
        <w:jc w:val="right"/>
      </w:pPr>
    </w:p>
    <w:p>
      <w:pPr>
        <w:jc w:val="left"/>
      </w:pPr>
      <w:r>
        <w:pict>
          <v:shape id="_x0000_s2073" o:spid="_x0000_s2073" o:spt="61" type="#_x0000_t61" style="position:absolute;left:0pt;margin-left:152.55pt;margin-top:152.05pt;height:33.5pt;width:170.05pt;rotation:11796480f;z-index:251680768;mso-width-relative:page;mso-height-relative:page;" coordsize="21600,21600" adj="3382,55515">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冷却车间门口苫布封闭门</w:t>
                  </w:r>
                </w:p>
              </w:txbxContent>
            </v:textbox>
          </v:shape>
        </w:pict>
      </w:r>
    </w:p>
    <w:p>
      <w:pPr>
        <w:jc w:val="center"/>
      </w:pPr>
      <w:r>
        <w:rPr>
          <w:rFonts w:hint="eastAsia"/>
        </w:rPr>
        <w:drawing>
          <wp:inline distT="0" distB="0" distL="114300" distR="114300">
            <wp:extent cx="5273040" cy="2828925"/>
            <wp:effectExtent l="0" t="0" r="3810" b="9525"/>
            <wp:docPr id="26" name="图片 26" descr="fadcecce4bf5ce54f170ac8a12e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dcecce4bf5ce54f170ac8a12e3394"/>
                    <pic:cNvPicPr>
                      <a:picLocks noChangeAspect="1"/>
                    </pic:cNvPicPr>
                  </pic:nvPicPr>
                  <pic:blipFill>
                    <a:blip r:embed="rId33"/>
                    <a:stretch>
                      <a:fillRect/>
                    </a:stretch>
                  </pic:blipFill>
                  <pic:spPr>
                    <a:xfrm>
                      <a:off x="0" y="0"/>
                      <a:ext cx="5273040" cy="2828925"/>
                    </a:xfrm>
                    <a:prstGeom prst="rect">
                      <a:avLst/>
                    </a:prstGeom>
                  </pic:spPr>
                </pic:pic>
              </a:graphicData>
            </a:graphic>
          </wp:inline>
        </w:drawing>
      </w:r>
    </w:p>
    <w:p>
      <w:pPr>
        <w:jc w:val="center"/>
      </w:pPr>
      <w:r>
        <w:pict>
          <v:shape id="_x0000_s2074" o:spid="_x0000_s2074" o:spt="61" type="#_x0000_t61" style="position:absolute;left:0pt;margin-left:91.8pt;margin-top:131.95pt;height:33.5pt;width:170.05pt;rotation:11796480f;z-index:251681792;mso-width-relative:page;mso-height-relative:page;" coordsize="21600,21600" adj="3382,55515">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车间外已抹平的水沟</w:t>
                  </w:r>
                </w:p>
              </w:txbxContent>
            </v:textbox>
          </v:shape>
        </w:pict>
      </w:r>
      <w:r>
        <w:rPr>
          <w:rFonts w:hint="eastAsia"/>
        </w:rPr>
        <w:drawing>
          <wp:inline distT="0" distB="0" distL="114300" distR="114300">
            <wp:extent cx="5273040" cy="2439035"/>
            <wp:effectExtent l="0" t="0" r="3810" b="18415"/>
            <wp:docPr id="27" name="图片 27" descr="6262a5cdbfe9f502a3b991d1ef12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262a5cdbfe9f502a3b991d1ef127d8"/>
                    <pic:cNvPicPr>
                      <a:picLocks noChangeAspect="1"/>
                    </pic:cNvPicPr>
                  </pic:nvPicPr>
                  <pic:blipFill>
                    <a:blip r:embed="rId34"/>
                    <a:stretch>
                      <a:fillRect/>
                    </a:stretch>
                  </pic:blipFill>
                  <pic:spPr>
                    <a:xfrm>
                      <a:off x="0" y="0"/>
                      <a:ext cx="5273040" cy="2439035"/>
                    </a:xfrm>
                    <a:prstGeom prst="rect">
                      <a:avLst/>
                    </a:prstGeom>
                  </pic:spPr>
                </pic:pic>
              </a:graphicData>
            </a:graphic>
          </wp:inline>
        </w:drawing>
      </w:r>
    </w:p>
    <w:p>
      <w:pPr>
        <w:jc w:val="left"/>
      </w:pPr>
    </w:p>
    <w:p>
      <w:pPr>
        <w:jc w:val="center"/>
      </w:pPr>
      <w:r>
        <w:pict>
          <v:shape id="_x0000_s2075" o:spid="_x0000_s2075" o:spt="61" type="#_x0000_t61" style="position:absolute;left:0pt;margin-left:115.8pt;margin-top:145.35pt;height:34.2pt;width:156.55pt;rotation:11796480f;z-index:251682816;mso-width-relative:page;mso-height-relative:page;" coordsize="21600,21600" adj="3480,49832">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已修复的车间外墙</w:t>
                  </w:r>
                </w:p>
              </w:txbxContent>
            </v:textbox>
          </v:shape>
        </w:pict>
      </w:r>
      <w:r>
        <w:rPr>
          <w:rFonts w:hint="eastAsia"/>
        </w:rPr>
        <w:drawing>
          <wp:inline distT="0" distB="0" distL="114300" distR="114300">
            <wp:extent cx="5273040" cy="2439035"/>
            <wp:effectExtent l="0" t="0" r="3810" b="18415"/>
            <wp:docPr id="28" name="图片 28" descr="385ee7a115b8af1b9a7f3092589b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85ee7a115b8af1b9a7f3092589b726"/>
                    <pic:cNvPicPr>
                      <a:picLocks noChangeAspect="1"/>
                    </pic:cNvPicPr>
                  </pic:nvPicPr>
                  <pic:blipFill>
                    <a:blip r:embed="rId35"/>
                    <a:stretch>
                      <a:fillRect/>
                    </a:stretch>
                  </pic:blipFill>
                  <pic:spPr>
                    <a:xfrm>
                      <a:off x="0" y="0"/>
                      <a:ext cx="5273040" cy="2439035"/>
                    </a:xfrm>
                    <a:prstGeom prst="rect">
                      <a:avLst/>
                    </a:prstGeom>
                  </pic:spPr>
                </pic:pic>
              </a:graphicData>
            </a:graphic>
          </wp:inline>
        </w:drawing>
      </w:r>
    </w:p>
    <w:p>
      <w:pPr>
        <w:jc w:val="left"/>
      </w:pPr>
    </w:p>
    <w:p>
      <w:pPr>
        <w:jc w:val="left"/>
      </w:pPr>
    </w:p>
    <w:p>
      <w:pPr>
        <w:jc w:val="left"/>
      </w:pPr>
    </w:p>
    <w:p>
      <w:pPr>
        <w:jc w:val="left"/>
      </w:pPr>
    </w:p>
    <w:p>
      <w:pPr>
        <w:jc w:val="center"/>
        <w:rPr>
          <w:rFonts w:ascii="宋体" w:hAnsi="宋体"/>
          <w:color w:val="000000"/>
          <w:sz w:val="24"/>
        </w:rPr>
      </w:pPr>
      <w:r>
        <w:pict>
          <v:shape id="_x0000_s2076" o:spid="_x0000_s2076" o:spt="61" type="#_x0000_t61" style="position:absolute;left:0pt;margin-left:247.8pt;margin-top:16.8pt;height:29.7pt;width:131.85pt;z-index:251683840;mso-width-relative:page;mso-height-relative:page;" coordsize="21600,21600" adj="17611,73818">
            <v:path/>
            <v:fill focussize="0,0"/>
            <v:stroke joinstyle="miter"/>
            <v:imagedata o:title=""/>
            <o:lock v:ext="edit"/>
            <v:textbox>
              <w:txbxContent>
                <w:p>
                  <w:pPr>
                    <w:rPr>
                      <w:rFonts w:eastAsiaTheme="minorEastAsia"/>
                      <w:color w:val="FF0000"/>
                      <w:sz w:val="28"/>
                      <w:szCs w:val="28"/>
                    </w:rPr>
                  </w:pPr>
                  <w:r>
                    <w:rPr>
                      <w:rFonts w:hint="eastAsia"/>
                      <w:color w:val="FF0000"/>
                      <w:sz w:val="28"/>
                      <w:szCs w:val="28"/>
                    </w:rPr>
                    <w:t>已修复的车间内墙</w:t>
                  </w:r>
                </w:p>
              </w:txbxContent>
            </v:textbox>
          </v:shape>
        </w:pict>
      </w:r>
      <w:r>
        <w:rPr>
          <w:rFonts w:hint="eastAsia"/>
        </w:rPr>
        <w:drawing>
          <wp:inline distT="0" distB="0" distL="114300" distR="114300">
            <wp:extent cx="5273040" cy="2439035"/>
            <wp:effectExtent l="0" t="0" r="3810" b="18415"/>
            <wp:docPr id="31" name="图片 31" descr="9a0e14fcc60a8a643ac79a9e384f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a0e14fcc60a8a643ac79a9e384f6cd"/>
                    <pic:cNvPicPr>
                      <a:picLocks noChangeAspect="1"/>
                    </pic:cNvPicPr>
                  </pic:nvPicPr>
                  <pic:blipFill>
                    <a:blip r:embed="rId36"/>
                    <a:stretch>
                      <a:fillRect/>
                    </a:stretch>
                  </pic:blipFill>
                  <pic:spPr>
                    <a:xfrm>
                      <a:off x="0" y="0"/>
                      <a:ext cx="5273040" cy="2439035"/>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555751"/>
    </w:sdtPr>
    <w:sdtContent>
      <w:p>
        <w:pPr>
          <w:pStyle w:val="8"/>
          <w:jc w:val="center"/>
        </w:pPr>
        <w:r>
          <w:fldChar w:fldCharType="begin"/>
        </w:r>
        <w:r>
          <w:instrText xml:space="preserve"> PAGE   \* MERGEFORMAT </w:instrText>
        </w:r>
        <w:r>
          <w:fldChar w:fldCharType="separate"/>
        </w:r>
        <w:r>
          <w:rPr>
            <w:lang w:val="zh-CN"/>
          </w:rPr>
          <w:t>50</w:t>
        </w:r>
        <w:r>
          <w:rPr>
            <w:lang w:val="zh-CN"/>
          </w:rP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B113FC"/>
    <w:multiLevelType w:val="multilevel"/>
    <w:tmpl w:val="13B113F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Y0MzU1ZjIyNGZmN2MzMDgyZmNkMjBkNDVhZTRlYmIifQ=="/>
  </w:docVars>
  <w:rsids>
    <w:rsidRoot w:val="002F0F39"/>
    <w:rsid w:val="0000131A"/>
    <w:rsid w:val="00014736"/>
    <w:rsid w:val="0003024B"/>
    <w:rsid w:val="0003266C"/>
    <w:rsid w:val="0004253E"/>
    <w:rsid w:val="0005382B"/>
    <w:rsid w:val="0007171F"/>
    <w:rsid w:val="00081C33"/>
    <w:rsid w:val="00084430"/>
    <w:rsid w:val="000A1D2C"/>
    <w:rsid w:val="000A6B87"/>
    <w:rsid w:val="000D33C8"/>
    <w:rsid w:val="000E6E2B"/>
    <w:rsid w:val="000E7187"/>
    <w:rsid w:val="000F413F"/>
    <w:rsid w:val="00126016"/>
    <w:rsid w:val="001316BD"/>
    <w:rsid w:val="00132B4F"/>
    <w:rsid w:val="001569CB"/>
    <w:rsid w:val="00156D04"/>
    <w:rsid w:val="00171526"/>
    <w:rsid w:val="001731A1"/>
    <w:rsid w:val="001D42F3"/>
    <w:rsid w:val="001D7239"/>
    <w:rsid w:val="001E401E"/>
    <w:rsid w:val="001E4FAE"/>
    <w:rsid w:val="001F1286"/>
    <w:rsid w:val="001F196E"/>
    <w:rsid w:val="001F2A1B"/>
    <w:rsid w:val="0020347B"/>
    <w:rsid w:val="00206B88"/>
    <w:rsid w:val="00256A61"/>
    <w:rsid w:val="00267B23"/>
    <w:rsid w:val="00285F57"/>
    <w:rsid w:val="002A7C62"/>
    <w:rsid w:val="002B09F6"/>
    <w:rsid w:val="002B4AB3"/>
    <w:rsid w:val="002E386A"/>
    <w:rsid w:val="002E4E7C"/>
    <w:rsid w:val="002F0F39"/>
    <w:rsid w:val="00313A0D"/>
    <w:rsid w:val="00317FC4"/>
    <w:rsid w:val="00357262"/>
    <w:rsid w:val="003D3B99"/>
    <w:rsid w:val="003E2E6E"/>
    <w:rsid w:val="003E483F"/>
    <w:rsid w:val="003E5A52"/>
    <w:rsid w:val="003F6E8F"/>
    <w:rsid w:val="004055A7"/>
    <w:rsid w:val="0042048E"/>
    <w:rsid w:val="004258BB"/>
    <w:rsid w:val="00441DCC"/>
    <w:rsid w:val="00467276"/>
    <w:rsid w:val="00474417"/>
    <w:rsid w:val="00482B8B"/>
    <w:rsid w:val="00490169"/>
    <w:rsid w:val="004A4DC4"/>
    <w:rsid w:val="004A7123"/>
    <w:rsid w:val="004C418D"/>
    <w:rsid w:val="004C421E"/>
    <w:rsid w:val="00514CDF"/>
    <w:rsid w:val="0051675C"/>
    <w:rsid w:val="00544B52"/>
    <w:rsid w:val="00545B15"/>
    <w:rsid w:val="00546867"/>
    <w:rsid w:val="005655F3"/>
    <w:rsid w:val="005959CE"/>
    <w:rsid w:val="005A3A50"/>
    <w:rsid w:val="005A459C"/>
    <w:rsid w:val="005C36B8"/>
    <w:rsid w:val="005D104C"/>
    <w:rsid w:val="005D5E38"/>
    <w:rsid w:val="005E3FA4"/>
    <w:rsid w:val="005F5F89"/>
    <w:rsid w:val="005F7390"/>
    <w:rsid w:val="006249BD"/>
    <w:rsid w:val="006342A5"/>
    <w:rsid w:val="00636ECB"/>
    <w:rsid w:val="006434E7"/>
    <w:rsid w:val="00657EB7"/>
    <w:rsid w:val="006608E3"/>
    <w:rsid w:val="006612C4"/>
    <w:rsid w:val="00663805"/>
    <w:rsid w:val="006771FD"/>
    <w:rsid w:val="00691F0E"/>
    <w:rsid w:val="006948E3"/>
    <w:rsid w:val="006954CF"/>
    <w:rsid w:val="00696413"/>
    <w:rsid w:val="006A13E7"/>
    <w:rsid w:val="006B1468"/>
    <w:rsid w:val="006B22A5"/>
    <w:rsid w:val="006B26A5"/>
    <w:rsid w:val="006D020E"/>
    <w:rsid w:val="006D535A"/>
    <w:rsid w:val="006E23CF"/>
    <w:rsid w:val="00702186"/>
    <w:rsid w:val="00705659"/>
    <w:rsid w:val="00717FDB"/>
    <w:rsid w:val="00722379"/>
    <w:rsid w:val="007237D6"/>
    <w:rsid w:val="0073615E"/>
    <w:rsid w:val="00755386"/>
    <w:rsid w:val="00767DDE"/>
    <w:rsid w:val="007707C4"/>
    <w:rsid w:val="00780BA5"/>
    <w:rsid w:val="00795115"/>
    <w:rsid w:val="007956BF"/>
    <w:rsid w:val="007A34E9"/>
    <w:rsid w:val="007A61C3"/>
    <w:rsid w:val="007B6BAB"/>
    <w:rsid w:val="007B75F6"/>
    <w:rsid w:val="007D09B1"/>
    <w:rsid w:val="00817D78"/>
    <w:rsid w:val="00821D16"/>
    <w:rsid w:val="008260EC"/>
    <w:rsid w:val="00834A50"/>
    <w:rsid w:val="00836465"/>
    <w:rsid w:val="00845CC6"/>
    <w:rsid w:val="00866E53"/>
    <w:rsid w:val="008723CE"/>
    <w:rsid w:val="008859F2"/>
    <w:rsid w:val="00896F41"/>
    <w:rsid w:val="008B0E1D"/>
    <w:rsid w:val="008E2EB3"/>
    <w:rsid w:val="008F0E91"/>
    <w:rsid w:val="008F5A78"/>
    <w:rsid w:val="00900944"/>
    <w:rsid w:val="00902B13"/>
    <w:rsid w:val="0091190C"/>
    <w:rsid w:val="0091727A"/>
    <w:rsid w:val="0092543E"/>
    <w:rsid w:val="00954622"/>
    <w:rsid w:val="00995E5B"/>
    <w:rsid w:val="009A5CAB"/>
    <w:rsid w:val="009C3799"/>
    <w:rsid w:val="009D50E3"/>
    <w:rsid w:val="009D70C2"/>
    <w:rsid w:val="00A438B0"/>
    <w:rsid w:val="00A44DA3"/>
    <w:rsid w:val="00A47120"/>
    <w:rsid w:val="00A50B39"/>
    <w:rsid w:val="00A61F9F"/>
    <w:rsid w:val="00A62310"/>
    <w:rsid w:val="00A67918"/>
    <w:rsid w:val="00A77AC6"/>
    <w:rsid w:val="00A951C9"/>
    <w:rsid w:val="00A9524E"/>
    <w:rsid w:val="00AA2673"/>
    <w:rsid w:val="00AA2A8F"/>
    <w:rsid w:val="00AB18CF"/>
    <w:rsid w:val="00AB5EDB"/>
    <w:rsid w:val="00AC0E7C"/>
    <w:rsid w:val="00AE0136"/>
    <w:rsid w:val="00AE733E"/>
    <w:rsid w:val="00B15F5D"/>
    <w:rsid w:val="00B1670B"/>
    <w:rsid w:val="00B724AC"/>
    <w:rsid w:val="00B77994"/>
    <w:rsid w:val="00B800AC"/>
    <w:rsid w:val="00B95DAB"/>
    <w:rsid w:val="00BB4D63"/>
    <w:rsid w:val="00BC0139"/>
    <w:rsid w:val="00BC0F14"/>
    <w:rsid w:val="00BC5BDB"/>
    <w:rsid w:val="00BD5FE8"/>
    <w:rsid w:val="00BD739B"/>
    <w:rsid w:val="00BE0945"/>
    <w:rsid w:val="00BE4CDB"/>
    <w:rsid w:val="00BE5ED4"/>
    <w:rsid w:val="00BF41CE"/>
    <w:rsid w:val="00BF424B"/>
    <w:rsid w:val="00C04728"/>
    <w:rsid w:val="00C20891"/>
    <w:rsid w:val="00C5089A"/>
    <w:rsid w:val="00C8569A"/>
    <w:rsid w:val="00CA1573"/>
    <w:rsid w:val="00CA3329"/>
    <w:rsid w:val="00CB64BB"/>
    <w:rsid w:val="00CF4E1B"/>
    <w:rsid w:val="00D54DEB"/>
    <w:rsid w:val="00D6359B"/>
    <w:rsid w:val="00D66ADD"/>
    <w:rsid w:val="00D734B6"/>
    <w:rsid w:val="00D7516F"/>
    <w:rsid w:val="00D8541E"/>
    <w:rsid w:val="00D932D4"/>
    <w:rsid w:val="00DA702D"/>
    <w:rsid w:val="00DC7383"/>
    <w:rsid w:val="00DD6969"/>
    <w:rsid w:val="00E25859"/>
    <w:rsid w:val="00E4173A"/>
    <w:rsid w:val="00E700BF"/>
    <w:rsid w:val="00E77FB1"/>
    <w:rsid w:val="00E8360B"/>
    <w:rsid w:val="00EA543D"/>
    <w:rsid w:val="00EB5087"/>
    <w:rsid w:val="00ED2461"/>
    <w:rsid w:val="00EF04DE"/>
    <w:rsid w:val="00EF4866"/>
    <w:rsid w:val="00F30269"/>
    <w:rsid w:val="00F32939"/>
    <w:rsid w:val="00F345DA"/>
    <w:rsid w:val="00F449B7"/>
    <w:rsid w:val="00F6276C"/>
    <w:rsid w:val="00F73167"/>
    <w:rsid w:val="00F75F70"/>
    <w:rsid w:val="00F77268"/>
    <w:rsid w:val="00FA500A"/>
    <w:rsid w:val="00FD3967"/>
    <w:rsid w:val="00FD492F"/>
    <w:rsid w:val="00FD5861"/>
    <w:rsid w:val="00FE33B4"/>
    <w:rsid w:val="11FA7410"/>
    <w:rsid w:val="1C191798"/>
    <w:rsid w:val="2AB761F2"/>
    <w:rsid w:val="2C6A3723"/>
    <w:rsid w:val="30E612AE"/>
    <w:rsid w:val="349A799A"/>
    <w:rsid w:val="36763865"/>
    <w:rsid w:val="39A41A67"/>
    <w:rsid w:val="3E3076E8"/>
    <w:rsid w:val="4690004C"/>
    <w:rsid w:val="4BAA0ADA"/>
    <w:rsid w:val="54BA4E06"/>
    <w:rsid w:val="57F803A5"/>
    <w:rsid w:val="588C0EBC"/>
    <w:rsid w:val="606C5881"/>
    <w:rsid w:val="63626220"/>
    <w:rsid w:val="64AB6595"/>
    <w:rsid w:val="64AB714F"/>
    <w:rsid w:val="66652F54"/>
    <w:rsid w:val="6BAF6F1A"/>
    <w:rsid w:val="6FE639E1"/>
    <w:rsid w:val="7A6E10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8"/>
    <w:qFormat/>
    <w:uiPriority w:val="0"/>
    <w:pPr>
      <w:tabs>
        <w:tab w:val="left" w:pos="-1340"/>
      </w:tabs>
      <w:adjustRightInd w:val="0"/>
      <w:snapToGrid w:val="0"/>
      <w:spacing w:line="360" w:lineRule="auto"/>
      <w:ind w:firstLine="200" w:firstLineChars="200"/>
      <w:jc w:val="left"/>
      <w:outlineLvl w:val="1"/>
    </w:pPr>
    <w:rPr>
      <w:rFonts w:ascii="Arial" w:hAnsi="Arial"/>
      <w:bCs/>
      <w:kern w:val="0"/>
      <w:sz w:val="24"/>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0"/>
    <w:qFormat/>
    <w:uiPriority w:val="0"/>
    <w:pPr>
      <w:adjustRightInd w:val="0"/>
      <w:spacing w:line="360" w:lineRule="atLeast"/>
      <w:ind w:firstLine="420"/>
      <w:jc w:val="left"/>
      <w:textAlignment w:val="baseline"/>
    </w:pPr>
    <w:rPr>
      <w:rFonts w:ascii="Calibri" w:hAnsi="Calibri"/>
      <w:kern w:val="0"/>
      <w:sz w:val="24"/>
      <w:szCs w:val="20"/>
    </w:rPr>
  </w:style>
  <w:style w:type="paragraph" w:styleId="4">
    <w:name w:val="Body Text"/>
    <w:basedOn w:val="1"/>
    <w:link w:val="30"/>
    <w:semiHidden/>
    <w:unhideWhenUsed/>
    <w:qFormat/>
    <w:uiPriority w:val="99"/>
    <w:pPr>
      <w:spacing w:after="120"/>
    </w:pPr>
  </w:style>
  <w:style w:type="paragraph" w:styleId="5">
    <w:name w:val="Plain Text"/>
    <w:basedOn w:val="1"/>
    <w:link w:val="26"/>
    <w:qFormat/>
    <w:uiPriority w:val="0"/>
    <w:pPr>
      <w:adjustRightInd w:val="0"/>
      <w:spacing w:line="312" w:lineRule="atLeast"/>
      <w:textAlignment w:val="baseline"/>
    </w:pPr>
    <w:rPr>
      <w:rFonts w:ascii="宋体" w:hAnsi="Courier New" w:cstheme="minorBidi"/>
      <w:szCs w:val="22"/>
    </w:rPr>
  </w:style>
  <w:style w:type="paragraph" w:styleId="6">
    <w:name w:val="Body Text Indent 2"/>
    <w:basedOn w:val="1"/>
    <w:link w:val="19"/>
    <w:qFormat/>
    <w:uiPriority w:val="0"/>
    <w:pPr>
      <w:ind w:firstLine="434" w:firstLineChars="155"/>
    </w:pPr>
    <w:rPr>
      <w:sz w:val="28"/>
      <w:szCs w:val="21"/>
    </w:rPr>
  </w:style>
  <w:style w:type="paragraph" w:styleId="7">
    <w:name w:val="Balloon Text"/>
    <w:basedOn w:val="1"/>
    <w:link w:val="24"/>
    <w:unhideWhenUsed/>
    <w:uiPriority w:val="0"/>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jc w:val="left"/>
    </w:pPr>
    <w:rPr>
      <w:kern w:val="0"/>
      <w:sz w:val="24"/>
    </w:rPr>
  </w:style>
  <w:style w:type="paragraph" w:styleId="11">
    <w:name w:val="Body Text First Indent"/>
    <w:basedOn w:val="4"/>
    <w:link w:val="31"/>
    <w:unhideWhenUsed/>
    <w:qFormat/>
    <w:uiPriority w:val="99"/>
    <w:pPr>
      <w:ind w:firstLine="420" w:firstLineChars="100"/>
    </w:p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semiHidden/>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8">
    <w:name w:val="标题 2 Char"/>
    <w:basedOn w:val="14"/>
    <w:link w:val="2"/>
    <w:qFormat/>
    <w:uiPriority w:val="0"/>
    <w:rPr>
      <w:rFonts w:ascii="Arial" w:hAnsi="Arial" w:eastAsia="宋体" w:cs="Times New Roman"/>
      <w:bCs/>
      <w:kern w:val="0"/>
      <w:sz w:val="24"/>
      <w:szCs w:val="32"/>
    </w:rPr>
  </w:style>
  <w:style w:type="character" w:customStyle="1" w:styleId="19">
    <w:name w:val="正文文本缩进 2 Char"/>
    <w:basedOn w:val="14"/>
    <w:link w:val="6"/>
    <w:qFormat/>
    <w:uiPriority w:val="0"/>
    <w:rPr>
      <w:rFonts w:ascii="Times New Roman" w:hAnsi="Times New Roman" w:eastAsia="宋体" w:cs="Times New Roman"/>
      <w:sz w:val="28"/>
      <w:szCs w:val="21"/>
    </w:rPr>
  </w:style>
  <w:style w:type="character" w:customStyle="1" w:styleId="20">
    <w:name w:val="正文缩进 Char"/>
    <w:link w:val="3"/>
    <w:qFormat/>
    <w:uiPriority w:val="0"/>
    <w:rPr>
      <w:rFonts w:ascii="Calibri" w:hAnsi="Calibri" w:eastAsia="宋体" w:cs="Times New Roman"/>
      <w:kern w:val="0"/>
      <w:sz w:val="24"/>
      <w:szCs w:val="20"/>
    </w:rPr>
  </w:style>
  <w:style w:type="paragraph" w:customStyle="1" w:styleId="21">
    <w:name w:val="表格正文"/>
    <w:basedOn w:val="1"/>
    <w:qFormat/>
    <w:uiPriority w:val="0"/>
    <w:pPr>
      <w:spacing w:line="360" w:lineRule="exact"/>
      <w:jc w:val="center"/>
    </w:pPr>
    <w:rPr>
      <w:szCs w:val="20"/>
    </w:rPr>
  </w:style>
  <w:style w:type="paragraph" w:customStyle="1" w:styleId="22">
    <w:name w:val="正文2"/>
    <w:link w:val="23"/>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character" w:customStyle="1" w:styleId="23">
    <w:name w:val="正文2 Char"/>
    <w:link w:val="22"/>
    <w:qFormat/>
    <w:uiPriority w:val="0"/>
    <w:rPr>
      <w:rFonts w:ascii="Times New Roman" w:hAnsi="Times New Roman" w:eastAsia="宋体" w:cs="Times New Roman"/>
      <w:spacing w:val="18"/>
      <w:kern w:val="0"/>
      <w:sz w:val="32"/>
      <w:szCs w:val="20"/>
    </w:rPr>
  </w:style>
  <w:style w:type="character" w:customStyle="1" w:styleId="24">
    <w:name w:val="批注框文本 Char"/>
    <w:basedOn w:val="14"/>
    <w:link w:val="7"/>
    <w:semiHidden/>
    <w:qFormat/>
    <w:uiPriority w:val="99"/>
    <w:rPr>
      <w:rFonts w:ascii="Times New Roman" w:hAnsi="Times New Roman" w:eastAsia="宋体" w:cs="Times New Roman"/>
      <w:sz w:val="18"/>
      <w:szCs w:val="18"/>
    </w:rPr>
  </w:style>
  <w:style w:type="character" w:customStyle="1" w:styleId="25">
    <w:name w:val="纯文本 Char"/>
    <w:link w:val="5"/>
    <w:qFormat/>
    <w:uiPriority w:val="0"/>
    <w:rPr>
      <w:rFonts w:ascii="宋体" w:hAnsi="Courier New" w:eastAsia="宋体"/>
    </w:rPr>
  </w:style>
  <w:style w:type="character" w:customStyle="1" w:styleId="26">
    <w:name w:val="纯文本 Char1"/>
    <w:basedOn w:val="14"/>
    <w:link w:val="5"/>
    <w:semiHidden/>
    <w:qFormat/>
    <w:uiPriority w:val="99"/>
    <w:rPr>
      <w:rFonts w:ascii="宋体" w:hAnsi="Courier New" w:eastAsia="宋体" w:cs="Courier New"/>
      <w:szCs w:val="21"/>
    </w:rPr>
  </w:style>
  <w:style w:type="paragraph" w:customStyle="1" w:styleId="27">
    <w:name w:val="样式1"/>
    <w:basedOn w:val="1"/>
    <w:qFormat/>
    <w:uiPriority w:val="0"/>
    <w:pPr>
      <w:spacing w:line="360" w:lineRule="exact"/>
      <w:ind w:firstLine="420" w:firstLineChars="200"/>
    </w:pPr>
  </w:style>
  <w:style w:type="paragraph" w:customStyle="1" w:styleId="28">
    <w:name w:val="中文报告书样式"/>
    <w:basedOn w:val="1"/>
    <w:qFormat/>
    <w:uiPriority w:val="0"/>
    <w:pPr>
      <w:adjustRightInd w:val="0"/>
      <w:spacing w:line="480" w:lineRule="atLeast"/>
      <w:ind w:firstLine="482"/>
      <w:textAlignment w:val="baseline"/>
    </w:pPr>
    <w:rPr>
      <w:rFonts w:ascii="Calibri" w:hAnsi="Calibri" w:cs="Calibri"/>
      <w:kern w:val="24"/>
      <w:sz w:val="24"/>
      <w:szCs w:val="20"/>
    </w:rPr>
  </w:style>
  <w:style w:type="paragraph" w:styleId="29">
    <w:name w:val="List Paragraph"/>
    <w:basedOn w:val="1"/>
    <w:qFormat/>
    <w:uiPriority w:val="0"/>
    <w:pPr>
      <w:ind w:firstLine="420" w:firstLineChars="200"/>
    </w:pPr>
    <w:rPr>
      <w:szCs w:val="20"/>
    </w:rPr>
  </w:style>
  <w:style w:type="character" w:customStyle="1" w:styleId="30">
    <w:name w:val="正文文本 Char"/>
    <w:basedOn w:val="14"/>
    <w:link w:val="4"/>
    <w:semiHidden/>
    <w:qFormat/>
    <w:uiPriority w:val="99"/>
    <w:rPr>
      <w:rFonts w:ascii="Times New Roman" w:hAnsi="Times New Roman" w:eastAsia="宋体" w:cs="Times New Roman"/>
      <w:szCs w:val="24"/>
    </w:rPr>
  </w:style>
  <w:style w:type="character" w:customStyle="1" w:styleId="31">
    <w:name w:val="正文首行缩进 Char"/>
    <w:basedOn w:val="30"/>
    <w:link w:val="11"/>
    <w:qFormat/>
    <w:uiPriority w:val="99"/>
  </w:style>
  <w:style w:type="character" w:customStyle="1" w:styleId="32">
    <w:name w:val="表格 Char"/>
    <w:qFormat/>
    <w:uiPriority w:val="0"/>
    <w:rPr>
      <w:rFonts w:ascii="宋体" w:hAnsi="宋体" w:eastAsia="宋体"/>
      <w:snapToGrid w:val="0"/>
      <w:kern w:val="2"/>
      <w:sz w:val="24"/>
      <w:szCs w:val="24"/>
      <w:lang w:val="en-US" w:eastAsia="zh-CN" w:bidi="ar-SA"/>
    </w:rPr>
  </w:style>
  <w:style w:type="paragraph" w:customStyle="1" w:styleId="33">
    <w:name w:val="p0"/>
    <w:basedOn w:val="1"/>
    <w:qFormat/>
    <w:uiPriority w:val="0"/>
    <w:pPr>
      <w:widowControl/>
    </w:pPr>
    <w:rPr>
      <w:kern w:val="0"/>
      <w:szCs w:val="21"/>
    </w:rPr>
  </w:style>
  <w:style w:type="paragraph" w:customStyle="1" w:styleId="34">
    <w:name w:val="表格2"/>
    <w:basedOn w:val="1"/>
    <w:qFormat/>
    <w:uiPriority w:val="0"/>
    <w:pPr>
      <w:spacing w:line="320" w:lineRule="exact"/>
      <w:jc w:val="center"/>
    </w:pPr>
    <w:rPr>
      <w:sz w:val="24"/>
      <w:szCs w:val="28"/>
    </w:rPr>
  </w:style>
  <w:style w:type="character" w:customStyle="1" w:styleId="35">
    <w:name w:val="批注框文本 字符"/>
    <w:qFormat/>
    <w:uiPriority w:val="0"/>
    <w:rPr>
      <w:rFonts w:eastAsia="宋体"/>
      <w:kern w:val="2"/>
      <w:sz w:val="18"/>
      <w:szCs w:val="18"/>
      <w:lang w:val="en-US" w:eastAsia="zh-CN" w:bidi="ar-SA"/>
    </w:rPr>
  </w:style>
  <w:style w:type="character" w:customStyle="1" w:styleId="36">
    <w:name w:val="正文缩进 字符"/>
    <w:qFormat/>
    <w:uiPriority w:val="0"/>
    <w:rPr>
      <w:rFonts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1"/>
    <customShpInfo spid="_x0000_s2052"/>
    <customShpInfo spid="_x0000_s2053"/>
    <customShpInfo spid="_x0000_s2077"/>
    <customShpInfo spid="_x0000_s2054"/>
    <customShpInfo spid="_x0000_s2055"/>
    <customShpInfo spid="_x0000_s2056"/>
    <customShpInfo spid="_x0000_s2057"/>
    <customShpInfo spid="_x0000_s2058"/>
    <customShpInfo spid="_x0000_s2059"/>
    <customShpInfo spid="_x0000_s2060"/>
    <customShpInfo spid="_x0000_s2061"/>
    <customShpInfo spid="_x0000_s2065"/>
    <customShpInfo spid="_x0000_s2062"/>
    <customShpInfo spid="_x0000_s2063"/>
    <customShpInfo spid="_x0000_s2064"/>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4260</Words>
  <Characters>24287</Characters>
  <Lines>202</Lines>
  <Paragraphs>56</Paragraphs>
  <TotalTime>5</TotalTime>
  <ScaleCrop>false</ScaleCrop>
  <LinksUpToDate>false</LinksUpToDate>
  <CharactersWithSpaces>28491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2019-01-01T15:55:00Z</dcterms:created>
  <dc:creator>FENGJUN</dc:creator>
  <cp:lastModifiedBy>charon.</cp:lastModifiedBy>
  <cp:lastPrinted>2019-01-10T14:07:00Z</cp:lastPrinted>
  <dcterms:modified xsi:type="dcterms:W3CDTF">2024-01-30T02:33:42Z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2603CA5792604DD2B6477588CA0FDAF1_13</vt:lpwstr>
  </property>
</Properties>
</file>