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default" w:ascii="Times New Roman" w:hAnsi="Times New Roman" w:cs="Times New Roman"/>
          <w:b/>
          <w:snapToGrid w:val="0"/>
          <w:kern w:val="0"/>
          <w:sz w:val="36"/>
          <w:szCs w:val="36"/>
          <w:highlight w:val="none"/>
        </w:rPr>
      </w:pPr>
      <w:bookmarkStart w:id="0" w:name="_Toc521334349"/>
    </w:p>
    <w:p>
      <w:pPr>
        <w:adjustRightInd w:val="0"/>
        <w:snapToGrid w:val="0"/>
        <w:spacing w:line="360" w:lineRule="auto"/>
        <w:jc w:val="center"/>
        <w:rPr>
          <w:rFonts w:hint="default" w:ascii="Times New Roman" w:hAnsi="Times New Roman" w:cs="Times New Roman"/>
          <w:b/>
          <w:snapToGrid w:val="0"/>
          <w:kern w:val="0"/>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snapToGrid w:val="0"/>
          <w:kern w:val="0"/>
          <w:sz w:val="48"/>
          <w:szCs w:val="48"/>
          <w:highlight w:val="none"/>
        </w:rPr>
      </w:pPr>
      <w:r>
        <w:rPr>
          <w:rFonts w:hint="default" w:ascii="Times New Roman" w:hAnsi="Times New Roman" w:cs="Times New Roman"/>
          <w:b/>
          <w:snapToGrid w:val="0"/>
          <w:kern w:val="0"/>
          <w:sz w:val="48"/>
          <w:szCs w:val="48"/>
          <w:highlight w:val="none"/>
        </w:rPr>
        <w:t>秦皇岛市国飞农业科技发展有限公司</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snapToGrid w:val="0"/>
          <w:kern w:val="0"/>
          <w:sz w:val="48"/>
          <w:szCs w:val="48"/>
          <w:highlight w:val="none"/>
        </w:rPr>
      </w:pPr>
      <w:r>
        <w:rPr>
          <w:rFonts w:hint="default" w:ascii="Times New Roman" w:hAnsi="Times New Roman" w:cs="Times New Roman"/>
          <w:b/>
          <w:snapToGrid w:val="0"/>
          <w:kern w:val="0"/>
          <w:sz w:val="48"/>
          <w:szCs w:val="48"/>
          <w:highlight w:val="none"/>
        </w:rPr>
        <w:t>国飞农业产业园项目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snapToGrid w:val="0"/>
          <w:kern w:val="0"/>
          <w:sz w:val="84"/>
          <w:szCs w:val="84"/>
          <w:highlight w:val="none"/>
        </w:rPr>
      </w:pPr>
      <w:r>
        <w:rPr>
          <w:rFonts w:hint="default" w:ascii="Times New Roman" w:hAnsi="Times New Roman" w:cs="Times New Roman"/>
          <w:b/>
          <w:snapToGrid w:val="0"/>
          <w:kern w:val="0"/>
          <w:sz w:val="84"/>
          <w:szCs w:val="84"/>
          <w:highlight w:val="none"/>
        </w:rPr>
        <w:t>环境影响报告书</w:t>
      </w:r>
    </w:p>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w:t>
      </w: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pStyle w:val="2"/>
        <w:rPr>
          <w:rFonts w:hint="default" w:ascii="Times New Roman" w:hAnsi="Times New Roman" w:cs="Times New Roman"/>
          <w:sz w:val="24"/>
          <w:szCs w:val="24"/>
          <w:highlight w:val="none"/>
        </w:rPr>
      </w:pPr>
    </w:p>
    <w:p>
      <w:pPr>
        <w:rPr>
          <w:rFonts w:hint="default" w:ascii="Times New Roman" w:hAnsi="Times New Roman" w:cs="Times New Roman"/>
          <w:sz w:val="24"/>
          <w:szCs w:val="24"/>
          <w:highlight w:val="none"/>
        </w:rPr>
      </w:pPr>
    </w:p>
    <w:p>
      <w:pPr>
        <w:pStyle w:val="2"/>
        <w:rPr>
          <w:rFonts w:hint="default" w:ascii="Times New Roman" w:hAnsi="Times New Roman" w:cs="Times New Roman"/>
          <w:sz w:val="24"/>
          <w:szCs w:val="24"/>
          <w:highlight w:val="none"/>
        </w:rPr>
      </w:pPr>
    </w:p>
    <w:p>
      <w:pPr>
        <w:rPr>
          <w:rFonts w:hint="default"/>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adjustRightInd w:val="0"/>
        <w:snapToGrid w:val="0"/>
        <w:jc w:val="center"/>
        <w:rPr>
          <w:rFonts w:hint="default" w:ascii="Times New Roman" w:hAnsi="Times New Roman" w:cs="Times New Roman"/>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80" w:lineRule="exact"/>
        <w:ind w:firstLine="904" w:firstLineChars="300"/>
        <w:jc w:val="both"/>
        <w:textAlignment w:val="auto"/>
        <w:rPr>
          <w:rFonts w:hint="default" w:ascii="Times New Roman" w:hAnsi="Times New Roman" w:cs="Times New Roman"/>
          <w:b/>
          <w:bCs/>
          <w:sz w:val="30"/>
          <w:szCs w:val="30"/>
          <w:highlight w:val="none"/>
        </w:rPr>
      </w:pPr>
      <w:r>
        <w:rPr>
          <w:rFonts w:hint="default" w:ascii="Times New Roman" w:hAnsi="Times New Roman" w:cs="Times New Roman"/>
          <w:b/>
          <w:bCs/>
          <w:sz w:val="30"/>
          <w:szCs w:val="30"/>
          <w:highlight w:val="none"/>
        </w:rPr>
        <w:t>建设单位：秦皇岛市国飞农业科技发展有限公司</w:t>
      </w:r>
    </w:p>
    <w:p>
      <w:pPr>
        <w:keepNext w:val="0"/>
        <w:keepLines w:val="0"/>
        <w:pageBreakBefore w:val="0"/>
        <w:widowControl w:val="0"/>
        <w:kinsoku/>
        <w:wordWrap/>
        <w:overflowPunct/>
        <w:topLinePunct w:val="0"/>
        <w:autoSpaceDE/>
        <w:autoSpaceDN/>
        <w:bidi w:val="0"/>
        <w:adjustRightInd w:val="0"/>
        <w:snapToGrid w:val="0"/>
        <w:spacing w:line="480" w:lineRule="exact"/>
        <w:ind w:firstLine="904" w:firstLineChars="300"/>
        <w:jc w:val="both"/>
        <w:textAlignment w:val="auto"/>
        <w:rPr>
          <w:rFonts w:hint="default" w:ascii="Times New Roman" w:hAnsi="Times New Roman" w:cs="Times New Roman"/>
          <w:b/>
          <w:bCs/>
          <w:sz w:val="30"/>
          <w:szCs w:val="30"/>
          <w:highlight w:val="none"/>
          <w:lang w:eastAsia="zh-CN"/>
        </w:rPr>
      </w:pPr>
      <w:r>
        <w:rPr>
          <w:rFonts w:hint="default" w:ascii="Times New Roman" w:hAnsi="Times New Roman" w:cs="Times New Roman"/>
          <w:b/>
          <w:bCs/>
          <w:sz w:val="30"/>
          <w:szCs w:val="30"/>
          <w:highlight w:val="none"/>
          <w:lang w:eastAsia="zh-CN"/>
        </w:rPr>
        <w:t>编制单位：深圳市多瑞环保科技有限公司</w:t>
      </w:r>
    </w:p>
    <w:p>
      <w:pPr>
        <w:keepNext w:val="0"/>
        <w:keepLines w:val="0"/>
        <w:pageBreakBefore w:val="0"/>
        <w:widowControl w:val="0"/>
        <w:kinsoku/>
        <w:wordWrap/>
        <w:overflowPunct/>
        <w:topLinePunct w:val="0"/>
        <w:autoSpaceDE/>
        <w:autoSpaceDN/>
        <w:bidi w:val="0"/>
        <w:adjustRightInd w:val="0"/>
        <w:snapToGrid w:val="0"/>
        <w:spacing w:line="480" w:lineRule="exact"/>
        <w:ind w:firstLine="904" w:firstLineChars="300"/>
        <w:jc w:val="both"/>
        <w:textAlignment w:val="auto"/>
        <w:rPr>
          <w:rFonts w:hint="default" w:ascii="Times New Roman" w:hAnsi="Times New Roman" w:eastAsia="宋体" w:cs="Times New Roman"/>
          <w:b/>
          <w:bCs/>
          <w:sz w:val="30"/>
          <w:szCs w:val="30"/>
          <w:highlight w:val="none"/>
          <w:lang w:eastAsia="zh-CN"/>
        </w:rPr>
        <w:sectPr>
          <w:footerReference r:id="rId3"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cs="Times New Roman"/>
          <w:b/>
          <w:bCs/>
          <w:sz w:val="30"/>
          <w:szCs w:val="30"/>
          <w:highlight w:val="none"/>
        </w:rPr>
        <w:t>编制时间：</w:t>
      </w:r>
      <w:r>
        <w:rPr>
          <w:rFonts w:hint="default" w:ascii="Times New Roman" w:hAnsi="Times New Roman" w:cs="Times New Roman"/>
          <w:b/>
          <w:bCs/>
          <w:sz w:val="30"/>
          <w:szCs w:val="30"/>
          <w:highlight w:val="none"/>
          <w:lang w:eastAsia="zh-CN"/>
        </w:rPr>
        <w:t>二零二零年</w:t>
      </w:r>
      <w:r>
        <w:rPr>
          <w:rFonts w:hint="eastAsia" w:ascii="Times New Roman" w:hAnsi="Times New Roman" w:cs="Times New Roman"/>
          <w:b/>
          <w:bCs/>
          <w:sz w:val="30"/>
          <w:szCs w:val="30"/>
          <w:highlight w:val="none"/>
          <w:lang w:val="en-US" w:eastAsia="zh-CN"/>
        </w:rPr>
        <w:t>四</w:t>
      </w:r>
      <w:r>
        <w:rPr>
          <w:rFonts w:hint="default" w:ascii="Times New Roman" w:hAnsi="Times New Roman" w:cs="Times New Roman"/>
          <w:b/>
          <w:bCs/>
          <w:sz w:val="30"/>
          <w:szCs w:val="30"/>
          <w:highlight w:val="none"/>
          <w:lang w:eastAsia="zh-CN"/>
        </w:rPr>
        <w:t>月</w:t>
      </w:r>
    </w:p>
    <w:p>
      <w:pPr>
        <w:pStyle w:val="358"/>
        <w:adjustRightInd w:val="0"/>
        <w:snapToGrid w:val="0"/>
        <w:rPr>
          <w:rFonts w:hint="default" w:ascii="Times New Roman" w:hAnsi="Times New Roman" w:cs="Times New Roman"/>
          <w:highlight w:val="none"/>
        </w:rPr>
      </w:pPr>
      <w:r>
        <w:rPr>
          <w:rFonts w:hint="default" w:ascii="Times New Roman" w:hAnsi="Times New Roman" w:cs="Times New Roman"/>
          <w:highlight w:val="none"/>
        </w:rPr>
        <w:t>目  录</w:t>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sz w:val="36"/>
          <w:szCs w:val="36"/>
          <w:highlight w:val="none"/>
        </w:rPr>
        <w:fldChar w:fldCharType="begin"/>
      </w:r>
      <w:r>
        <w:rPr>
          <w:rFonts w:hint="default" w:ascii="Times New Roman" w:hAnsi="Times New Roman" w:eastAsia="宋体" w:cs="Times New Roman"/>
          <w:sz w:val="36"/>
          <w:szCs w:val="36"/>
          <w:highlight w:val="none"/>
        </w:rPr>
        <w:instrText xml:space="preserve"> TOC \o "1-2" \h \z \u </w:instrText>
      </w:r>
      <w:r>
        <w:rPr>
          <w:rFonts w:hint="default" w:ascii="Times New Roman" w:hAnsi="Times New Roman" w:eastAsia="宋体" w:cs="Times New Roman"/>
          <w:sz w:val="36"/>
          <w:szCs w:val="36"/>
          <w:highlight w:val="none"/>
        </w:rPr>
        <w:fldChar w:fldCharType="separate"/>
      </w:r>
      <w:r>
        <w:rPr>
          <w:rFonts w:hint="default" w:ascii="Times New Roman" w:hAnsi="Times New Roman" w:eastAsia="宋体" w:cs="Times New Roman"/>
          <w:b/>
          <w:bCs/>
          <w:szCs w:val="36"/>
          <w:highlight w:val="none"/>
        </w:rPr>
        <w:fldChar w:fldCharType="begin"/>
      </w:r>
      <w:r>
        <w:rPr>
          <w:rFonts w:hint="default" w:ascii="Times New Roman" w:hAnsi="Times New Roman" w:eastAsia="宋体" w:cs="Times New Roman"/>
          <w:b/>
          <w:bCs/>
          <w:szCs w:val="36"/>
          <w:highlight w:val="none"/>
        </w:rPr>
        <w:instrText xml:space="preserve"> HYPERLINK \l _Toc1702 </w:instrText>
      </w:r>
      <w:r>
        <w:rPr>
          <w:rFonts w:hint="default" w:ascii="Times New Roman" w:hAnsi="Times New Roman" w:eastAsia="宋体" w:cs="Times New Roman"/>
          <w:b/>
          <w:bCs/>
          <w:szCs w:val="36"/>
          <w:highlight w:val="none"/>
        </w:rPr>
        <w:fldChar w:fldCharType="separate"/>
      </w:r>
      <w:r>
        <w:rPr>
          <w:rFonts w:hint="default" w:ascii="Times New Roman" w:hAnsi="Times New Roman" w:eastAsia="宋体" w:cs="Times New Roman"/>
          <w:b/>
          <w:bCs/>
          <w:szCs w:val="32"/>
          <w:highlight w:val="none"/>
        </w:rPr>
        <w:t>概述</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_Toc1702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1</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_Toc29000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0.1项目由来</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_Toc29000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_Toc14324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0.2项目特点</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_Toc14324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_Toc2214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0.3环评过程简介</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_Toc2214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_Toc16158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0.4分析判定相关情况</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_Toc16158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2</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_Toc7675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0.5评价主要结论</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_Toc7675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11</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b/>
          <w:bCs/>
          <w:snapToGrid w:val="0"/>
          <w:kern w:val="0"/>
          <w:szCs w:val="36"/>
          <w:highlight w:val="none"/>
        </w:rPr>
        <w:fldChar w:fldCharType="begin"/>
      </w:r>
      <w:r>
        <w:rPr>
          <w:rFonts w:hint="default" w:ascii="Times New Roman" w:hAnsi="Times New Roman" w:eastAsia="宋体" w:cs="Times New Roman"/>
          <w:b/>
          <w:bCs/>
          <w:snapToGrid w:val="0"/>
          <w:kern w:val="0"/>
          <w:szCs w:val="36"/>
          <w:highlight w:val="none"/>
        </w:rPr>
        <w:instrText xml:space="preserve"> HYPERLINK \l _Toc18118 </w:instrText>
      </w:r>
      <w:r>
        <w:rPr>
          <w:rFonts w:hint="default" w:ascii="Times New Roman" w:hAnsi="Times New Roman" w:eastAsia="宋体" w:cs="Times New Roman"/>
          <w:b/>
          <w:bCs/>
          <w:snapToGrid w:val="0"/>
          <w:kern w:val="0"/>
          <w:szCs w:val="36"/>
          <w:highlight w:val="none"/>
        </w:rPr>
        <w:fldChar w:fldCharType="separate"/>
      </w:r>
      <w:r>
        <w:rPr>
          <w:rFonts w:hint="default" w:ascii="Times New Roman" w:hAnsi="Times New Roman" w:eastAsia="宋体" w:cs="Times New Roman"/>
          <w:b/>
          <w:bCs/>
          <w:szCs w:val="32"/>
          <w:highlight w:val="none"/>
        </w:rPr>
        <w:t>1</w:t>
      </w:r>
      <w:r>
        <w:rPr>
          <w:rFonts w:hint="default" w:ascii="Times New Roman" w:hAnsi="Times New Roman" w:eastAsia="宋体" w:cs="Times New Roman"/>
          <w:b/>
          <w:bCs/>
          <w:szCs w:val="32"/>
          <w:highlight w:val="none"/>
          <w:lang w:val="en-US" w:eastAsia="zh-CN"/>
        </w:rPr>
        <w:t>总则</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_Toc18118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14</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_Toc22452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1.1编制依据</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_Toc22452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14</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_Toc12460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1.2评价因子和评价标准</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_Toc12460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18</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_Toc14705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1.3评价等级和评价重点</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_Toc14705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25</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_Toc32587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1.4评价范围及环境保护目标</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_Toc32587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32</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b/>
          <w:bCs/>
          <w:snapToGrid w:val="0"/>
          <w:kern w:val="0"/>
          <w:szCs w:val="36"/>
          <w:highlight w:val="none"/>
        </w:rPr>
        <w:fldChar w:fldCharType="begin"/>
      </w:r>
      <w:r>
        <w:rPr>
          <w:rFonts w:hint="default" w:ascii="Times New Roman" w:hAnsi="Times New Roman" w:eastAsia="宋体" w:cs="Times New Roman"/>
          <w:b/>
          <w:bCs/>
          <w:snapToGrid w:val="0"/>
          <w:kern w:val="0"/>
          <w:szCs w:val="36"/>
          <w:highlight w:val="none"/>
        </w:rPr>
        <w:instrText xml:space="preserve"> HYPERLINK \l _Toc31665 </w:instrText>
      </w:r>
      <w:r>
        <w:rPr>
          <w:rFonts w:hint="default" w:ascii="Times New Roman" w:hAnsi="Times New Roman" w:eastAsia="宋体" w:cs="Times New Roman"/>
          <w:b/>
          <w:bCs/>
          <w:snapToGrid w:val="0"/>
          <w:kern w:val="0"/>
          <w:szCs w:val="36"/>
          <w:highlight w:val="none"/>
        </w:rPr>
        <w:fldChar w:fldCharType="separate"/>
      </w:r>
      <w:r>
        <w:rPr>
          <w:rFonts w:hint="default" w:ascii="Times New Roman" w:hAnsi="Times New Roman" w:eastAsia="宋体" w:cs="Times New Roman"/>
          <w:b/>
          <w:bCs/>
          <w:szCs w:val="32"/>
          <w:highlight w:val="none"/>
        </w:rPr>
        <w:t>2建设项目概况和工程分析</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_Toc31665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34</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_Toc4429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2.1基本概况</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_Toc4429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34</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_Toc4602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2.2项目组成</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_Toc4602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35</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_Toc26017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2.3主要设备</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_Toc26017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38</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_Toc23316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2.4 生猪饲养工艺流程</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_Toc23316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38</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_Toc5429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2.5 工艺流程</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_Toc5429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39</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_Toc5202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2.6 水平衡分析</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_Toc5202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40</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_Toc22443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2.7 营运期主要污染源分析</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_Toc22443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45</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b/>
          <w:bCs/>
          <w:snapToGrid w:val="0"/>
          <w:kern w:val="0"/>
          <w:szCs w:val="36"/>
          <w:highlight w:val="none"/>
        </w:rPr>
        <w:fldChar w:fldCharType="begin"/>
      </w:r>
      <w:r>
        <w:rPr>
          <w:rFonts w:hint="default" w:ascii="Times New Roman" w:hAnsi="Times New Roman" w:eastAsia="宋体" w:cs="Times New Roman"/>
          <w:b/>
          <w:bCs/>
          <w:snapToGrid w:val="0"/>
          <w:kern w:val="0"/>
          <w:szCs w:val="36"/>
          <w:highlight w:val="none"/>
        </w:rPr>
        <w:instrText xml:space="preserve"> HYPERLINK \l _Toc12291 </w:instrText>
      </w:r>
      <w:r>
        <w:rPr>
          <w:rFonts w:hint="default" w:ascii="Times New Roman" w:hAnsi="Times New Roman" w:eastAsia="宋体" w:cs="Times New Roman"/>
          <w:b/>
          <w:bCs/>
          <w:snapToGrid w:val="0"/>
          <w:kern w:val="0"/>
          <w:szCs w:val="36"/>
          <w:highlight w:val="none"/>
        </w:rPr>
        <w:fldChar w:fldCharType="separate"/>
      </w:r>
      <w:r>
        <w:rPr>
          <w:rFonts w:hint="default" w:ascii="Times New Roman" w:hAnsi="Times New Roman" w:eastAsia="宋体" w:cs="Times New Roman"/>
          <w:b/>
          <w:bCs/>
          <w:szCs w:val="32"/>
          <w:highlight w:val="none"/>
        </w:rPr>
        <w:t>3环境现状调查与评价</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_Toc12291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55</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_Toc21116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3.1地理位置</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_Toc21116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55</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_Toc28798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3.2自然环境概况</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_Toc28798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55</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_Toc11877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3.3 环境功能区划</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_Toc11877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60</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_Toc29791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3.4区域污染源调查</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_Toc29791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60</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_Toc3349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3.5环境质量现状监测与评价</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_Toc3349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61</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b/>
          <w:bCs/>
          <w:snapToGrid w:val="0"/>
          <w:kern w:val="0"/>
          <w:szCs w:val="36"/>
          <w:highlight w:val="none"/>
        </w:rPr>
        <w:fldChar w:fldCharType="begin"/>
      </w:r>
      <w:r>
        <w:rPr>
          <w:rFonts w:hint="default" w:ascii="Times New Roman" w:hAnsi="Times New Roman" w:eastAsia="宋体" w:cs="Times New Roman"/>
          <w:b/>
          <w:bCs/>
          <w:snapToGrid w:val="0"/>
          <w:kern w:val="0"/>
          <w:szCs w:val="36"/>
          <w:highlight w:val="none"/>
        </w:rPr>
        <w:instrText xml:space="preserve"> HYPERLINK \l _Toc1527 </w:instrText>
      </w:r>
      <w:r>
        <w:rPr>
          <w:rFonts w:hint="default" w:ascii="Times New Roman" w:hAnsi="Times New Roman" w:eastAsia="宋体" w:cs="Times New Roman"/>
          <w:b/>
          <w:bCs/>
          <w:snapToGrid w:val="0"/>
          <w:kern w:val="0"/>
          <w:szCs w:val="36"/>
          <w:highlight w:val="none"/>
        </w:rPr>
        <w:fldChar w:fldCharType="separate"/>
      </w:r>
      <w:r>
        <w:rPr>
          <w:rFonts w:hint="default" w:ascii="Times New Roman" w:hAnsi="Times New Roman" w:eastAsia="宋体" w:cs="Times New Roman"/>
          <w:b/>
          <w:bCs/>
          <w:szCs w:val="32"/>
          <w:highlight w:val="none"/>
        </w:rPr>
        <w:t>4环境影响预测分析与评价</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_Toc1527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78</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_Toc2420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4.1施工期环境影响分析</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_Toc2420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78</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_Toc20224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4.2运营期环境影响预测与评价</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_Toc20224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84</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b/>
          <w:bCs/>
          <w:snapToGrid w:val="0"/>
          <w:kern w:val="0"/>
          <w:szCs w:val="36"/>
          <w:highlight w:val="none"/>
        </w:rPr>
        <w:fldChar w:fldCharType="begin"/>
      </w:r>
      <w:r>
        <w:rPr>
          <w:rFonts w:hint="default" w:ascii="Times New Roman" w:hAnsi="Times New Roman" w:eastAsia="宋体" w:cs="Times New Roman"/>
          <w:b/>
          <w:bCs/>
          <w:snapToGrid w:val="0"/>
          <w:kern w:val="0"/>
          <w:szCs w:val="36"/>
          <w:highlight w:val="none"/>
        </w:rPr>
        <w:instrText xml:space="preserve"> HYPERLINK \l _Toc32511 </w:instrText>
      </w:r>
      <w:r>
        <w:rPr>
          <w:rFonts w:hint="default" w:ascii="Times New Roman" w:hAnsi="Times New Roman" w:eastAsia="宋体" w:cs="Times New Roman"/>
          <w:b/>
          <w:bCs/>
          <w:snapToGrid w:val="0"/>
          <w:kern w:val="0"/>
          <w:szCs w:val="36"/>
          <w:highlight w:val="none"/>
        </w:rPr>
        <w:fldChar w:fldCharType="separate"/>
      </w:r>
      <w:r>
        <w:rPr>
          <w:rFonts w:hint="default" w:ascii="Times New Roman" w:hAnsi="Times New Roman" w:eastAsia="宋体" w:cs="Times New Roman"/>
          <w:b/>
          <w:bCs/>
          <w:szCs w:val="32"/>
          <w:highlight w:val="none"/>
        </w:rPr>
        <w:t>5环境保护措施及其可行性论证</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_Toc32511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105</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_Toc23306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5.1施工期环保措施</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_Toc23306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105</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_Toc30978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5.</w:t>
      </w:r>
      <w:r>
        <w:rPr>
          <w:rFonts w:hint="default" w:ascii="Times New Roman" w:hAnsi="Times New Roman" w:eastAsia="宋体" w:cs="Times New Roman"/>
          <w:bCs/>
          <w:szCs w:val="30"/>
          <w:highlight w:val="none"/>
          <w:lang w:val="en-US" w:eastAsia="zh-CN"/>
        </w:rPr>
        <w:t>2</w:t>
      </w:r>
      <w:r>
        <w:rPr>
          <w:rFonts w:hint="default" w:ascii="Times New Roman" w:hAnsi="Times New Roman" w:eastAsia="宋体" w:cs="Times New Roman"/>
          <w:bCs/>
          <w:szCs w:val="30"/>
          <w:highlight w:val="none"/>
        </w:rPr>
        <w:t>运营期环境保护措施论证</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_Toc30978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106</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b/>
          <w:bCs/>
          <w:snapToGrid w:val="0"/>
          <w:kern w:val="0"/>
          <w:szCs w:val="36"/>
          <w:highlight w:val="none"/>
        </w:rPr>
        <w:fldChar w:fldCharType="begin"/>
      </w:r>
      <w:r>
        <w:rPr>
          <w:rFonts w:hint="default" w:ascii="Times New Roman" w:hAnsi="Times New Roman" w:eastAsia="宋体" w:cs="Times New Roman"/>
          <w:b/>
          <w:bCs/>
          <w:snapToGrid w:val="0"/>
          <w:kern w:val="0"/>
          <w:szCs w:val="36"/>
          <w:highlight w:val="none"/>
        </w:rPr>
        <w:instrText xml:space="preserve"> HYPERLINK \l _Toc26178 </w:instrText>
      </w:r>
      <w:r>
        <w:rPr>
          <w:rFonts w:hint="default" w:ascii="Times New Roman" w:hAnsi="Times New Roman" w:eastAsia="宋体" w:cs="Times New Roman"/>
          <w:b/>
          <w:bCs/>
          <w:snapToGrid w:val="0"/>
          <w:kern w:val="0"/>
          <w:szCs w:val="36"/>
          <w:highlight w:val="none"/>
        </w:rPr>
        <w:fldChar w:fldCharType="separate"/>
      </w:r>
      <w:r>
        <w:rPr>
          <w:rFonts w:hint="default" w:ascii="Times New Roman" w:hAnsi="Times New Roman" w:eastAsia="宋体" w:cs="Times New Roman"/>
          <w:b/>
          <w:bCs/>
          <w:szCs w:val="32"/>
          <w:highlight w:val="none"/>
        </w:rPr>
        <w:t>6环境影响经济损益分析</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_Toc26178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114</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_Toc28863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6.1环保投资比例分析</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_Toc28863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114</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_Toc9087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6.2环保投资效益分析</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_Toc9087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115</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b/>
          <w:bCs/>
          <w:snapToGrid w:val="0"/>
          <w:kern w:val="0"/>
          <w:szCs w:val="36"/>
          <w:highlight w:val="none"/>
        </w:rPr>
        <w:fldChar w:fldCharType="begin"/>
      </w:r>
      <w:r>
        <w:rPr>
          <w:rFonts w:hint="default" w:ascii="Times New Roman" w:hAnsi="Times New Roman" w:eastAsia="宋体" w:cs="Times New Roman"/>
          <w:b/>
          <w:bCs/>
          <w:snapToGrid w:val="0"/>
          <w:kern w:val="0"/>
          <w:szCs w:val="36"/>
          <w:highlight w:val="none"/>
        </w:rPr>
        <w:instrText xml:space="preserve"> HYPERLINK \l _Toc31176 </w:instrText>
      </w:r>
      <w:r>
        <w:rPr>
          <w:rFonts w:hint="default" w:ascii="Times New Roman" w:hAnsi="Times New Roman" w:eastAsia="宋体" w:cs="Times New Roman"/>
          <w:b/>
          <w:bCs/>
          <w:snapToGrid w:val="0"/>
          <w:kern w:val="0"/>
          <w:szCs w:val="36"/>
          <w:highlight w:val="none"/>
        </w:rPr>
        <w:fldChar w:fldCharType="separate"/>
      </w:r>
      <w:r>
        <w:rPr>
          <w:rFonts w:hint="default" w:ascii="Times New Roman" w:hAnsi="Times New Roman" w:eastAsia="宋体" w:cs="Times New Roman"/>
          <w:b/>
          <w:bCs/>
          <w:szCs w:val="32"/>
          <w:highlight w:val="none"/>
        </w:rPr>
        <w:t>7选址合理性及平面布局合理性分析</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_Toc31176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118</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_Toc15296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7.1选址合理性分析</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_Toc15296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118</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_Toc13837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7.2平面布局合理性分析</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_Toc13837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119</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b/>
          <w:bCs/>
          <w:snapToGrid w:val="0"/>
          <w:kern w:val="0"/>
          <w:szCs w:val="36"/>
          <w:highlight w:val="none"/>
        </w:rPr>
        <w:fldChar w:fldCharType="begin"/>
      </w:r>
      <w:r>
        <w:rPr>
          <w:rFonts w:hint="default" w:ascii="Times New Roman" w:hAnsi="Times New Roman" w:eastAsia="宋体" w:cs="Times New Roman"/>
          <w:b/>
          <w:bCs/>
          <w:snapToGrid w:val="0"/>
          <w:kern w:val="0"/>
          <w:szCs w:val="36"/>
          <w:highlight w:val="none"/>
        </w:rPr>
        <w:instrText xml:space="preserve"> HYPERLINK \l _Toc6777 </w:instrText>
      </w:r>
      <w:r>
        <w:rPr>
          <w:rFonts w:hint="default" w:ascii="Times New Roman" w:hAnsi="Times New Roman" w:eastAsia="宋体" w:cs="Times New Roman"/>
          <w:b/>
          <w:bCs/>
          <w:snapToGrid w:val="0"/>
          <w:kern w:val="0"/>
          <w:szCs w:val="36"/>
          <w:highlight w:val="none"/>
        </w:rPr>
        <w:fldChar w:fldCharType="separate"/>
      </w:r>
      <w:r>
        <w:rPr>
          <w:rFonts w:hint="default" w:ascii="Times New Roman" w:hAnsi="Times New Roman" w:eastAsia="宋体" w:cs="Times New Roman"/>
          <w:b/>
          <w:bCs/>
          <w:szCs w:val="32"/>
          <w:highlight w:val="none"/>
        </w:rPr>
        <w:t>8环境管理与监测计划</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_Toc6777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120</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_Toc30572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8.1目的</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_Toc30572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120</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_Toc30047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8.2 环境管理要求</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_Toc30047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120</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_Toc25294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8.3 环境监测计划</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_Toc25294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123</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_Toc13213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8.</w:t>
      </w:r>
      <w:r>
        <w:rPr>
          <w:rFonts w:hint="default" w:ascii="Times New Roman" w:hAnsi="Times New Roman" w:eastAsia="宋体" w:cs="Times New Roman"/>
          <w:bCs/>
          <w:szCs w:val="30"/>
          <w:highlight w:val="none"/>
          <w:lang w:val="en-US" w:eastAsia="zh-CN"/>
        </w:rPr>
        <w:t>4</w:t>
      </w:r>
      <w:r>
        <w:rPr>
          <w:rFonts w:hint="default" w:ascii="Times New Roman" w:hAnsi="Times New Roman" w:eastAsia="宋体" w:cs="Times New Roman"/>
          <w:bCs/>
          <w:szCs w:val="30"/>
          <w:highlight w:val="none"/>
        </w:rPr>
        <w:t>环保实施方案及“三同时”验收</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_Toc13213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124</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b/>
          <w:bCs/>
          <w:snapToGrid w:val="0"/>
          <w:kern w:val="0"/>
          <w:szCs w:val="36"/>
          <w:highlight w:val="none"/>
        </w:rPr>
        <w:fldChar w:fldCharType="begin"/>
      </w:r>
      <w:r>
        <w:rPr>
          <w:rFonts w:hint="default" w:ascii="Times New Roman" w:hAnsi="Times New Roman" w:eastAsia="宋体" w:cs="Times New Roman"/>
          <w:b/>
          <w:bCs/>
          <w:snapToGrid w:val="0"/>
          <w:kern w:val="0"/>
          <w:szCs w:val="36"/>
          <w:highlight w:val="none"/>
        </w:rPr>
        <w:instrText xml:space="preserve"> HYPERLINK \l _Toc18702 </w:instrText>
      </w:r>
      <w:r>
        <w:rPr>
          <w:rFonts w:hint="default" w:ascii="Times New Roman" w:hAnsi="Times New Roman" w:eastAsia="宋体" w:cs="Times New Roman"/>
          <w:b/>
          <w:bCs/>
          <w:snapToGrid w:val="0"/>
          <w:kern w:val="0"/>
          <w:szCs w:val="36"/>
          <w:highlight w:val="none"/>
        </w:rPr>
        <w:fldChar w:fldCharType="separate"/>
      </w:r>
      <w:r>
        <w:rPr>
          <w:rFonts w:hint="default" w:ascii="Times New Roman" w:hAnsi="Times New Roman" w:eastAsia="宋体" w:cs="Times New Roman"/>
          <w:b/>
          <w:bCs/>
          <w:szCs w:val="32"/>
          <w:highlight w:val="none"/>
        </w:rPr>
        <w:t>9总量控制</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_Toc18702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128</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_Toc14223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9.1总量控制因子</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_Toc14223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128</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_Toc19522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9.2总量控制目标值的确定</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_Toc19522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128</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56"/>
        <w:tabs>
          <w:tab w:val="right" w:leader="dot" w:pos="8306"/>
        </w:tabs>
        <w:rPr>
          <w:rFonts w:hint="default" w:ascii="Times New Roman" w:hAnsi="Times New Roman" w:eastAsia="宋体" w:cs="Times New Roman"/>
          <w:b/>
          <w:bCs/>
          <w:highlight w:val="none"/>
        </w:rPr>
      </w:pPr>
      <w:r>
        <w:rPr>
          <w:rFonts w:hint="default" w:ascii="Times New Roman" w:hAnsi="Times New Roman" w:eastAsia="宋体" w:cs="Times New Roman"/>
          <w:b/>
          <w:bCs/>
          <w:snapToGrid w:val="0"/>
          <w:kern w:val="0"/>
          <w:szCs w:val="36"/>
          <w:highlight w:val="none"/>
        </w:rPr>
        <w:fldChar w:fldCharType="begin"/>
      </w:r>
      <w:r>
        <w:rPr>
          <w:rFonts w:hint="default" w:ascii="Times New Roman" w:hAnsi="Times New Roman" w:eastAsia="宋体" w:cs="Times New Roman"/>
          <w:b/>
          <w:bCs/>
          <w:snapToGrid w:val="0"/>
          <w:kern w:val="0"/>
          <w:szCs w:val="36"/>
          <w:highlight w:val="none"/>
        </w:rPr>
        <w:instrText xml:space="preserve"> HYPERLINK \l _Toc26486 </w:instrText>
      </w:r>
      <w:r>
        <w:rPr>
          <w:rFonts w:hint="default" w:ascii="Times New Roman" w:hAnsi="Times New Roman" w:eastAsia="宋体" w:cs="Times New Roman"/>
          <w:b/>
          <w:bCs/>
          <w:snapToGrid w:val="0"/>
          <w:kern w:val="0"/>
          <w:szCs w:val="36"/>
          <w:highlight w:val="none"/>
        </w:rPr>
        <w:fldChar w:fldCharType="separate"/>
      </w:r>
      <w:r>
        <w:rPr>
          <w:rFonts w:hint="default" w:ascii="Times New Roman" w:hAnsi="Times New Roman" w:eastAsia="宋体" w:cs="Times New Roman"/>
          <w:b/>
          <w:bCs/>
          <w:szCs w:val="32"/>
          <w:highlight w:val="none"/>
        </w:rPr>
        <w:t>10结论和建议</w:t>
      </w:r>
      <w:r>
        <w:rPr>
          <w:rFonts w:hint="default" w:ascii="Times New Roman" w:hAnsi="Times New Roman" w:eastAsia="宋体" w:cs="Times New Roman"/>
          <w:b/>
          <w:bCs/>
          <w:highlight w:val="none"/>
        </w:rPr>
        <w:tab/>
      </w:r>
      <w:r>
        <w:rPr>
          <w:rFonts w:hint="default" w:ascii="Times New Roman" w:hAnsi="Times New Roman" w:eastAsia="宋体" w:cs="Times New Roman"/>
          <w:b/>
          <w:bCs/>
          <w:highlight w:val="none"/>
        </w:rPr>
        <w:fldChar w:fldCharType="begin"/>
      </w:r>
      <w:r>
        <w:rPr>
          <w:rFonts w:hint="default" w:ascii="Times New Roman" w:hAnsi="Times New Roman" w:eastAsia="宋体" w:cs="Times New Roman"/>
          <w:b/>
          <w:bCs/>
          <w:highlight w:val="none"/>
        </w:rPr>
        <w:instrText xml:space="preserve"> PAGEREF _Toc26486 </w:instrText>
      </w:r>
      <w:r>
        <w:rPr>
          <w:rFonts w:hint="default" w:ascii="Times New Roman" w:hAnsi="Times New Roman" w:eastAsia="宋体" w:cs="Times New Roman"/>
          <w:b/>
          <w:bCs/>
          <w:highlight w:val="none"/>
        </w:rPr>
        <w:fldChar w:fldCharType="separate"/>
      </w:r>
      <w:r>
        <w:rPr>
          <w:rFonts w:hint="default" w:ascii="Times New Roman" w:hAnsi="Times New Roman" w:eastAsia="宋体" w:cs="Times New Roman"/>
          <w:b/>
          <w:bCs/>
          <w:highlight w:val="none"/>
        </w:rPr>
        <w:t>129</w:t>
      </w:r>
      <w:r>
        <w:rPr>
          <w:rFonts w:hint="default" w:ascii="Times New Roman" w:hAnsi="Times New Roman" w:eastAsia="宋体" w:cs="Times New Roman"/>
          <w:b/>
          <w:bCs/>
          <w:highlight w:val="none"/>
        </w:rPr>
        <w:fldChar w:fldCharType="end"/>
      </w:r>
      <w:r>
        <w:rPr>
          <w:rFonts w:hint="default" w:ascii="Times New Roman" w:hAnsi="Times New Roman" w:eastAsia="宋体" w:cs="Times New Roman"/>
          <w:b/>
          <w:bCs/>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_Toc23582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10.1结论</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_Toc23582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129</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pStyle w:val="69"/>
        <w:tabs>
          <w:tab w:val="right" w:leader="dot" w:pos="8306"/>
        </w:tabs>
        <w:rPr>
          <w:rFonts w:hint="default" w:ascii="Times New Roman" w:hAnsi="Times New Roman" w:eastAsia="宋体" w:cs="Times New Roman"/>
          <w:highlight w:val="none"/>
        </w:rPr>
      </w:pPr>
      <w:r>
        <w:rPr>
          <w:rFonts w:hint="default" w:ascii="Times New Roman" w:hAnsi="Times New Roman" w:eastAsia="宋体" w:cs="Times New Roman"/>
          <w:snapToGrid w:val="0"/>
          <w:kern w:val="0"/>
          <w:szCs w:val="36"/>
          <w:highlight w:val="none"/>
        </w:rPr>
        <w:fldChar w:fldCharType="begin"/>
      </w:r>
      <w:r>
        <w:rPr>
          <w:rFonts w:hint="default" w:ascii="Times New Roman" w:hAnsi="Times New Roman" w:eastAsia="宋体" w:cs="Times New Roman"/>
          <w:snapToGrid w:val="0"/>
          <w:kern w:val="0"/>
          <w:szCs w:val="36"/>
          <w:highlight w:val="none"/>
        </w:rPr>
        <w:instrText xml:space="preserve"> HYPERLINK \l _Toc29901 </w:instrText>
      </w:r>
      <w:r>
        <w:rPr>
          <w:rFonts w:hint="default" w:ascii="Times New Roman" w:hAnsi="Times New Roman" w:eastAsia="宋体" w:cs="Times New Roman"/>
          <w:snapToGrid w:val="0"/>
          <w:kern w:val="0"/>
          <w:szCs w:val="36"/>
          <w:highlight w:val="none"/>
        </w:rPr>
        <w:fldChar w:fldCharType="separate"/>
      </w:r>
      <w:r>
        <w:rPr>
          <w:rFonts w:hint="default" w:ascii="Times New Roman" w:hAnsi="Times New Roman" w:eastAsia="宋体" w:cs="Times New Roman"/>
          <w:bCs/>
          <w:szCs w:val="30"/>
          <w:highlight w:val="none"/>
        </w:rPr>
        <w:t>10.2建议</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_Toc29901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132</w:t>
      </w:r>
      <w:r>
        <w:rPr>
          <w:rFonts w:hint="default" w:ascii="Times New Roman" w:hAnsi="Times New Roman" w:eastAsia="宋体" w:cs="Times New Roman"/>
          <w:highlight w:val="none"/>
        </w:rPr>
        <w:fldChar w:fldCharType="end"/>
      </w:r>
      <w:r>
        <w:rPr>
          <w:rFonts w:hint="default" w:ascii="Times New Roman" w:hAnsi="Times New Roman" w:eastAsia="宋体" w:cs="Times New Roman"/>
          <w:snapToGrid w:val="0"/>
          <w:kern w:val="0"/>
          <w:szCs w:val="36"/>
          <w:highlight w:val="none"/>
        </w:rPr>
        <w:fldChar w:fldCharType="end"/>
      </w:r>
    </w:p>
    <w:p>
      <w:pPr>
        <w:adjustRightInd w:val="0"/>
        <w:snapToGrid w:val="0"/>
        <w:rPr>
          <w:rFonts w:hint="default" w:ascii="Times New Roman" w:hAnsi="Times New Roman" w:cs="Times New Roman"/>
          <w:snapToGrid w:val="0"/>
          <w:kern w:val="0"/>
          <w:sz w:val="28"/>
          <w:szCs w:val="28"/>
          <w:highlight w:val="none"/>
        </w:rPr>
      </w:pPr>
      <w:r>
        <w:rPr>
          <w:rFonts w:hint="default" w:ascii="Times New Roman" w:hAnsi="Times New Roman" w:eastAsia="宋体" w:cs="Times New Roman"/>
          <w:snapToGrid w:val="0"/>
          <w:kern w:val="0"/>
          <w:szCs w:val="36"/>
          <w:highlight w:val="none"/>
        </w:rPr>
        <w:fldChar w:fldCharType="end"/>
      </w:r>
    </w:p>
    <w:bookmarkEnd w:id="0"/>
    <w:p>
      <w:pPr>
        <w:spacing w:before="120" w:beforeLines="50" w:after="120" w:afterLines="50"/>
        <w:jc w:val="left"/>
        <w:outlineLvl w:val="0"/>
        <w:rPr>
          <w:rFonts w:hint="default" w:ascii="Times New Roman" w:hAnsi="Times New Roman" w:eastAsia="黑体" w:cs="Times New Roman"/>
          <w:bCs/>
          <w:sz w:val="32"/>
          <w:szCs w:val="32"/>
          <w:highlight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linePitch="312" w:charSpace="0"/>
        </w:sectPr>
      </w:pPr>
      <w:bookmarkStart w:id="1" w:name="_Toc1702"/>
      <w:bookmarkStart w:id="2" w:name="_Toc349999751"/>
      <w:bookmarkStart w:id="3" w:name="_Toc521334350"/>
    </w:p>
    <w:p>
      <w:pPr>
        <w:spacing w:before="120" w:beforeLines="50" w:after="120" w:afterLines="50"/>
        <w:jc w:val="left"/>
        <w:outlineLvl w:val="0"/>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概述</w:t>
      </w:r>
      <w:bookmarkEnd w:id="1"/>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4" w:name="_Toc29000"/>
      <w:r>
        <w:rPr>
          <w:rFonts w:hint="default" w:ascii="Times New Roman" w:hAnsi="Times New Roman" w:eastAsia="黑体" w:cs="Times New Roman"/>
          <w:bCs/>
          <w:sz w:val="30"/>
          <w:szCs w:val="30"/>
          <w:highlight w:val="none"/>
        </w:rPr>
        <w:t>0.1项目由来</w:t>
      </w:r>
      <w:bookmarkEnd w:id="2"/>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bookmarkStart w:id="5" w:name="_Toc521334351"/>
      <w:bookmarkStart w:id="6" w:name="_Toc349999752"/>
      <w:r>
        <w:rPr>
          <w:rFonts w:hint="default" w:ascii="Times New Roman" w:hAnsi="Times New Roman" w:eastAsia="宋体" w:cs="Times New Roman"/>
          <w:sz w:val="24"/>
          <w:szCs w:val="24"/>
          <w:highlight w:val="none"/>
        </w:rPr>
        <w:t>秦皇岛市国飞农业科技发展有限公司成立于 2018 年 7月，现公司拟在秦皇岛市卢龙县下寨乡马庄子村南，建设国飞农业产业园项目。</w:t>
      </w:r>
      <w:r>
        <w:rPr>
          <w:rFonts w:hint="eastAsia" w:ascii="Times New Roman" w:hAnsi="Times New Roman" w:cs="Times New Roman"/>
          <w:sz w:val="24"/>
          <w:szCs w:val="24"/>
          <w:highlight w:val="none"/>
          <w:lang w:val="en-US" w:eastAsia="zh-CN"/>
        </w:rPr>
        <w:t>项目</w:t>
      </w:r>
      <w:r>
        <w:rPr>
          <w:rFonts w:hint="default" w:ascii="Times New Roman" w:hAnsi="Times New Roman" w:eastAsia="宋体" w:cs="Times New Roman"/>
          <w:sz w:val="24"/>
          <w:szCs w:val="24"/>
          <w:highlight w:val="none"/>
        </w:rPr>
        <w:t>总占地面积113467.66m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，总建筑面积</w:t>
      </w:r>
      <w:r>
        <w:rPr>
          <w:rFonts w:hint="eastAsia" w:ascii="Times New Roman" w:hAnsi="Times New Roman" w:cs="Times New Roman"/>
          <w:sz w:val="24"/>
          <w:szCs w:val="24"/>
          <w:highlight w:val="none"/>
          <w:lang w:eastAsia="zh-CN"/>
        </w:rPr>
        <w:t>43094</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，包括标准化猪舍31栋、饲料加工存储1栋、办公生活区，配套建设粪污无害化处理设施等。生产规模为年出栏生猪10万头。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秦皇岛市国飞农业科技发展有限公司已经取得卢龙县国土资源局出具的《设施农用地备案表》</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备案土地用途为养殖业</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建设内容符合要求。</w:t>
      </w:r>
      <w:r>
        <w:rPr>
          <w:rFonts w:hint="default" w:ascii="Times New Roman" w:hAnsi="Times New Roman" w:eastAsia="宋体" w:cs="Times New Roman"/>
          <w:sz w:val="24"/>
          <w:szCs w:val="24"/>
          <w:highlight w:val="none"/>
          <w:lang w:val="en-US" w:eastAsia="zh-CN"/>
        </w:rPr>
        <w:t>同时，</w:t>
      </w:r>
      <w:r>
        <w:rPr>
          <w:rFonts w:hint="default" w:ascii="Times New Roman" w:hAnsi="Times New Roman" w:eastAsia="宋体" w:cs="Times New Roman"/>
          <w:sz w:val="24"/>
          <w:szCs w:val="24"/>
          <w:highlight w:val="none"/>
        </w:rPr>
        <w:t>项目</w:t>
      </w:r>
      <w:r>
        <w:rPr>
          <w:rFonts w:hint="default" w:ascii="Times New Roman" w:hAnsi="Times New Roman" w:eastAsia="宋体" w:cs="Times New Roman"/>
          <w:sz w:val="24"/>
          <w:szCs w:val="24"/>
          <w:highlight w:val="none"/>
          <w:lang w:val="en-US" w:eastAsia="zh-CN"/>
        </w:rPr>
        <w:t>已在</w:t>
      </w:r>
      <w:r>
        <w:rPr>
          <w:rFonts w:hint="default" w:ascii="Times New Roman" w:hAnsi="Times New Roman" w:eastAsia="宋体" w:cs="Times New Roman"/>
          <w:sz w:val="24"/>
          <w:szCs w:val="24"/>
          <w:highlight w:val="none"/>
        </w:rPr>
        <w:t>卢龙县行政审批局备案</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卢行审备字【2019】38 号文</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，项目建设符合</w:t>
      </w:r>
      <w:r>
        <w:rPr>
          <w:rFonts w:hint="eastAsia" w:ascii="Times New Roman" w:hAnsi="Times New Roman" w:cs="Times New Roman"/>
          <w:sz w:val="24"/>
          <w:szCs w:val="24"/>
          <w:highlight w:val="none"/>
          <w:lang w:val="en-US" w:eastAsia="zh-CN"/>
        </w:rPr>
        <w:t>规划及</w:t>
      </w:r>
      <w:r>
        <w:rPr>
          <w:rFonts w:hint="default" w:ascii="Times New Roman" w:hAnsi="Times New Roman" w:eastAsia="宋体" w:cs="Times New Roman"/>
          <w:sz w:val="24"/>
          <w:szCs w:val="24"/>
          <w:highlight w:val="none"/>
        </w:rPr>
        <w:t>产业政策要求。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根据《中华人民共和国环境影响评价法》及《建设项目环境保护管理条例》等法律法规有关规定，</w:t>
      </w:r>
      <w:r>
        <w:rPr>
          <w:rFonts w:hint="default" w:ascii="Times New Roman" w:hAnsi="Times New Roman" w:eastAsia="宋体" w:cs="Times New Roman"/>
          <w:sz w:val="24"/>
          <w:szCs w:val="24"/>
          <w:highlight w:val="none"/>
          <w:lang w:val="en-US" w:eastAsia="zh-CN"/>
        </w:rPr>
        <w:t>对照</w:t>
      </w:r>
      <w:r>
        <w:rPr>
          <w:rFonts w:hint="default" w:ascii="Times New Roman" w:hAnsi="Times New Roman" w:eastAsia="宋体" w:cs="Times New Roman"/>
          <w:sz w:val="24"/>
          <w:szCs w:val="24"/>
          <w:highlight w:val="none"/>
        </w:rPr>
        <w:t>《建设项目环境影响评价分类管理名录》要求，畜禽养殖场年出栏生猪 5000 头及以上应编制环境影响报告书，本项目年出栏生猪 10万头，应当编制环境影响报告书。为此，秦皇岛市国飞农业科技发展有限公司委托我公司承担该项目环评工作。</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7" w:name="_Toc14324"/>
      <w:r>
        <w:rPr>
          <w:rFonts w:hint="default" w:ascii="Times New Roman" w:hAnsi="Times New Roman" w:eastAsia="黑体" w:cs="Times New Roman"/>
          <w:bCs/>
          <w:sz w:val="30"/>
          <w:szCs w:val="30"/>
          <w:highlight w:val="none"/>
        </w:rPr>
        <w:t>0.2项目特点</w:t>
      </w:r>
      <w:bookmarkEnd w:id="5"/>
      <w:bookmarkEnd w:id="6"/>
      <w:bookmarkEnd w:id="7"/>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bookmarkStart w:id="8" w:name="_Toc521334352"/>
      <w:bookmarkStart w:id="9" w:name="_Toc2214"/>
      <w:r>
        <w:rPr>
          <w:rFonts w:hint="default" w:ascii="Times New Roman" w:hAnsi="Times New Roman" w:eastAsia="宋体" w:cs="Times New Roman"/>
          <w:sz w:val="24"/>
          <w:szCs w:val="24"/>
          <w:highlight w:val="none"/>
        </w:rPr>
        <w:t>项目为养殖场，产生的污染物主要为恶臭气体、废水、尿粪、病死牲畜</w:t>
      </w:r>
      <w:r>
        <w:rPr>
          <w:rFonts w:hint="eastAsia" w:ascii="Times New Roman" w:hAnsi="Times New Roman" w:cs="Times New Roman"/>
          <w:sz w:val="24"/>
          <w:szCs w:val="24"/>
          <w:highlight w:val="none"/>
          <w:lang w:val="en-US" w:eastAsia="zh-CN"/>
        </w:rPr>
        <w:t>、沼气燃烧废气、食堂餐饮油烟和饲料加工废气</w:t>
      </w:r>
      <w:r>
        <w:rPr>
          <w:rFonts w:hint="default" w:ascii="Times New Roman" w:hAnsi="Times New Roman" w:eastAsia="宋体" w:cs="Times New Roman"/>
          <w:sz w:val="24"/>
          <w:szCs w:val="24"/>
          <w:highlight w:val="none"/>
        </w:rPr>
        <w:t>等。项目采用干清粪</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圈舍清洗、喷洒除臭剂并设置绿化带等方式减少恶臭气体排放。沼气锅炉设置低氮燃烧器处理后高空排放。沼气发电机燃烧废气高空排放。</w:t>
      </w:r>
      <w:r>
        <w:rPr>
          <w:rFonts w:hint="default" w:ascii="Times New Roman" w:hAnsi="Times New Roman" w:eastAsia="宋体" w:cs="Times New Roman"/>
          <w:sz w:val="24"/>
          <w:szCs w:val="24"/>
          <w:highlight w:val="none"/>
          <w:lang w:eastAsia="zh-CN"/>
        </w:rPr>
        <w:t>饲料加工过程置于密闭车间内，破碎、筛分及落料点设置集气罩对废气收集后，经布袋除尘器处理，废气经</w:t>
      </w:r>
      <w:r>
        <w:rPr>
          <w:rFonts w:hint="default" w:ascii="Times New Roman" w:hAnsi="Times New Roman" w:eastAsia="宋体" w:cs="Times New Roman"/>
          <w:sz w:val="24"/>
          <w:szCs w:val="24"/>
          <w:highlight w:val="none"/>
          <w:lang w:val="en-US" w:eastAsia="zh-CN"/>
        </w:rPr>
        <w:t>15m高排气筒排放</w:t>
      </w:r>
      <w:r>
        <w:rPr>
          <w:rFonts w:hint="eastAsia" w:ascii="Times New Roman" w:hAnsi="Times New Roman" w:cs="Times New Roman"/>
          <w:sz w:val="24"/>
          <w:szCs w:val="24"/>
          <w:highlight w:val="none"/>
          <w:lang w:val="en-US" w:eastAsia="zh-CN"/>
        </w:rPr>
        <w:t>。同时食堂餐饮油烟废气设置油烟净化器处理后排放；项目餐饮废水经隔油处理后与生活污水</w:t>
      </w:r>
      <w:r>
        <w:rPr>
          <w:rFonts w:hint="default" w:ascii="Times New Roman" w:hAnsi="Times New Roman" w:eastAsia="宋体" w:cs="Times New Roman"/>
          <w:sz w:val="24"/>
          <w:szCs w:val="24"/>
          <w:highlight w:val="none"/>
        </w:rPr>
        <w:t>、猪尿</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green"/>
        </w:rPr>
        <w:t>猪粪</w:t>
      </w:r>
      <w:r>
        <w:rPr>
          <w:rFonts w:hint="eastAsia" w:ascii="Times New Roman" w:hAnsi="Times New Roman" w:cs="Times New Roman"/>
          <w:sz w:val="24"/>
          <w:szCs w:val="24"/>
          <w:highlight w:val="green"/>
          <w:lang w:val="en-US" w:eastAsia="zh-CN"/>
        </w:rPr>
        <w:t>干湿分离的液体和粪便发酵渗滤液</w:t>
      </w:r>
      <w:r>
        <w:rPr>
          <w:rFonts w:hint="default" w:ascii="Times New Roman" w:hAnsi="Times New Roman" w:eastAsia="宋体" w:cs="Times New Roman"/>
          <w:sz w:val="24"/>
          <w:szCs w:val="24"/>
          <w:highlight w:val="none"/>
        </w:rPr>
        <w:t>经</w:t>
      </w:r>
      <w:r>
        <w:rPr>
          <w:rFonts w:hint="eastAsia" w:ascii="Times New Roman" w:hAnsi="Times New Roman" w:cs="Times New Roman"/>
          <w:sz w:val="24"/>
          <w:szCs w:val="24"/>
          <w:highlight w:val="none"/>
          <w:lang w:val="en-US" w:eastAsia="zh-CN"/>
        </w:rPr>
        <w:t>黑膜</w:t>
      </w:r>
      <w:r>
        <w:rPr>
          <w:rFonts w:hint="default" w:ascii="Times New Roman" w:hAnsi="Times New Roman" w:eastAsia="宋体" w:cs="Times New Roman"/>
          <w:sz w:val="24"/>
          <w:szCs w:val="24"/>
          <w:highlight w:val="none"/>
        </w:rPr>
        <w:t>沼气池</w:t>
      </w:r>
      <w:r>
        <w:rPr>
          <w:rFonts w:hint="default" w:ascii="Times New Roman" w:hAnsi="Times New Roman" w:eastAsia="宋体" w:cs="Times New Roman"/>
          <w:sz w:val="24"/>
          <w:szCs w:val="24"/>
          <w:highlight w:val="green"/>
        </w:rPr>
        <w:t>厌氧</w:t>
      </w:r>
      <w:r>
        <w:rPr>
          <w:rFonts w:hint="default" w:ascii="Times New Roman" w:hAnsi="Times New Roman" w:eastAsia="宋体" w:cs="Times New Roman"/>
          <w:sz w:val="24"/>
          <w:szCs w:val="24"/>
          <w:highlight w:val="none"/>
        </w:rPr>
        <w:t>发酵处理后沼液和沼渣全部外运做农肥</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锅炉软水制备排污水，泼洒抑尘；干湿分离后的猪粪在储粪池</w:t>
      </w:r>
      <w:r>
        <w:rPr>
          <w:rFonts w:hint="default" w:ascii="Times New Roman" w:hAnsi="Times New Roman" w:eastAsia="宋体" w:cs="Times New Roman"/>
          <w:sz w:val="24"/>
          <w:szCs w:val="24"/>
          <w:highlight w:val="none"/>
        </w:rPr>
        <w:t>无害化处理后外运做农肥，病死猪送有资质的的单位处理</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废脱硫剂暂存后厂界回收，废离子交换树脂更换后厂界直接回收，不暂存。</w:t>
      </w:r>
      <w:r>
        <w:rPr>
          <w:rFonts w:hint="default" w:ascii="Times New Roman" w:hAnsi="Times New Roman" w:eastAsia="宋体" w:cs="Times New Roman"/>
          <w:sz w:val="24"/>
          <w:szCs w:val="24"/>
          <w:highlight w:val="none"/>
        </w:rPr>
        <w:t>恶臭气体经治理后厂界达标，并设置了合理的防护距离</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green"/>
        </w:rPr>
        <w:t>项目猪舍、</w:t>
      </w:r>
      <w:r>
        <w:rPr>
          <w:rFonts w:hint="eastAsia" w:ascii="Times New Roman" w:hAnsi="Times New Roman" w:cs="Times New Roman"/>
          <w:sz w:val="24"/>
          <w:szCs w:val="24"/>
          <w:highlight w:val="green"/>
          <w:lang w:val="en-US" w:eastAsia="zh-CN"/>
        </w:rPr>
        <w:t>储粪储尿池、黑膜沼液池、沼液池</w:t>
      </w:r>
      <w:r>
        <w:rPr>
          <w:rFonts w:hint="default" w:ascii="Times New Roman" w:hAnsi="Times New Roman" w:eastAsia="宋体" w:cs="Times New Roman"/>
          <w:sz w:val="24"/>
          <w:szCs w:val="24"/>
          <w:highlight w:val="green"/>
        </w:rPr>
        <w:t>及污水管道</w:t>
      </w:r>
      <w:r>
        <w:rPr>
          <w:rFonts w:hint="default" w:ascii="Times New Roman" w:hAnsi="Times New Roman" w:eastAsia="宋体" w:cs="Times New Roman"/>
          <w:sz w:val="24"/>
          <w:szCs w:val="24"/>
          <w:highlight w:val="none"/>
        </w:rPr>
        <w:t>等做防腐防渗处理。项目建成后，无废水外排，固废全部综合利用或合理处置，厂界臭气浓度达标，对环境影响较小。</w:t>
      </w:r>
    </w:p>
    <w:p>
      <w:pPr>
        <w:spacing w:before="120" w:beforeLines="50" w:after="120" w:afterLines="50"/>
        <w:jc w:val="left"/>
        <w:outlineLvl w:val="1"/>
        <w:rPr>
          <w:rFonts w:hint="default" w:ascii="Times New Roman" w:hAnsi="Times New Roman" w:eastAsia="黑体" w:cs="Times New Roman"/>
          <w:bCs/>
          <w:sz w:val="30"/>
          <w:szCs w:val="30"/>
          <w:highlight w:val="none"/>
        </w:rPr>
      </w:pPr>
      <w:r>
        <w:rPr>
          <w:rFonts w:hint="default" w:ascii="Times New Roman" w:hAnsi="Times New Roman" w:eastAsia="黑体" w:cs="Times New Roman"/>
          <w:bCs/>
          <w:sz w:val="30"/>
          <w:szCs w:val="30"/>
          <w:highlight w:val="none"/>
        </w:rPr>
        <w:t>0.3环评过程简介</w:t>
      </w:r>
      <w:bookmarkEnd w:id="8"/>
      <w:bookmarkEnd w:id="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rPr>
      </w:pPr>
      <w:r>
        <w:rPr>
          <w:rFonts w:hint="default" w:ascii="Times New Roman" w:hAnsi="Times New Roman" w:eastAsia="宋体" w:cs="Times New Roman"/>
          <w:snapToGrid w:val="0"/>
          <w:kern w:val="0"/>
          <w:sz w:val="24"/>
          <w:szCs w:val="24"/>
          <w:highlight w:val="none"/>
        </w:rPr>
        <w:t>20</w:t>
      </w:r>
      <w:r>
        <w:rPr>
          <w:rFonts w:hint="default" w:ascii="Times New Roman" w:hAnsi="Times New Roman" w:eastAsia="宋体" w:cs="Times New Roman"/>
          <w:snapToGrid w:val="0"/>
          <w:kern w:val="0"/>
          <w:sz w:val="24"/>
          <w:szCs w:val="24"/>
          <w:highlight w:val="none"/>
          <w:lang w:val="en-US" w:eastAsia="zh-CN"/>
        </w:rPr>
        <w:t>20</w:t>
      </w:r>
      <w:r>
        <w:rPr>
          <w:rFonts w:hint="default" w:ascii="Times New Roman" w:hAnsi="Times New Roman" w:eastAsia="宋体" w:cs="Times New Roman"/>
          <w:snapToGrid w:val="0"/>
          <w:kern w:val="0"/>
          <w:sz w:val="24"/>
          <w:szCs w:val="24"/>
          <w:highlight w:val="none"/>
        </w:rPr>
        <w:t>年</w:t>
      </w:r>
      <w:r>
        <w:rPr>
          <w:rFonts w:hint="default" w:ascii="Times New Roman" w:hAnsi="Times New Roman" w:eastAsia="宋体" w:cs="Times New Roman"/>
          <w:snapToGrid w:val="0"/>
          <w:kern w:val="0"/>
          <w:sz w:val="24"/>
          <w:szCs w:val="24"/>
          <w:highlight w:val="none"/>
          <w:lang w:val="en-US" w:eastAsia="zh-CN"/>
        </w:rPr>
        <w:t>3</w:t>
      </w:r>
      <w:r>
        <w:rPr>
          <w:rFonts w:hint="default" w:ascii="Times New Roman" w:hAnsi="Times New Roman" w:eastAsia="宋体" w:cs="Times New Roman"/>
          <w:snapToGrid w:val="0"/>
          <w:kern w:val="0"/>
          <w:sz w:val="24"/>
          <w:szCs w:val="24"/>
          <w:highlight w:val="none"/>
        </w:rPr>
        <w:t>月，我公司受建设单位委托，承担国飞农业产业园项目环境影响评价工作。接受委托后，我单位立即组织技术人员进行现场踏勘，对项目所在地区的环境状况和工程概况进行了详细的调查分析，并委托专业资质单位进行了环境质量现状检测。在上述工作的基础上，通过现场踏勘、类比调研</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在细致了解项目的基本情况和工程分析的基础上，</w:t>
      </w:r>
      <w:r>
        <w:rPr>
          <w:rFonts w:hint="default" w:ascii="Times New Roman" w:hAnsi="Times New Roman" w:eastAsia="宋体" w:cs="Times New Roman"/>
          <w:snapToGrid w:val="0"/>
          <w:kern w:val="0"/>
          <w:sz w:val="24"/>
          <w:szCs w:val="24"/>
          <w:highlight w:val="none"/>
          <w:lang w:val="en-US" w:eastAsia="zh-CN"/>
        </w:rPr>
        <w:t>对</w:t>
      </w:r>
      <w:r>
        <w:rPr>
          <w:rFonts w:hint="default" w:ascii="Times New Roman" w:hAnsi="Times New Roman" w:eastAsia="宋体" w:cs="Times New Roman"/>
          <w:snapToGrid w:val="0"/>
          <w:kern w:val="0"/>
          <w:sz w:val="24"/>
          <w:szCs w:val="24"/>
          <w:highlight w:val="none"/>
        </w:rPr>
        <w:t>项目建设过程中和</w:t>
      </w:r>
      <w:r>
        <w:rPr>
          <w:rFonts w:hint="default" w:ascii="Times New Roman" w:hAnsi="Times New Roman" w:eastAsia="宋体" w:cs="Times New Roman"/>
          <w:snapToGrid w:val="0"/>
          <w:kern w:val="0"/>
          <w:sz w:val="24"/>
          <w:szCs w:val="24"/>
          <w:highlight w:val="none"/>
          <w:lang w:val="en-US" w:eastAsia="zh-CN"/>
        </w:rPr>
        <w:t>运营</w:t>
      </w:r>
      <w:r>
        <w:rPr>
          <w:rFonts w:hint="default" w:ascii="Times New Roman" w:hAnsi="Times New Roman" w:eastAsia="宋体" w:cs="Times New Roman"/>
          <w:snapToGrid w:val="0"/>
          <w:kern w:val="0"/>
          <w:sz w:val="24"/>
          <w:szCs w:val="24"/>
          <w:highlight w:val="none"/>
        </w:rPr>
        <w:t>后对大气环境、水环境、声环境的影响、土壤环境</w:t>
      </w: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固废</w:t>
      </w:r>
      <w:r>
        <w:rPr>
          <w:rFonts w:hint="default" w:ascii="Times New Roman" w:hAnsi="Times New Roman" w:eastAsia="宋体" w:cs="Times New Roman"/>
          <w:snapToGrid w:val="0"/>
          <w:kern w:val="0"/>
          <w:sz w:val="24"/>
          <w:szCs w:val="24"/>
          <w:highlight w:val="none"/>
        </w:rPr>
        <w:t>和环境风险等的</w:t>
      </w:r>
      <w:r>
        <w:rPr>
          <w:rFonts w:hint="default" w:ascii="Times New Roman" w:hAnsi="Times New Roman" w:eastAsia="宋体" w:cs="Times New Roman"/>
          <w:snapToGrid w:val="0"/>
          <w:kern w:val="0"/>
          <w:sz w:val="24"/>
          <w:szCs w:val="24"/>
          <w:highlight w:val="none"/>
          <w:lang w:val="en-US" w:eastAsia="zh-CN"/>
        </w:rPr>
        <w:t>分析预测和评估</w:t>
      </w:r>
      <w:r>
        <w:rPr>
          <w:rFonts w:hint="default" w:ascii="Times New Roman" w:hAnsi="Times New Roman" w:eastAsia="宋体" w:cs="Times New Roman"/>
          <w:snapToGrid w:val="0"/>
          <w:kern w:val="0"/>
          <w:sz w:val="24"/>
          <w:szCs w:val="24"/>
          <w:highlight w:val="none"/>
        </w:rPr>
        <w:t>，提出防治污染和</w:t>
      </w:r>
      <w:r>
        <w:rPr>
          <w:rFonts w:hint="default" w:ascii="Times New Roman" w:hAnsi="Times New Roman" w:eastAsia="宋体" w:cs="Times New Roman"/>
          <w:snapToGrid w:val="0"/>
          <w:kern w:val="0"/>
          <w:sz w:val="24"/>
          <w:szCs w:val="24"/>
          <w:highlight w:val="none"/>
          <w:lang w:val="en-US" w:eastAsia="zh-CN"/>
        </w:rPr>
        <w:t>减轻</w:t>
      </w:r>
      <w:r>
        <w:rPr>
          <w:rFonts w:hint="default" w:ascii="Times New Roman" w:hAnsi="Times New Roman" w:eastAsia="宋体" w:cs="Times New Roman"/>
          <w:snapToGrid w:val="0"/>
          <w:kern w:val="0"/>
          <w:sz w:val="24"/>
          <w:szCs w:val="24"/>
          <w:highlight w:val="none"/>
        </w:rPr>
        <w:t>项目建设对周围环境影响的可行措施，为建设项目的工程设计和项目建成后的环境管理提供科学依据。建设单位在环评期间对项目建设情况及环境影响分析结论进行了公众参与调查。</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0" w:name="_Toc521334353"/>
      <w:bookmarkStart w:id="11" w:name="_Toc16158"/>
      <w:r>
        <w:rPr>
          <w:rFonts w:hint="default" w:ascii="Times New Roman" w:hAnsi="Times New Roman" w:eastAsia="黑体" w:cs="Times New Roman"/>
          <w:bCs/>
          <w:sz w:val="30"/>
          <w:szCs w:val="30"/>
          <w:highlight w:val="none"/>
        </w:rPr>
        <w:t>0.4</w:t>
      </w:r>
      <w:bookmarkEnd w:id="10"/>
      <w:r>
        <w:rPr>
          <w:rFonts w:hint="default" w:ascii="Times New Roman" w:hAnsi="Times New Roman" w:eastAsia="黑体" w:cs="Times New Roman"/>
          <w:bCs/>
          <w:sz w:val="30"/>
          <w:szCs w:val="30"/>
          <w:highlight w:val="none"/>
        </w:rPr>
        <w:t>分析判定相关情况</w:t>
      </w:r>
      <w:bookmarkEnd w:id="11"/>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0.4.1 产业政策符合性分析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napToGrid w:val="0"/>
          <w:kern w:val="0"/>
          <w:sz w:val="24"/>
          <w:szCs w:val="24"/>
          <w:highlight w:val="none"/>
        </w:rPr>
      </w:pPr>
      <w:bookmarkStart w:id="12" w:name="_Toc349999755"/>
      <w:bookmarkStart w:id="13" w:name="_Toc521334354"/>
      <w:r>
        <w:rPr>
          <w:rFonts w:hint="default" w:ascii="Times New Roman" w:hAnsi="Times New Roman" w:eastAsia="宋体" w:cs="Times New Roman"/>
          <w:b/>
          <w:bCs/>
          <w:snapToGrid w:val="0"/>
          <w:kern w:val="0"/>
          <w:sz w:val="24"/>
          <w:szCs w:val="24"/>
          <w:highlight w:val="none"/>
          <w:lang w:eastAsia="zh-CN"/>
        </w:rPr>
        <w:t>（</w:t>
      </w:r>
      <w:r>
        <w:rPr>
          <w:rFonts w:hint="default" w:ascii="Times New Roman" w:hAnsi="Times New Roman" w:eastAsia="宋体" w:cs="Times New Roman"/>
          <w:b/>
          <w:bCs/>
          <w:snapToGrid w:val="0"/>
          <w:kern w:val="0"/>
          <w:sz w:val="24"/>
          <w:szCs w:val="24"/>
          <w:highlight w:val="none"/>
          <w:lang w:val="en-US" w:eastAsia="zh-CN"/>
        </w:rPr>
        <w:t>1</w:t>
      </w:r>
      <w:r>
        <w:rPr>
          <w:rFonts w:hint="default" w:ascii="Times New Roman" w:hAnsi="Times New Roman" w:eastAsia="宋体" w:cs="Times New Roman"/>
          <w:b/>
          <w:bCs/>
          <w:snapToGrid w:val="0"/>
          <w:kern w:val="0"/>
          <w:sz w:val="24"/>
          <w:szCs w:val="24"/>
          <w:highlight w:val="none"/>
          <w:lang w:eastAsia="zh-CN"/>
        </w:rPr>
        <w:t>）</w:t>
      </w:r>
      <w:r>
        <w:rPr>
          <w:rFonts w:hint="default" w:ascii="Times New Roman" w:hAnsi="Times New Roman" w:eastAsia="宋体" w:cs="Times New Roman"/>
          <w:b/>
          <w:bCs/>
          <w:snapToGrid w:val="0"/>
          <w:kern w:val="0"/>
          <w:sz w:val="24"/>
          <w:szCs w:val="24"/>
          <w:highlight w:val="none"/>
        </w:rPr>
        <w:t>《产业结构调整指导目录》（2019 年本）</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rPr>
      </w:pPr>
      <w:r>
        <w:rPr>
          <w:rFonts w:hint="default" w:ascii="Times New Roman" w:hAnsi="Times New Roman" w:eastAsia="宋体" w:cs="Times New Roman"/>
          <w:snapToGrid w:val="0"/>
          <w:kern w:val="0"/>
          <w:sz w:val="24"/>
          <w:szCs w:val="24"/>
          <w:highlight w:val="none"/>
        </w:rPr>
        <w:t>本项目属于畜禽标准化养殖，属于《产业结构调整指导目录》（2019年本）中</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鼓励类</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中第一类</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农林业</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中第 5 条</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畜禽标准化养殖养殖技术开发与应用</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，符合国家产业政策要求。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napToGrid w:val="0"/>
          <w:kern w:val="0"/>
          <w:sz w:val="24"/>
          <w:szCs w:val="24"/>
          <w:highlight w:val="none"/>
          <w:lang w:eastAsia="zh-CN"/>
        </w:rPr>
      </w:pPr>
      <w:r>
        <w:rPr>
          <w:rFonts w:hint="default" w:ascii="Times New Roman" w:hAnsi="Times New Roman" w:eastAsia="宋体" w:cs="Times New Roman"/>
          <w:b/>
          <w:bCs/>
          <w:snapToGrid w:val="0"/>
          <w:kern w:val="0"/>
          <w:sz w:val="24"/>
          <w:szCs w:val="24"/>
          <w:highlight w:val="none"/>
          <w:lang w:eastAsia="zh-CN"/>
        </w:rPr>
        <w:t>（</w:t>
      </w:r>
      <w:r>
        <w:rPr>
          <w:rFonts w:hint="default" w:ascii="Times New Roman" w:hAnsi="Times New Roman" w:eastAsia="宋体" w:cs="Times New Roman"/>
          <w:b/>
          <w:bCs/>
          <w:snapToGrid w:val="0"/>
          <w:kern w:val="0"/>
          <w:sz w:val="24"/>
          <w:szCs w:val="24"/>
          <w:highlight w:val="none"/>
          <w:lang w:val="en-US" w:eastAsia="zh-CN"/>
        </w:rPr>
        <w:t>2</w:t>
      </w:r>
      <w:r>
        <w:rPr>
          <w:rFonts w:hint="default" w:ascii="Times New Roman" w:hAnsi="Times New Roman" w:eastAsia="宋体" w:cs="Times New Roman"/>
          <w:b/>
          <w:bCs/>
          <w:snapToGrid w:val="0"/>
          <w:kern w:val="0"/>
          <w:sz w:val="24"/>
          <w:szCs w:val="24"/>
          <w:highlight w:val="none"/>
          <w:lang w:eastAsia="zh-CN"/>
        </w:rPr>
        <w:t>）</w:t>
      </w:r>
      <w:r>
        <w:rPr>
          <w:rFonts w:hint="default" w:ascii="Times New Roman" w:hAnsi="Times New Roman" w:eastAsia="宋体" w:cs="Times New Roman"/>
          <w:b/>
          <w:bCs/>
          <w:snapToGrid w:val="0"/>
          <w:kern w:val="0"/>
          <w:sz w:val="24"/>
          <w:szCs w:val="24"/>
          <w:highlight w:val="none"/>
        </w:rPr>
        <w:t>《河北省新增限制和淘汰类产业目录 (2015 年版)》</w:t>
      </w:r>
      <w:r>
        <w:rPr>
          <w:rFonts w:hint="default" w:ascii="Times New Roman" w:hAnsi="Times New Roman" w:eastAsia="宋体" w:cs="Times New Roman"/>
          <w:b/>
          <w:bCs/>
          <w:snapToGrid w:val="0"/>
          <w:kern w:val="0"/>
          <w:sz w:val="24"/>
          <w:szCs w:val="24"/>
          <w:highlight w:val="none"/>
          <w:lang w:eastAsia="zh-CN"/>
        </w:rPr>
        <w:t>、《秦皇岛市限制和禁止投资的产业目录》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rPr>
      </w:pPr>
      <w:r>
        <w:rPr>
          <w:rFonts w:hint="default" w:ascii="Times New Roman" w:hAnsi="Times New Roman" w:eastAsia="宋体" w:cs="Times New Roman"/>
          <w:snapToGrid w:val="0"/>
          <w:kern w:val="0"/>
          <w:sz w:val="24"/>
          <w:szCs w:val="24"/>
          <w:highlight w:val="none"/>
        </w:rPr>
        <w:t>项目不属于《河北省新增限制和淘汰类产业目录 (2015 年版)》中的限制和淘汰类内容，</w:t>
      </w:r>
      <w:r>
        <w:rPr>
          <w:rFonts w:hint="default" w:ascii="Times New Roman" w:hAnsi="Times New Roman" w:eastAsia="宋体" w:cs="Times New Roman"/>
          <w:snapToGrid w:val="0"/>
          <w:kern w:val="0"/>
          <w:sz w:val="24"/>
          <w:szCs w:val="24"/>
          <w:highlight w:val="none"/>
          <w:lang w:val="en-US" w:eastAsia="zh-CN"/>
        </w:rPr>
        <w:t>不属于</w:t>
      </w:r>
      <w:r>
        <w:rPr>
          <w:rFonts w:hint="default" w:ascii="Times New Roman" w:hAnsi="Times New Roman" w:eastAsia="宋体" w:cs="Times New Roman"/>
          <w:kern w:val="0"/>
          <w:sz w:val="24"/>
          <w:highlight w:val="none"/>
        </w:rPr>
        <w:t>《秦皇岛市限制和禁止投资的产业目录》</w:t>
      </w:r>
      <w:r>
        <w:rPr>
          <w:rFonts w:hint="default" w:ascii="Times New Roman" w:hAnsi="Times New Roman" w:eastAsia="宋体" w:cs="Times New Roman"/>
          <w:kern w:val="0"/>
          <w:sz w:val="24"/>
          <w:highlight w:val="none"/>
          <w:lang w:eastAsia="zh-CN"/>
        </w:rPr>
        <w:t>，</w:t>
      </w:r>
      <w:r>
        <w:rPr>
          <w:rFonts w:hint="default" w:ascii="Times New Roman" w:hAnsi="Times New Roman" w:eastAsia="宋体" w:cs="Times New Roman"/>
          <w:snapToGrid w:val="0"/>
          <w:kern w:val="0"/>
          <w:sz w:val="24"/>
          <w:szCs w:val="24"/>
          <w:highlight w:val="none"/>
        </w:rPr>
        <w:t>属于允许类，符合河北省</w:t>
      </w:r>
      <w:r>
        <w:rPr>
          <w:rFonts w:hint="default" w:ascii="Times New Roman" w:hAnsi="Times New Roman" w:eastAsia="宋体" w:cs="Times New Roman"/>
          <w:snapToGrid w:val="0"/>
          <w:kern w:val="0"/>
          <w:sz w:val="24"/>
          <w:szCs w:val="24"/>
          <w:highlight w:val="none"/>
          <w:lang w:val="en-US" w:eastAsia="zh-CN"/>
        </w:rPr>
        <w:t>和秦皇岛市</w:t>
      </w:r>
      <w:r>
        <w:rPr>
          <w:rFonts w:hint="default" w:ascii="Times New Roman" w:hAnsi="Times New Roman" w:eastAsia="宋体" w:cs="Times New Roman"/>
          <w:snapToGrid w:val="0"/>
          <w:kern w:val="0"/>
          <w:sz w:val="24"/>
          <w:szCs w:val="24"/>
          <w:highlight w:val="none"/>
        </w:rPr>
        <w:t>产业政策要求。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rPr>
      </w:pPr>
      <w:r>
        <w:rPr>
          <w:rFonts w:hint="default" w:ascii="Times New Roman" w:hAnsi="Times New Roman" w:eastAsia="宋体" w:cs="Times New Roman"/>
          <w:snapToGrid w:val="0"/>
          <w:kern w:val="0"/>
          <w:sz w:val="24"/>
          <w:szCs w:val="24"/>
          <w:highlight w:val="none"/>
        </w:rPr>
        <w:t>秦皇岛市国飞农业科技发展有限公司已经取得卢龙县国土资源局出具的《设施农用地备案表》，备案土地用途为</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养殖</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。本项目由卢龙县行政审批局以卢行审备字【201</w:t>
      </w:r>
      <w:r>
        <w:rPr>
          <w:rFonts w:hint="default" w:ascii="Times New Roman" w:hAnsi="Times New Roman" w:eastAsia="宋体" w:cs="Times New Roman"/>
          <w:snapToGrid w:val="0"/>
          <w:kern w:val="0"/>
          <w:sz w:val="24"/>
          <w:szCs w:val="24"/>
          <w:highlight w:val="none"/>
          <w:lang w:val="en-US" w:eastAsia="zh-CN"/>
        </w:rPr>
        <w:t>9</w:t>
      </w:r>
      <w:r>
        <w:rPr>
          <w:rFonts w:hint="default" w:ascii="Times New Roman" w:hAnsi="Times New Roman" w:eastAsia="宋体" w:cs="Times New Roman"/>
          <w:snapToGrid w:val="0"/>
          <w:kern w:val="0"/>
          <w:sz w:val="24"/>
          <w:szCs w:val="24"/>
          <w:highlight w:val="none"/>
        </w:rPr>
        <w:t>】</w:t>
      </w:r>
      <w:r>
        <w:rPr>
          <w:rFonts w:hint="default" w:ascii="Times New Roman" w:hAnsi="Times New Roman" w:eastAsia="宋体" w:cs="Times New Roman"/>
          <w:snapToGrid w:val="0"/>
          <w:kern w:val="0"/>
          <w:sz w:val="24"/>
          <w:szCs w:val="24"/>
          <w:highlight w:val="none"/>
          <w:lang w:val="en-US" w:eastAsia="zh-CN"/>
        </w:rPr>
        <w:t>38</w:t>
      </w:r>
      <w:r>
        <w:rPr>
          <w:rFonts w:hint="default" w:ascii="Times New Roman" w:hAnsi="Times New Roman" w:eastAsia="宋体" w:cs="Times New Roman"/>
          <w:snapToGrid w:val="0"/>
          <w:kern w:val="0"/>
          <w:sz w:val="24"/>
          <w:szCs w:val="24"/>
          <w:highlight w:val="none"/>
        </w:rPr>
        <w:t>号文予以备案，项目建设符合产业政策要求。</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lang w:val="en-US" w:eastAsia="zh-CN"/>
        </w:rPr>
        <w:t>3</w:t>
      </w: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rPr>
        <w:t>《秦皇岛市</w:t>
      </w: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rPr>
        <w:t>净土行动</w:t>
      </w: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rPr>
        <w:t>土壤污染防治工作方案》</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方案中第（二十八）条</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强化畜禽养殖污染防治</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中要求：开展饲料添加剂和兽药使用专项整治，规范兽药、饲料添加剂生产、销售和使用，防止有害物质通过畜禽废弃物进入农田。现有规模化畜禽养殖场要根据污染防治需要，配套建设粪污贮存、处理、利用设施，2019 年底前，全市所有规模化畜禽养殖场（小区）全部配套建设粪便污水贮存、处理、利用设施，逾期完不成的一律依法取缔。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项目采用符合农业及防疫部门要求的兽药及饲料添加剂，兽药及添加剂使用量符合相关规范要求，无有害物质通过畜禽废弃物进入农田。此外项目配套建设粪污贮存、处理、利用设施，项目建设符合《秦皇岛市</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净土行动</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土壤污染防治工作方案》要求。</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0.4.2 </w:t>
      </w:r>
      <w:r>
        <w:rPr>
          <w:rFonts w:hint="default" w:ascii="Times New Roman" w:hAnsi="Times New Roman" w:eastAsia="黑体" w:cs="Times New Roman"/>
          <w:bCs/>
          <w:sz w:val="28"/>
          <w:szCs w:val="28"/>
          <w:highlight w:val="none"/>
          <w:lang w:val="en-US" w:eastAsia="zh-CN"/>
        </w:rPr>
        <w:t>规划符合性</w:t>
      </w:r>
      <w:r>
        <w:rPr>
          <w:rFonts w:hint="default" w:ascii="Times New Roman" w:hAnsi="Times New Roman" w:eastAsia="黑体" w:cs="Times New Roman"/>
          <w:bCs/>
          <w:sz w:val="28"/>
          <w:szCs w:val="28"/>
          <w:highlight w:val="none"/>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秦皇岛市国飞农业科技发展有限公司已经取得卢龙县国土资源局出具的《设施农用地备案表》</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用途为养殖业，建设内容符合要求。</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0.4.</w:t>
      </w:r>
      <w:r>
        <w:rPr>
          <w:rFonts w:hint="default" w:ascii="Times New Roman" w:hAnsi="Times New Roman" w:eastAsia="黑体" w:cs="Times New Roman"/>
          <w:bCs/>
          <w:sz w:val="28"/>
          <w:szCs w:val="28"/>
          <w:highlight w:val="none"/>
          <w:lang w:val="en-US" w:eastAsia="zh-CN"/>
        </w:rPr>
        <w:t>3</w:t>
      </w:r>
      <w:r>
        <w:rPr>
          <w:rFonts w:hint="default" w:ascii="Times New Roman" w:hAnsi="Times New Roman" w:eastAsia="黑体" w:cs="Times New Roman"/>
          <w:bCs/>
          <w:sz w:val="28"/>
          <w:szCs w:val="28"/>
          <w:highlight w:val="none"/>
        </w:rPr>
        <w:t xml:space="preserve"> 选址可行性分析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b/>
          <w:bCs/>
          <w:sz w:val="24"/>
          <w:szCs w:val="24"/>
          <w:highlight w:val="none"/>
        </w:rPr>
        <w:t>（</w:t>
      </w:r>
      <w:r>
        <w:rPr>
          <w:rFonts w:hint="default" w:ascii="Times New Roman" w:hAnsi="Times New Roman" w:eastAsia="宋体" w:cs="Times New Roman"/>
          <w:b/>
          <w:bCs/>
          <w:sz w:val="24"/>
          <w:szCs w:val="24"/>
          <w:highlight w:val="none"/>
          <w:lang w:val="en-US" w:eastAsia="zh-CN"/>
        </w:rPr>
        <w:t>1</w:t>
      </w:r>
      <w:r>
        <w:rPr>
          <w:rFonts w:hint="default" w:ascii="Times New Roman" w:hAnsi="Times New Roman" w:eastAsia="宋体" w:cs="Times New Roman"/>
          <w:b/>
          <w:bCs/>
          <w:sz w:val="24"/>
          <w:szCs w:val="24"/>
          <w:highlight w:val="none"/>
        </w:rPr>
        <w:t>）</w:t>
      </w:r>
      <w:r>
        <w:rPr>
          <w:rFonts w:hint="default" w:ascii="Times New Roman" w:hAnsi="Times New Roman" w:eastAsia="宋体" w:cs="Times New Roman"/>
          <w:sz w:val="24"/>
          <w:szCs w:val="24"/>
          <w:highlight w:val="none"/>
        </w:rPr>
        <w:t>根据《畜禽养殖业污染防治技术规范》（HJ/T81-2001）要求：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1）禁止在下列区域内建设畜禽养殖场：</w:t>
      </w:r>
      <w:bookmarkStart w:id="14" w:name="page5"/>
      <w:bookmarkEnd w:id="1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①生活饮用水水源保护区、风景名胜区、自然保护区的核心区及缓冲区；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②城市和城镇居民区，包括文教科研区、医疗区、商业区、工业区、游览区等人口集中地区；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③ 县级人民政府依法划定的禁养区域；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④ 国家或地方法律、法规规定需特殊保护的其它区域。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2）新建</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改建</w:t>
      </w:r>
      <w:r>
        <w:rPr>
          <w:rFonts w:hint="default" w:ascii="Times New Roman" w:hAnsi="Times New Roman" w:eastAsia="宋体" w:cs="Times New Roman"/>
          <w:sz w:val="24"/>
          <w:szCs w:val="24"/>
          <w:highlight w:val="none"/>
          <w:lang w:eastAsia="zh-CN"/>
        </w:rPr>
        <w:t>和</w:t>
      </w:r>
      <w:r>
        <w:rPr>
          <w:rFonts w:hint="default" w:ascii="Times New Roman" w:hAnsi="Times New Roman" w:eastAsia="宋体" w:cs="Times New Roman"/>
          <w:sz w:val="24"/>
          <w:szCs w:val="24"/>
          <w:highlight w:val="none"/>
        </w:rPr>
        <w:t>扩建的畜禽养殖场选址应避开规定的禁建区域，在禁建区域附近建设的，应设在 1）规定的禁建区域常年主导风向的下风向或侧风向处，场界与禁建区域边界的最小距离不得小于500 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3）养殖场粪便储存设施的位置必须远离各类功能地表水体（距离不得小于400米）</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本项目选址不属于地表水源地保护区、风景名胜区和自然保护区；项目建设地点为农村地区农业用地，距离最近乡村居民点距离大于500m，不属于城市和城镇居民区</w:t>
      </w:r>
      <w:r>
        <w:rPr>
          <w:rFonts w:hint="default" w:ascii="Times New Roman" w:hAnsi="Times New Roman" w:eastAsia="宋体" w:cs="Times New Roman"/>
          <w:sz w:val="24"/>
          <w:szCs w:val="24"/>
          <w:highlight w:val="none"/>
          <w:lang w:eastAsia="zh-CN"/>
        </w:rPr>
        <w:t>，距离最近地表水体大于</w:t>
      </w:r>
      <w:r>
        <w:rPr>
          <w:rFonts w:hint="default" w:ascii="Times New Roman" w:hAnsi="Times New Roman" w:eastAsia="宋体" w:cs="Times New Roman"/>
          <w:sz w:val="24"/>
          <w:szCs w:val="24"/>
          <w:highlight w:val="none"/>
          <w:lang w:val="en-US" w:eastAsia="zh-CN"/>
        </w:rPr>
        <w:t>400m</w:t>
      </w:r>
      <w:r>
        <w:rPr>
          <w:rFonts w:hint="default" w:ascii="Times New Roman" w:hAnsi="Times New Roman" w:eastAsia="宋体"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项目建设地点不属于卢龙县人民政府划定的禁限养区；建设地点无法律法规规定需要保护的其它区域。综上，项目选址符合《畜禽养殖业污染防治技术规范》（HJ/T 81-2001）中相关要求。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（2）</w:t>
      </w:r>
      <w:r>
        <w:rPr>
          <w:rFonts w:hint="default" w:ascii="Times New Roman" w:hAnsi="Times New Roman" w:eastAsia="宋体" w:cs="Times New Roman"/>
          <w:sz w:val="24"/>
          <w:szCs w:val="24"/>
          <w:highlight w:val="none"/>
          <w:lang w:val="en-US" w:eastAsia="zh-CN"/>
        </w:rPr>
        <w:t>与</w:t>
      </w:r>
      <w:r>
        <w:rPr>
          <w:rFonts w:hint="default" w:ascii="Times New Roman" w:hAnsi="Times New Roman" w:eastAsia="宋体" w:cs="Times New Roman"/>
          <w:sz w:val="24"/>
          <w:szCs w:val="24"/>
          <w:highlight w:val="none"/>
        </w:rPr>
        <w:t>《畜禽养殖业污染治理工程技术规范》（HJ497-2009）有关</w:t>
      </w:r>
      <w:r>
        <w:rPr>
          <w:rFonts w:hint="default" w:ascii="Times New Roman" w:hAnsi="Times New Roman" w:eastAsia="宋体" w:cs="Times New Roman"/>
          <w:sz w:val="24"/>
          <w:szCs w:val="24"/>
          <w:highlight w:val="none"/>
          <w:lang w:val="en-US" w:eastAsia="zh-CN"/>
        </w:rPr>
        <w:t>选址</w:t>
      </w:r>
      <w:r>
        <w:rPr>
          <w:rFonts w:hint="default" w:ascii="Times New Roman" w:hAnsi="Times New Roman" w:eastAsia="宋体" w:cs="Times New Roman"/>
          <w:sz w:val="24"/>
          <w:szCs w:val="24"/>
          <w:highlight w:val="none"/>
        </w:rPr>
        <w:t>规定</w:t>
      </w:r>
      <w:r>
        <w:rPr>
          <w:rFonts w:hint="default" w:ascii="Times New Roman" w:hAnsi="Times New Roman" w:eastAsia="宋体" w:cs="Times New Roman"/>
          <w:sz w:val="24"/>
          <w:szCs w:val="24"/>
          <w:highlight w:val="none"/>
          <w:lang w:val="en-US" w:eastAsia="zh-CN"/>
        </w:rPr>
        <w:t>的符合性。规范中对选址的要求如下：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1）畜禽养殖业污染治理工程应与养殖场生产区、居民区等建筑保持一定的卫生防护距离，</w:t>
      </w:r>
      <w:r>
        <w:rPr>
          <w:rFonts w:hint="default" w:ascii="Times New Roman" w:hAnsi="Times New Roman" w:eastAsia="宋体" w:cs="Times New Roman"/>
          <w:sz w:val="24"/>
          <w:szCs w:val="24"/>
          <w:highlight w:val="green"/>
          <w:lang w:val="en-US" w:eastAsia="zh-CN"/>
        </w:rPr>
        <w:t>设置在畜禽养殖场的生产区、生活区主导风向的下风向或侧风向处。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2）畜禽养殖业污染治理工程的位置应有利于排放、资源化利用和运输，并留有扩建的余地，方便施工、运行和维护。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本项目选址所在地常年主导风向为西南风，污染治理设施拟设于厂址北侧，处于生产区、生活区的</w:t>
      </w:r>
      <w:r>
        <w:rPr>
          <w:rFonts w:hint="default" w:ascii="Times New Roman" w:hAnsi="Times New Roman" w:eastAsia="宋体" w:cs="Times New Roman"/>
          <w:sz w:val="24"/>
          <w:szCs w:val="24"/>
          <w:highlight w:val="green"/>
          <w:lang w:val="en-US" w:eastAsia="zh-CN"/>
        </w:rPr>
        <w:t>侧风向</w:t>
      </w:r>
      <w:r>
        <w:rPr>
          <w:rFonts w:hint="default" w:ascii="Times New Roman" w:hAnsi="Times New Roman" w:eastAsia="宋体" w:cs="Times New Roman"/>
          <w:sz w:val="24"/>
          <w:szCs w:val="24"/>
          <w:highlight w:val="none"/>
          <w:lang w:val="en-US" w:eastAsia="zh-CN"/>
        </w:rPr>
        <w:t>；且与周边敏感点设置了500m的卫生防护距离；同时项目在厂区内设置地下式粪污输送系统，汇集于污染治理设施处后，方便于北门出口向外运输。同时项目周边均为空地，为项目今后扩建带来可能。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（3）与《畜禽规模养殖污染防治条例》中选址要求的符合性分析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根据条例第十一条，禁止在下列区域内建设畜禽养殖场、养殖小区：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1）饮用水水源保护区，风景名胜区；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2）自然保护区的核心区和缓冲区；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3）城镇居民区、文化教育科学研究区等人口集中区域；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4）法律、法规规定的其他禁止养殖区域。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本项目选址不在上述区域，符合要求</w:t>
      </w:r>
      <w:r>
        <w:rPr>
          <w:rFonts w:hint="eastAsia" w:ascii="Times New Roman" w:hAnsi="Times New Roman"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（4）与《动物防疫条件审查办法》中选址要求的符合性分析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办法中第五条：动物饲养场、养殖小区选址应当符合下列条件：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1）距离生活饮用水源地、动物屠宰加工场所、动物和动物产品集贸市场500米以上；距离种畜禽场1000米以上；距离动物诊疗场所200米以上；动物饲养场（养殖小区）之间距离不少于500米；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2）距离动物隔离场所、无害化处理场所3000米以上；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3）距离城镇居民区、文化教育科研等人口集中区域及公路、铁路等主要交通干线500米以上。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项目与上述场所或地点的距离满足要求。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napToGrid w:val="0"/>
          <w:kern w:val="0"/>
          <w:sz w:val="24"/>
          <w:szCs w:val="24"/>
          <w:highlight w:val="none"/>
          <w:lang w:eastAsia="zh-CN"/>
        </w:rPr>
        <w:t>（</w:t>
      </w:r>
      <w:r>
        <w:rPr>
          <w:rFonts w:hint="default" w:ascii="Times New Roman" w:hAnsi="Times New Roman" w:eastAsia="宋体" w:cs="Times New Roman"/>
          <w:b/>
          <w:bCs/>
          <w:snapToGrid w:val="0"/>
          <w:kern w:val="0"/>
          <w:sz w:val="24"/>
          <w:szCs w:val="24"/>
          <w:highlight w:val="none"/>
          <w:lang w:val="en-US" w:eastAsia="zh-CN"/>
        </w:rPr>
        <w:t>5</w:t>
      </w:r>
      <w:r>
        <w:rPr>
          <w:rFonts w:hint="default" w:ascii="Times New Roman" w:hAnsi="Times New Roman" w:eastAsia="宋体" w:cs="Times New Roman"/>
          <w:b/>
          <w:bCs/>
          <w:snapToGrid w:val="0"/>
          <w:kern w:val="0"/>
          <w:sz w:val="24"/>
          <w:szCs w:val="24"/>
          <w:highlight w:val="none"/>
          <w:lang w:eastAsia="zh-CN"/>
        </w:rPr>
        <w:t>）</w:t>
      </w:r>
      <w:r>
        <w:rPr>
          <w:rFonts w:hint="default" w:ascii="Times New Roman" w:hAnsi="Times New Roman" w:eastAsia="宋体" w:cs="Times New Roman"/>
          <w:b/>
          <w:bCs/>
          <w:snapToGrid w:val="0"/>
          <w:kern w:val="0"/>
          <w:sz w:val="24"/>
          <w:szCs w:val="24"/>
          <w:highlight w:val="none"/>
          <w:lang w:val="en-US" w:eastAsia="zh-CN"/>
        </w:rPr>
        <w:t>与</w:t>
      </w:r>
      <w:r>
        <w:rPr>
          <w:rFonts w:hint="default" w:ascii="Times New Roman" w:hAnsi="Times New Roman" w:eastAsia="宋体" w:cs="Times New Roman"/>
          <w:b/>
          <w:bCs/>
          <w:snapToGrid w:val="0"/>
          <w:kern w:val="0"/>
          <w:sz w:val="24"/>
          <w:szCs w:val="24"/>
          <w:highlight w:val="none"/>
        </w:rPr>
        <w:t>《秦皇岛市划定畜禽禁养区限养区的规定》的通知（2016年8月10）</w:t>
      </w:r>
      <w:r>
        <w:rPr>
          <w:rFonts w:hint="default" w:ascii="Times New Roman" w:hAnsi="Times New Roman" w:eastAsia="宋体" w:cs="Times New Roman"/>
          <w:b/>
          <w:bCs/>
          <w:sz w:val="24"/>
          <w:szCs w:val="24"/>
          <w:highlight w:val="none"/>
        </w:rPr>
        <w:t>根据规定要求</w:t>
      </w:r>
      <w:r>
        <w:rPr>
          <w:rFonts w:hint="default" w:ascii="Times New Roman" w:hAnsi="Times New Roman" w:eastAsia="宋体" w:cs="Times New Roman"/>
          <w:b/>
          <w:bCs/>
          <w:sz w:val="24"/>
          <w:szCs w:val="24"/>
          <w:highlight w:val="none"/>
          <w:lang w:val="en-US" w:eastAsia="zh-CN"/>
        </w:rPr>
        <w:t>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其中禁养区包括：</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①饮用水水源保护区：包括饮用水源一级和二级保护区的陆地域范围；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②风景名胜区：国务院及省政府批准公布的风景名称去的核心区缓冲区，包括北戴河景区、山海关景区、南戴河景区、黄金海岸景区、碣石山景区和祖山景区；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③自然保护区：国务院及县级以上地方人民政府公布的自然保护区的核心区和缓冲区，包括黄金海岸自然保护区、都山自然保护区、老岭自然保护区、柳江盆地地质遗迹自然保护区及河北北戴河国家湿地公园、青龙湖（桃林口库区）湿地、滦河口湿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④城镇居民区、文化教育科学研究区等人口集中区域，包括海港区、山海关区、北戴河区、抚宁区、秦皇岛经济技术开发区、北戴河新区、昌黎县、卢龙县、青龙满族自治县主城区和其所辖乡镇政府所在地，以及其他城镇居民区、文化教育科学研究区等人口集中区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⑤河流河道两侧陆域：主要河流河道两侧至少 200 米范围；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⑥基本农田；⑦法律法规规定的其他确需施行特殊保护的区域。</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限养区包括：</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①饮用水水源一级和二级保护区，风景名称区及自然保护区的核心区和缓冲区外 2000 米内；</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②城镇居民区外 500 米内；③主要河流河道两侧禁养区外 300 米内；</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④主要公路两侧边界 500 米内。</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本项目选址处无饮用水水源保护区、风景名胜区、自然保护区和陈镇居民、文化教育科学研究等人口集中区域，附近无河流，不在城镇居民区范围内，</w:t>
      </w:r>
      <w:r>
        <w:rPr>
          <w:rFonts w:hint="default" w:ascii="Times New Roman" w:hAnsi="Times New Roman" w:eastAsia="宋体" w:cs="Times New Roman"/>
          <w:sz w:val="24"/>
          <w:szCs w:val="24"/>
          <w:highlight w:val="none"/>
        </w:rPr>
        <w:t>项目距离最近的主要道路（</w:t>
      </w:r>
      <w:r>
        <w:rPr>
          <w:rFonts w:hint="default" w:ascii="Times New Roman" w:hAnsi="Times New Roman" w:eastAsia="宋体" w:cs="Times New Roman"/>
          <w:sz w:val="24"/>
          <w:szCs w:val="24"/>
          <w:highlight w:val="none"/>
          <w:lang w:val="en-US" w:eastAsia="zh-CN"/>
        </w:rPr>
        <w:t>卢陈线</w:t>
      </w:r>
      <w:r>
        <w:rPr>
          <w:rFonts w:hint="default" w:ascii="Times New Roman" w:hAnsi="Times New Roman" w:eastAsia="宋体" w:cs="Times New Roman"/>
          <w:sz w:val="24"/>
          <w:szCs w:val="24"/>
          <w:highlight w:val="none"/>
        </w:rPr>
        <w:t>）1400m，</w:t>
      </w:r>
      <w:r>
        <w:rPr>
          <w:rFonts w:hint="default" w:ascii="Times New Roman" w:hAnsi="Times New Roman" w:eastAsia="宋体" w:cs="Times New Roman"/>
          <w:sz w:val="24"/>
          <w:szCs w:val="24"/>
          <w:highlight w:val="none"/>
          <w:lang w:val="en-US" w:eastAsia="zh-CN"/>
        </w:rPr>
        <w:t>距离102国道1900m，</w:t>
      </w:r>
      <w:r>
        <w:rPr>
          <w:rFonts w:hint="default" w:ascii="Times New Roman" w:hAnsi="Times New Roman" w:eastAsia="宋体" w:cs="Times New Roman"/>
          <w:sz w:val="24"/>
          <w:szCs w:val="24"/>
          <w:highlight w:val="none"/>
        </w:rPr>
        <w:t>距离最近的铁路</w:t>
      </w:r>
      <w:r>
        <w:rPr>
          <w:rFonts w:hint="default" w:ascii="Times New Roman" w:hAnsi="Times New Roman" w:eastAsia="宋体" w:cs="Times New Roman"/>
          <w:sz w:val="24"/>
          <w:szCs w:val="24"/>
          <w:highlight w:val="none"/>
          <w:lang w:val="en-US" w:eastAsia="zh-CN"/>
        </w:rPr>
        <w:t>780</w:t>
      </w:r>
      <w:r>
        <w:rPr>
          <w:rFonts w:hint="default" w:ascii="Times New Roman" w:hAnsi="Times New Roman" w:eastAsia="宋体" w:cs="Times New Roman"/>
          <w:sz w:val="24"/>
          <w:szCs w:val="24"/>
          <w:highlight w:val="none"/>
        </w:rPr>
        <w:t>m；项目设施农业用地类型为规模化养殖用地，不属于基本农田，因此项目选址不属于文件规定的禁养区和限养区内，符合文件规定要求。</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lang w:val="en-US" w:eastAsia="zh-CN"/>
        </w:rPr>
        <w:t>6</w:t>
      </w: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lang w:val="en-US" w:eastAsia="zh-CN"/>
        </w:rPr>
        <w:t>与</w:t>
      </w:r>
      <w:r>
        <w:rPr>
          <w:rFonts w:hint="default" w:ascii="Times New Roman" w:hAnsi="Times New Roman" w:eastAsia="宋体" w:cs="Times New Roman"/>
          <w:b/>
          <w:bCs/>
          <w:sz w:val="24"/>
          <w:szCs w:val="24"/>
          <w:highlight w:val="none"/>
        </w:rPr>
        <w:t>《卢龙县划定畜禽禁养区限养区规定》</w:t>
      </w:r>
      <w:r>
        <w:rPr>
          <w:rFonts w:hint="default" w:ascii="Times New Roman" w:hAnsi="Times New Roman" w:eastAsia="宋体" w:cs="Times New Roman"/>
          <w:b/>
          <w:bCs/>
          <w:sz w:val="24"/>
          <w:szCs w:val="24"/>
          <w:highlight w:val="none"/>
          <w:lang w:val="en-US" w:eastAsia="zh-CN"/>
        </w:rPr>
        <w:t>的符合性</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b/>
          <w:bCs/>
          <w:sz w:val="24"/>
          <w:szCs w:val="24"/>
          <w:highlight w:val="none"/>
        </w:rPr>
        <w:t>禁养区</w:t>
      </w:r>
      <w:r>
        <w:rPr>
          <w:rFonts w:hint="default" w:ascii="Times New Roman" w:hAnsi="Times New Roman" w:eastAsia="宋体" w:cs="Times New Roman"/>
          <w:sz w:val="24"/>
          <w:szCs w:val="24"/>
          <w:highlight w:val="none"/>
        </w:rPr>
        <w:t>包括以下区域：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①桃林口水库保护区、县城区生活饮用水水源保护区（深水井周边 1000m 范围陆域），各乡（镇）村集中供给饮用水水源地保护区（深水井周500m 范围陆域）；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②县城规划区、各乡（镇）村居民区、文化教育科研区、医疗区等人口密集区和环境敏感区域；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③青龙河、西洋河、滦河等主要河道两侧 200m 范围内；</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④基本农田；⑤法律、法规规定的其它确需施行特殊保护的区域。</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b/>
          <w:bCs/>
          <w:sz w:val="24"/>
          <w:szCs w:val="24"/>
          <w:highlight w:val="none"/>
        </w:rPr>
        <w:t>限养区</w:t>
      </w:r>
      <w:r>
        <w:rPr>
          <w:rFonts w:hint="default" w:ascii="Times New Roman" w:hAnsi="Times New Roman" w:eastAsia="宋体" w:cs="Times New Roman"/>
          <w:sz w:val="24"/>
          <w:szCs w:val="24"/>
          <w:highlight w:val="none"/>
        </w:rPr>
        <w:t>包括以下区域：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①桃林口水源保护区、县城区生活饮用水源保护区外2000m 内、各乡（镇）村集中供给饮用水水源保护区禁养区外延 500m 范围；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②城镇居民区外500m内；</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③青龙河、西洋河、滦河等主要河段禁养区外300m范围内，饮马河、</w:t>
      </w:r>
      <w:bookmarkStart w:id="15" w:name="page4"/>
      <w:bookmarkEnd w:id="15"/>
      <w:r>
        <w:rPr>
          <w:rFonts w:hint="default" w:ascii="Times New Roman" w:hAnsi="Times New Roman" w:eastAsia="宋体" w:cs="Times New Roman"/>
          <w:sz w:val="24"/>
          <w:szCs w:val="24"/>
          <w:highlight w:val="none"/>
        </w:rPr>
        <w:t>龙凤河河道两侧 500m 范围内；</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④高速公路、铁路、国道公路两侧 500m 范围内的区域。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本项目</w:t>
      </w:r>
      <w:r>
        <w:rPr>
          <w:rFonts w:hint="default" w:ascii="Times New Roman" w:hAnsi="Times New Roman" w:eastAsia="宋体" w:cs="Times New Roman"/>
          <w:sz w:val="24"/>
          <w:szCs w:val="24"/>
          <w:highlight w:val="none"/>
          <w:lang w:val="en-US" w:eastAsia="zh-CN"/>
        </w:rPr>
        <w:t>选址不在上述禁养区和限养区范围，符合要求。</w:t>
      </w:r>
    </w:p>
    <w:p>
      <w:pPr>
        <w:spacing w:before="120" w:beforeLines="50" w:after="120" w:afterLines="50" w:line="360" w:lineRule="auto"/>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lang w:val="en-US" w:eastAsia="zh-CN"/>
        </w:rPr>
        <w:t>0.4.</w:t>
      </w:r>
      <w:r>
        <w:rPr>
          <w:rFonts w:hint="eastAsia" w:ascii="Times New Roman" w:hAnsi="Times New Roman" w:eastAsia="黑体" w:cs="Times New Roman"/>
          <w:bCs/>
          <w:sz w:val="28"/>
          <w:szCs w:val="28"/>
          <w:highlight w:val="none"/>
          <w:lang w:val="en-US" w:eastAsia="zh-CN"/>
        </w:rPr>
        <w:t>4</w:t>
      </w:r>
      <w:r>
        <w:rPr>
          <w:rFonts w:hint="default" w:ascii="Times New Roman" w:hAnsi="Times New Roman" w:eastAsia="黑体" w:cs="Times New Roman"/>
          <w:bCs/>
          <w:sz w:val="28"/>
          <w:szCs w:val="28"/>
          <w:highlight w:val="none"/>
        </w:rPr>
        <w:t>环境功能区划符合性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环境空气：根据《秦皇岛市生态环境保护“十三五”规划》，项目所在区域环境空气功能区划为二类区，环境空气质量适用《环境空气质量标准》（GB3095-2012）二级标准。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地下水环境：根据《秦皇岛市“十三五”环境规划》，区域地下水质量为Ⅲ类，地下水适用《地下水质量标准》（GB/T14848-1993）中Ⅲ类标准。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声环境：根据《秦皇岛市“十三五”环境规划》，项目所在区域适用《声环境质量标准》（GB3096-2008）1 类功能区标准；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项目建设与选址符合环境功能区划要求。</w:t>
      </w:r>
    </w:p>
    <w:p>
      <w:pPr>
        <w:spacing w:before="120" w:beforeLines="50" w:after="120" w:afterLines="50"/>
        <w:jc w:val="left"/>
        <w:outlineLvl w:val="2"/>
        <w:rPr>
          <w:rFonts w:hint="default" w:ascii="Times New Roman" w:hAnsi="Times New Roman" w:eastAsia="黑体" w:cs="Times New Roman"/>
          <w:bCs/>
          <w:sz w:val="28"/>
          <w:szCs w:val="28"/>
          <w:highlight w:val="none"/>
          <w:lang w:val="en-US" w:eastAsia="zh-CN"/>
        </w:rPr>
      </w:pPr>
      <w:r>
        <w:rPr>
          <w:rFonts w:hint="default" w:ascii="Times New Roman" w:hAnsi="Times New Roman" w:eastAsia="黑体" w:cs="Times New Roman"/>
          <w:bCs/>
          <w:sz w:val="28"/>
          <w:szCs w:val="28"/>
          <w:highlight w:val="none"/>
          <w:lang w:val="en-US" w:eastAsia="zh-CN"/>
        </w:rPr>
        <w:t>0.4.</w:t>
      </w:r>
      <w:r>
        <w:rPr>
          <w:rFonts w:hint="eastAsia" w:ascii="Times New Roman" w:hAnsi="Times New Roman" w:eastAsia="黑体" w:cs="Times New Roman"/>
          <w:bCs/>
          <w:sz w:val="28"/>
          <w:szCs w:val="28"/>
          <w:highlight w:val="none"/>
          <w:lang w:val="en-US" w:eastAsia="zh-CN"/>
        </w:rPr>
        <w:t>5</w:t>
      </w:r>
      <w:r>
        <w:rPr>
          <w:rFonts w:hint="default" w:ascii="Times New Roman" w:hAnsi="Times New Roman" w:eastAsia="黑体" w:cs="Times New Roman"/>
          <w:bCs/>
          <w:sz w:val="28"/>
          <w:szCs w:val="28"/>
          <w:highlight w:val="none"/>
          <w:lang w:val="en-US" w:eastAsia="zh-CN"/>
        </w:rPr>
        <w:t>基础设施可行性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w:t>
      </w:r>
      <w:r>
        <w:rPr>
          <w:rFonts w:hint="eastAsia" w:ascii="Times New Roman" w:hAnsi="Times New Roman" w:cs="Times New Roman"/>
          <w:sz w:val="24"/>
          <w:szCs w:val="24"/>
          <w:highlight w:val="none"/>
          <w:lang w:val="en-US" w:eastAsia="zh-CN"/>
        </w:rPr>
        <w:t>所在</w:t>
      </w:r>
      <w:r>
        <w:rPr>
          <w:rFonts w:hint="default" w:ascii="Times New Roman" w:hAnsi="Times New Roman" w:cs="Times New Roman"/>
          <w:sz w:val="24"/>
          <w:szCs w:val="24"/>
          <w:highlight w:val="none"/>
        </w:rPr>
        <w:t>无市政自来水管网和排水管网</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用水取</w:t>
      </w:r>
      <w:r>
        <w:rPr>
          <w:rFonts w:hint="default" w:ascii="Times New Roman" w:hAnsi="Times New Roman" w:cs="Times New Roman"/>
          <w:sz w:val="24"/>
          <w:szCs w:val="24"/>
          <w:highlight w:val="none"/>
        </w:rPr>
        <w:t>自地下井水，</w:t>
      </w:r>
      <w:r>
        <w:rPr>
          <w:rFonts w:hint="eastAsia" w:ascii="Times New Roman" w:hAnsi="Times New Roman" w:cs="Times New Roman"/>
          <w:sz w:val="24"/>
          <w:szCs w:val="24"/>
          <w:highlight w:val="none"/>
          <w:lang w:val="en-US" w:eastAsia="zh-CN"/>
        </w:rPr>
        <w:t>无废水排放；</w:t>
      </w:r>
      <w:r>
        <w:rPr>
          <w:rFonts w:hint="default" w:ascii="Times New Roman" w:hAnsi="Times New Roman" w:cs="Times New Roman"/>
          <w:sz w:val="24"/>
          <w:szCs w:val="24"/>
          <w:highlight w:val="none"/>
        </w:rPr>
        <w:t>用电来自供电公司电网，冬季采用</w:t>
      </w:r>
      <w:r>
        <w:rPr>
          <w:rFonts w:hint="eastAsia" w:ascii="Times New Roman" w:hAnsi="Times New Roman" w:cs="Times New Roman"/>
          <w:sz w:val="24"/>
          <w:szCs w:val="24"/>
          <w:highlight w:val="none"/>
          <w:lang w:val="en-US" w:eastAsia="zh-CN"/>
        </w:rPr>
        <w:t>沼气锅炉和电锅炉共同</w:t>
      </w:r>
      <w:r>
        <w:rPr>
          <w:rFonts w:hint="default" w:ascii="Times New Roman" w:hAnsi="Times New Roman" w:cs="Times New Roman"/>
          <w:sz w:val="24"/>
          <w:szCs w:val="24"/>
          <w:highlight w:val="none"/>
        </w:rPr>
        <w:t>取暖，基础设施满足项目建设要求。</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0.4.</w:t>
      </w:r>
      <w:r>
        <w:rPr>
          <w:rFonts w:hint="eastAsia" w:ascii="Times New Roman" w:hAnsi="Times New Roman" w:eastAsia="黑体" w:cs="Times New Roman"/>
          <w:bCs/>
          <w:sz w:val="28"/>
          <w:szCs w:val="28"/>
          <w:highlight w:val="none"/>
          <w:lang w:val="en-US" w:eastAsia="zh-CN"/>
        </w:rPr>
        <w:t>6</w:t>
      </w:r>
      <w:r>
        <w:rPr>
          <w:rFonts w:hint="default" w:ascii="Times New Roman" w:hAnsi="Times New Roman" w:eastAsia="黑体" w:cs="Times New Roman"/>
          <w:bCs/>
          <w:sz w:val="28"/>
          <w:szCs w:val="28"/>
          <w:highlight w:val="none"/>
        </w:rPr>
        <w:t xml:space="preserve"> 与行业管理要求符合性分析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（1）与《畜禽规模养殖污染防治条例》相符性分析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畜禽规模养殖污染防治条例》中“鼓励和支持畜禽养殖污染防治以及畜禽养殖废弃物综合利用。国家鼓励和支持采取粪肥还田、制取沼气、制造肥料等方法，对畜禽养殖废物进行综合利用”。“染疫畜禽以及染疫畜禽排泄物、染疫畜禽产品、病死或者死因不明的畜禽尸体等病害畜禽养殖废弃物，应当按照有关法律、法规和国务院农牧主管部门的规定，进行深埋、化制、焚烧等无害化处理，不得随意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本项目采用黑膜沼气池，沼气用作食堂做饭及沼气发电，沼液用作液体肥料使用</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沼渣外售作为肥料使用，畜禽养殖废物实现综合利用，因此与《畜禽规模养殖污染防治条例》中的规定相符。</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（2）与《畜禽养殖产地环境评价规范》相符性分析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《畜禽养殖产地环境评价规范》（HJ568-2010）表5 畜禽养殖场和养殖小区环境空气质量评价指标限值以及表 6</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 xml:space="preserve"> 畜禽养殖场声环境质量评价指标限值的要求，与本项目环境质量现状检测数据对比分析，见表 0-1。</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表0-1  与《畜禽养殖产地环境评价规范》相关要求比较情况</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9"/>
        <w:gridCol w:w="1669"/>
        <w:gridCol w:w="1669"/>
        <w:gridCol w:w="1732"/>
        <w:gridCol w:w="1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序号</w:t>
            </w:r>
          </w:p>
        </w:tc>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评价指标</w:t>
            </w:r>
          </w:p>
        </w:tc>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取值时间</w:t>
            </w:r>
          </w:p>
        </w:tc>
        <w:tc>
          <w:tcPr>
            <w:tcW w:w="1871"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《畜禽养殖产地环境评价规范》</w:t>
            </w:r>
          </w:p>
        </w:tc>
        <w:tc>
          <w:tcPr>
            <w:tcW w:w="1871"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氨气</w:t>
            </w:r>
          </w:p>
        </w:tc>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 日平均</w:t>
            </w:r>
          </w:p>
        </w:tc>
        <w:tc>
          <w:tcPr>
            <w:tcW w:w="1871"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lang w:val="en-US" w:eastAsia="zh-CN"/>
              </w:rPr>
              <w:t>5</w:t>
            </w:r>
            <w:r>
              <w:rPr>
                <w:rFonts w:hint="default" w:ascii="Times New Roman" w:hAnsi="Times New Roman" w:eastAsia="宋体" w:cs="Times New Roman"/>
                <w:sz w:val="21"/>
                <w:szCs w:val="21"/>
                <w:highlight w:val="none"/>
              </w:rPr>
              <w:t>mg/m³</w:t>
            </w:r>
          </w:p>
        </w:tc>
        <w:tc>
          <w:tcPr>
            <w:tcW w:w="1871"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lang w:val="en-US" w:eastAsia="zh-CN"/>
              </w:rPr>
              <w:t>0.14</w:t>
            </w:r>
            <w:r>
              <w:rPr>
                <w:rFonts w:hint="default" w:ascii="Times New Roman" w:hAnsi="Times New Roman" w:eastAsia="宋体" w:cs="Times New Roman"/>
                <w:sz w:val="21"/>
                <w:szCs w:val="21"/>
                <w:highlight w:val="none"/>
              </w:rPr>
              <w:t xml:space="preserve"> 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硫化氢</w:t>
            </w:r>
          </w:p>
        </w:tc>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 日平均</w:t>
            </w:r>
          </w:p>
        </w:tc>
        <w:tc>
          <w:tcPr>
            <w:tcW w:w="1871"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lang w:val="en-US" w:eastAsia="zh-CN"/>
              </w:rPr>
              <w:t>2</w:t>
            </w:r>
            <w:r>
              <w:rPr>
                <w:rFonts w:hint="default" w:ascii="Times New Roman" w:hAnsi="Times New Roman" w:eastAsia="宋体" w:cs="Times New Roman"/>
                <w:sz w:val="21"/>
                <w:szCs w:val="21"/>
                <w:highlight w:val="none"/>
              </w:rPr>
              <w:t>mg/m³</w:t>
            </w:r>
          </w:p>
        </w:tc>
        <w:tc>
          <w:tcPr>
            <w:tcW w:w="1871"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lang w:val="en-US" w:eastAsia="zh-CN"/>
              </w:rPr>
              <w:t>0.008</w:t>
            </w:r>
            <w:r>
              <w:rPr>
                <w:rFonts w:hint="default" w:ascii="Times New Roman" w:hAnsi="Times New Roman" w:eastAsia="宋体" w:cs="Times New Roman"/>
                <w:sz w:val="21"/>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昼间噪声值</w:t>
            </w:r>
          </w:p>
        </w:tc>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871"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60dB（A）</w:t>
            </w:r>
          </w:p>
        </w:tc>
        <w:tc>
          <w:tcPr>
            <w:tcW w:w="1871"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lang w:val="en-US" w:eastAsia="zh-CN"/>
              </w:rPr>
              <w:t>50~52</w:t>
            </w:r>
            <w:r>
              <w:rPr>
                <w:rFonts w:hint="default" w:ascii="Times New Roman" w:hAnsi="Times New Roman" w:eastAsia="宋体" w:cs="Times New Roman"/>
                <w:sz w:val="21"/>
                <w:szCs w:val="21"/>
                <w:highlight w:val="none"/>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夜间噪声值</w:t>
            </w:r>
          </w:p>
        </w:tc>
        <w:tc>
          <w:tcPr>
            <w:tcW w:w="1870"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871"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50dB（A）</w:t>
            </w:r>
          </w:p>
        </w:tc>
        <w:tc>
          <w:tcPr>
            <w:tcW w:w="1871"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lang w:val="en-US" w:eastAsia="zh-CN"/>
              </w:rPr>
              <w:t>42~43</w:t>
            </w:r>
            <w:r>
              <w:rPr>
                <w:rFonts w:hint="default" w:ascii="Times New Roman" w:hAnsi="Times New Roman" w:eastAsia="宋体" w:cs="Times New Roman"/>
                <w:sz w:val="21"/>
                <w:szCs w:val="21"/>
                <w:highlight w:val="none"/>
              </w:rPr>
              <w:t>dB（A）</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根据上表，本项目环境空气和噪声检测结果符合《畜禽养殖产地环境评价规范》（HJ568-2010）的要求。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（3）与《畜禽养殖业污染治理工程技术规范》相符性分析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根据《畜禽养殖业污染治理工程技术规范》（HJ497-2009）有关规定：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①畜禽养殖业污染治理应从源头控制，严格执行雨污分离，通过优化饲料配方、提高饲养技术、管理水平、改善畜舍结构和通风供暖工艺、改进清粪工艺等措施减少养殖场环境污染。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②畜禽养殖业污染治理应按照资源化、减量化、无害化的原则，以综合利用为出发点，提高资源化利用率。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③畜禽粪污资源化时应经无害化处理后方可还田利用，无害化处理应满足下列要求：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a）液态畜禽粪污宜采用厌氧工艺进行无害化处理；沼液、沼渣不得作为同等动物的饲料，不得在动物之间进行循环。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b）固体畜禽粪便宜采用好氧堆肥技术进行无害化处理。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④经无害化处理后进行还田综合利用的，粪肥用量不能超过作物当年生长所需的养分量。在确定粪肥的最佳施用量时，应对土壤肥力和粪肥肥效进行测试评价，并符合当地环境容量的要求。同时应有一倍以上的土地用于轮作施肥，不得长期施肥于同一土地。本项目采取治理措施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①本项目严格执行雨污分离，采用合理的饲料配方和饲养技术，采用干法清粪，减少养殖场环境污染。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②本项目按照资源化、减量化、无害化的原则，以综合利用为出发点，粪便等厌氧处理后用作农肥，以提高资源化利用率。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③本项目产生的废水经黑膜沼气池厌氧处理后施用农田。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④从土地消纳容量角度分析，项目运营产生的沼液、沼渣用于农田施肥，本项目已与附近村民签订肥料消纳协议，施肥农田总计 5000 亩，可完全消纳本项目产生的沼液</w:t>
      </w:r>
      <w:bookmarkStart w:id="16" w:name="page8"/>
      <w:bookmarkEnd w:id="16"/>
      <w:r>
        <w:rPr>
          <w:rFonts w:hint="default" w:ascii="Times New Roman" w:hAnsi="Times New Roman" w:cs="Times New Roman"/>
          <w:sz w:val="24"/>
          <w:szCs w:val="24"/>
          <w:highlight w:val="none"/>
        </w:rPr>
        <w:t>和沼渣，具有土地消纳可行性。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综上所述，本项目符合《畜禽养殖业污染治理工程技术规范》（HJ497-2009）的要求。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w:t>
      </w:r>
      <w:r>
        <w:rPr>
          <w:rFonts w:hint="eastAsia" w:ascii="Times New Roman" w:hAnsi="Times New Roman" w:cs="Times New Roman"/>
          <w:b/>
          <w:bCs/>
          <w:sz w:val="24"/>
          <w:szCs w:val="24"/>
          <w:highlight w:val="none"/>
          <w:lang w:val="en-US" w:eastAsia="zh-CN"/>
        </w:rPr>
        <w:t>3</w:t>
      </w:r>
      <w:r>
        <w:rPr>
          <w:rFonts w:hint="default" w:ascii="Times New Roman" w:hAnsi="Times New Roman" w:cs="Times New Roman"/>
          <w:b/>
          <w:bCs/>
          <w:sz w:val="24"/>
          <w:szCs w:val="24"/>
          <w:highlight w:val="none"/>
        </w:rPr>
        <w:t>）与《畜禽养殖业污染防治技术政策》相符性分析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畜禽养殖业污染防治技术政策》的要求：（一）规模化畜禽养殖场（小区）应加强恶臭气体净化处理并覆盖所有恶臭发生源，排放的气体应符合国家或地方恶臭污染物排放标准。（三）大型规模化畜禽养殖场应针对畜禽养殖废弃物处理与利用过程的关键环节，采取场所密闭、喷洒除臭剂等措施，减少恶臭气体扩散，降低恶臭气体对场区空气质量和周边居民生活的影响。（四）中小型规模化畜禽养殖场（小区）宜通过科学选址、合理布局、加强圈舍通风、建设绿化隔离带、及时清理畜禽养殖废弃物等手段，减少恶臭气体的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本项目采用喷洒除臭剂，集粪池加活动顶盖、全封闭黑膜沼气池，减少恶臭气体扩散，降低恶臭气体对场区空气质量和周边居民生活的影响。本项目选址和平面布局合理，厂区设置绿化隔离带，并及时清理畜禽养殖废弃物等手段，减少恶臭气体的污染。符合《畜禽养殖业污染防治技术政策》的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w:t>
      </w:r>
      <w:r>
        <w:rPr>
          <w:rFonts w:hint="eastAsia" w:ascii="Times New Roman" w:hAnsi="Times New Roman" w:cs="Times New Roman"/>
          <w:b/>
          <w:bCs/>
          <w:sz w:val="24"/>
          <w:szCs w:val="24"/>
          <w:highlight w:val="none"/>
          <w:lang w:val="en-US" w:eastAsia="zh-CN"/>
        </w:rPr>
        <w:t>4</w:t>
      </w:r>
      <w:r>
        <w:rPr>
          <w:rFonts w:hint="default" w:ascii="Times New Roman" w:hAnsi="Times New Roman" w:cs="Times New Roman"/>
          <w:b/>
          <w:bCs/>
          <w:sz w:val="24"/>
          <w:szCs w:val="24"/>
          <w:highlight w:val="none"/>
        </w:rPr>
        <w:t>）与环发[2012]77 号文相符性分析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国家环保部以[2012]77 号文的形式发布了《关于进一步加强环境影响评价管理防范环境风险的通知》，本项目建设与之相对应的符合性分析，详见表 0-2。</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表 0-2</w:t>
      </w:r>
      <w:r>
        <w:rPr>
          <w:rFonts w:hint="default" w:ascii="Times New Roman" w:hAnsi="Times New Roman" w:eastAsia="黑体" w:cs="Times New Roman"/>
          <w:sz w:val="24"/>
          <w:highlight w:val="none"/>
        </w:rPr>
        <w:tab/>
      </w:r>
      <w:r>
        <w:rPr>
          <w:rFonts w:hint="default" w:ascii="Times New Roman" w:hAnsi="Times New Roman" w:eastAsia="黑体" w:cs="Times New Roman"/>
          <w:sz w:val="24"/>
          <w:highlight w:val="none"/>
        </w:rPr>
        <w:t>项目建设与 77 号文符合性一览表</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6"/>
        <w:gridCol w:w="3734"/>
        <w:gridCol w:w="3209"/>
        <w:gridCol w:w="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环发[2012]77 号文中的相关要求</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拟建工程情况</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一、充分认识防范环境风险的重要性，进一步加强环境影响评价管理。</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拟建项目制定《企业突发环境事件应急预案》。</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二、充分发挥规划环境影响评价的指导作用，源头防范环境风险</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化化工建设项目原则上应进入依法合规设立、环保设施齐全的产业园区，并符合园区发展规划及规划环境影响评价要求。涉及港区、资源开采区和城市规划区的建设项目，应符合相关规划及规划环境影响评价的要求</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拟建项目不属于石化化工行业</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三、严格建设项目环境影响评价管理，强化环境风险评价</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项目环境风险评价是相关项目环境影响评价的重要组成部分。新、改、扩建相关建设项目环境影响评价应按照相应技术导则要求，科学预测评价突发性事件或事故可能引发的环境风险，提出环境风险防范和应急措施</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拟建项目设置了环境风险评价专章，按照《建设项目环境 风 险 评 价 技 术 导则 》（HJ/T169-20</w:t>
            </w:r>
            <w:r>
              <w:rPr>
                <w:rFonts w:hint="default" w:ascii="Times New Roman" w:hAnsi="Times New Roman" w:eastAsia="宋体" w:cs="Times New Roman"/>
                <w:sz w:val="21"/>
                <w:szCs w:val="21"/>
                <w:highlight w:val="none"/>
                <w:lang w:val="en-US" w:eastAsia="zh-CN"/>
              </w:rPr>
              <w:t>18</w:t>
            </w:r>
            <w:r>
              <w:rPr>
                <w:rFonts w:hint="default" w:ascii="Times New Roman" w:hAnsi="Times New Roman" w:eastAsia="宋体" w:cs="Times New Roman"/>
                <w:sz w:val="21"/>
                <w:szCs w:val="21"/>
                <w:highlight w:val="none"/>
              </w:rPr>
              <w:t>）要求对拟建项目可能引起的环境风险进行了预测，并提出了相应的风险防范措施</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改、扩建相关建设项目应按照现行环境风险防范和管理要求，对现有工程的环境风险进行全面梳理和评价，针对可能存在的环境风险隐患，提出相应的补救或完善措施，并纳入改、扩建项目“三同时”验收内容。</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拟建项目属于新建工程</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对存在较大环境风险的相关建设项目，应严格按照《环境影响评价公众参与暂行办法》（环发【2006】28  号）做好环境影响评价公众参与工作。项目信息公示等内容中应包含项目实施可能产生的环境风险及相应的环境风险防范和应急措施</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进行了公众参与，将风险评价内容进行了公示</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风险评价结论应作为相关建设项目环境影响评价文件结论的主要内容之一。无环境风险评价专章的相关建设项目环境影响评价文件不予受理；经论证，环境风险评价内容不完善的相关建设项目环境影响评价文件不予审批</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拟建项目设置了环境风险评价专章，按照《建设项目环境 风 险 评 价 技 术 导则 》（HJ/T169-2018）要求进行了预测评价，并提出了相应的风险防范措施。</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0" w:type="auto"/>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建设项目的环境风险防范设施和应急措施是企业环境风险防范与应急管理体系的组成部分，也是企业制定和完善突发环境事件应急预案的基础。企业突发环境事件应急预案的编制、评估、备案和实施等，应按我部</w:t>
            </w:r>
            <w:r>
              <w:rPr>
                <w:rFonts w:hint="default" w:ascii="Times New Roman" w:hAnsi="Times New Roman" w:eastAsia="宋体" w:cs="Times New Roman"/>
                <w:sz w:val="21"/>
                <w:szCs w:val="21"/>
                <w:highlight w:val="none"/>
                <w:lang w:val="en-US" w:eastAsia="zh-CN"/>
              </w:rPr>
              <w:t>《突发环境事件应急预案管理暂行办法》（环发【2010】113  号）等相关规定执行。</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环评要求</w:t>
            </w:r>
            <w:r>
              <w:rPr>
                <w:rFonts w:hint="default" w:ascii="Times New Roman" w:hAnsi="Times New Roman" w:eastAsia="宋体" w:cs="Times New Roman"/>
                <w:sz w:val="21"/>
                <w:szCs w:val="21"/>
                <w:highlight w:val="none"/>
              </w:rPr>
              <w:t>拟建项目</w:t>
            </w:r>
            <w:r>
              <w:rPr>
                <w:rFonts w:hint="default" w:ascii="Times New Roman" w:hAnsi="Times New Roman" w:eastAsia="宋体" w:cs="Times New Roman"/>
                <w:sz w:val="21"/>
                <w:szCs w:val="21"/>
                <w:highlight w:val="none"/>
                <w:lang w:val="en-US" w:eastAsia="zh-CN"/>
              </w:rPr>
              <w:t>需要</w:t>
            </w:r>
            <w:r>
              <w:rPr>
                <w:rFonts w:hint="default" w:ascii="Times New Roman" w:hAnsi="Times New Roman" w:eastAsia="宋体" w:cs="Times New Roman"/>
                <w:sz w:val="21"/>
                <w:szCs w:val="21"/>
                <w:highlight w:val="none"/>
              </w:rPr>
              <w:t>制定《</w:t>
            </w:r>
            <w:r>
              <w:rPr>
                <w:rFonts w:hint="default" w:ascii="Times New Roman" w:hAnsi="Times New Roman" w:eastAsia="宋体" w:cs="Times New Roman"/>
                <w:sz w:val="21"/>
                <w:szCs w:val="21"/>
                <w:highlight w:val="none"/>
                <w:lang w:val="en-US" w:eastAsia="zh-CN"/>
              </w:rPr>
              <w:t>突发环境</w:t>
            </w:r>
            <w:r>
              <w:rPr>
                <w:rFonts w:hint="default" w:ascii="Times New Roman" w:hAnsi="Times New Roman" w:eastAsia="宋体" w:cs="Times New Roman"/>
                <w:sz w:val="21"/>
                <w:szCs w:val="21"/>
                <w:highlight w:val="none"/>
              </w:rPr>
              <w:t>事故应急预案》，拟建项目执行该预案</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四、加强建设项目“三同时”验收监管，严格落实环境风险防范和应急措施。</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本次评价已对“三同时”验收内容作出要求，同时提出针对环境风险编制突发环境应急预案</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五、严格落实企业主体责任，不断提高企业环境风险防控能力</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企业应建设并完善日常和应急检测系统，配备大气、水环境特征污染物监控设备，编制日常和应急检测方案，提高监控水平、应急响应速度和应急处理能力；建立完备的环境信息平台，定期向社会公布企业环境信息，接受公众监督。将企业突发环境事件应急预案演练和应急物资管理作为日常工作任务，不断提升环境风险防范应急保障能力</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本次环评要求建设单位完善日常和应急检测系统，要求建设方配备齐全的急救援物资，并定期组织应急演练</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由上表可见，拟建工程满足“环发[2012]77  号文”要求，同时要求企业在后续建设和生产过程中，严格按照《关于进一步加强环境影响评价管理防范环境风险的通知》（环发[2012]77  号）中的相关要求执行，落实好环境风险防范和应急措施，不断提高企业环境风险防控能力。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w:t>
      </w:r>
      <w:r>
        <w:rPr>
          <w:rFonts w:hint="eastAsia" w:ascii="Times New Roman" w:hAnsi="Times New Roman" w:cs="Times New Roman"/>
          <w:b/>
          <w:bCs/>
          <w:sz w:val="24"/>
          <w:szCs w:val="24"/>
          <w:highlight w:val="none"/>
          <w:lang w:val="en-US" w:eastAsia="zh-CN"/>
        </w:rPr>
        <w:t>5</w:t>
      </w:r>
      <w:r>
        <w:rPr>
          <w:rFonts w:hint="default" w:ascii="Times New Roman" w:hAnsi="Times New Roman" w:eastAsia="宋体" w:cs="Times New Roman"/>
          <w:b/>
          <w:bCs/>
          <w:sz w:val="24"/>
          <w:szCs w:val="24"/>
          <w:highlight w:val="none"/>
        </w:rPr>
        <w:t>）与环发[2012]98 号文相符性分析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国家环保部以环发[2012]98  号文的形式发布了《关于切实加强风险防范严格环境影响评价管理的通知》，本项目建设与之相对应的符合性分析，详见表 0-3。</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表 0-3 项目建设与 环发[2012]98号文符合性一览表</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0"/>
        <w:gridCol w:w="3365"/>
        <w:gridCol w:w="3175"/>
        <w:gridCol w:w="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gridSpan w:val="2"/>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环发[2012]98 号文中的相关要求</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拟建工程情况</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gridSpan w:val="2"/>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一、进一步提高对风险防范工作重要性的认</w:t>
            </w:r>
          </w:p>
        </w:tc>
        <w:tc>
          <w:tcPr>
            <w:tcW w:w="0" w:type="auto"/>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要求</w:t>
            </w:r>
            <w:r>
              <w:rPr>
                <w:rFonts w:hint="default" w:ascii="Times New Roman" w:hAnsi="Times New Roman" w:cs="Times New Roman"/>
                <w:szCs w:val="21"/>
                <w:highlight w:val="none"/>
              </w:rPr>
              <w:t>建设单位编制《企业突发环境事件应急预案》，一旦发生风险事故，可第一时间进行应急响应</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0" w:type="auto"/>
            <w:gridSpan w:val="2"/>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二、组织开展建设项目环境风险排查，督促建设单位和相关方进行整改落实</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拟建项目设置了环境风险评价专章，按照《建设项目环境 风 险 评 价 技 术 导 则 》（HJ/T169-20</w:t>
            </w:r>
            <w:r>
              <w:rPr>
                <w:rFonts w:hint="default" w:ascii="Times New Roman" w:hAnsi="Times New Roman" w:cs="Times New Roman"/>
                <w:szCs w:val="21"/>
                <w:highlight w:val="none"/>
                <w:lang w:val="en-US" w:eastAsia="zh-CN"/>
              </w:rPr>
              <w:t>18</w:t>
            </w:r>
            <w:r>
              <w:rPr>
                <w:rFonts w:hint="default" w:ascii="Times New Roman" w:hAnsi="Times New Roman" w:cs="Times New Roman"/>
                <w:szCs w:val="21"/>
                <w:highlight w:val="none"/>
              </w:rPr>
              <w:t>）要求对拟建项目可能引起的环境风险进行了预测，并提出了相应的风险防范措施</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三、进一步加 大 环 境影响评价公众参与和政务信息公开力度，切实保障公众对环境保护的参与权、知情权和监督权</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对编制环境影响报告书的项目，建设单位在开展环境影响评价的过程中，应当在当地报纸、网站和相关基层组织信息公告栏中，向公众公告项目的环境影响信息。环保部门在项目环境影响报告书的受理和审批中，要将公众参与情况作为审查重点，对公众参与的程序合法性、形式有效性、对象代表性、结果真实性等进行全面深入的审查；对其中公众提出的反对意见要高度关注，着重了解建设单位对公众所持反对意见的处理和落实情况。对存在公众参与范围过小、代表性差、原始材料缺失、程序不符合要求甚至弄虚作假等问题的项目环境影响报告书，一律不予受理和审批。</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进行了公众参与</w:t>
            </w:r>
            <w:r>
              <w:rPr>
                <w:rFonts w:hint="eastAsia" w:ascii="Times New Roman" w:hAnsi="Times New Roman" w:cs="Times New Roman"/>
                <w:szCs w:val="21"/>
                <w:highlight w:val="none"/>
                <w:lang w:val="en-US" w:eastAsia="zh-CN"/>
              </w:rPr>
              <w:t>工作</w:t>
            </w:r>
            <w:r>
              <w:rPr>
                <w:rFonts w:hint="default" w:ascii="Times New Roman" w:hAnsi="Times New Roman" w:cs="Times New Roman"/>
                <w:szCs w:val="21"/>
                <w:highlight w:val="none"/>
              </w:rPr>
              <w:t>，没有反对意见</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四、进一步强化环境影响评价全过程监管</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化工石化、有色冶炼、制浆造纸等可能引发环境风险的项目，在符合国家产业政策和清洁生产水平要求、满足污染物排放标准以及污染物排放总量控制指标的前提下，必须在依法设立、环境保护基础设施齐全并经规划环评的产业园区内布设</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拟建项目符合国家产业政策，满足达标排放、总量控制、清洁生产的要求。拟建项目不违背卢龙县的总体规划</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shd w:val="clear" w:color="auto" w:fill="auto"/>
            <w:vAlign w:val="center"/>
          </w:tcPr>
          <w:p>
            <w:pPr>
              <w:jc w:val="center"/>
              <w:rPr>
                <w:rFonts w:hint="default" w:ascii="Times New Roman" w:hAnsi="Times New Roman" w:cs="Times New Roman"/>
                <w:szCs w:val="21"/>
                <w:highlight w:val="none"/>
              </w:rPr>
            </w:pP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医院和学校附近、重要水源涵养生态功能区等，以及因环境污染导致环境质量不能稳定达标的区域内，禁止新建或扩建可能引发环境风险的项目。</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拟建项目不位于居民集中区、医院和学校附近，周围无重要水源涵养生态功能区等</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0" w:type="auto"/>
            <w:vMerge w:val="continue"/>
            <w:shd w:val="clear" w:color="auto" w:fill="auto"/>
            <w:vAlign w:val="center"/>
          </w:tcPr>
          <w:p>
            <w:pPr>
              <w:jc w:val="center"/>
              <w:rPr>
                <w:rFonts w:hint="default" w:ascii="Times New Roman" w:hAnsi="Times New Roman" w:cs="Times New Roman"/>
                <w:szCs w:val="21"/>
                <w:highlight w:val="none"/>
              </w:rPr>
            </w:pP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对“未批先建”、建设过程中擅自作出重大变更、“久拖不验”、“未验先投"等违法行为，要严格依法查处。企业建设项目环境违法问题严重的，对该企业及其上级集团实行环评限批</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拟建项目不存在“未批先建” 等问题。</w:t>
            </w:r>
          </w:p>
        </w:tc>
        <w:tc>
          <w:tcPr>
            <w:tcW w:w="0" w:type="auto"/>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符合</w:t>
            </w:r>
          </w:p>
        </w:tc>
      </w:tr>
    </w:tbl>
    <w:p>
      <w:pPr>
        <w:spacing w:before="120" w:beforeLines="50" w:after="120" w:afterLines="50"/>
        <w:jc w:val="left"/>
        <w:outlineLvl w:val="2"/>
        <w:rPr>
          <w:rFonts w:hint="default" w:ascii="Times New Roman" w:hAnsi="Times New Roman" w:eastAsia="黑体" w:cs="Times New Roman"/>
          <w:bCs/>
          <w:sz w:val="28"/>
          <w:szCs w:val="28"/>
          <w:highlight w:val="none"/>
          <w:lang w:val="en-US" w:eastAsia="zh-CN"/>
        </w:rPr>
      </w:pPr>
      <w:r>
        <w:rPr>
          <w:rFonts w:hint="default" w:ascii="Times New Roman" w:hAnsi="Times New Roman" w:eastAsia="黑体" w:cs="Times New Roman"/>
          <w:bCs/>
          <w:sz w:val="28"/>
          <w:szCs w:val="28"/>
          <w:highlight w:val="none"/>
          <w:lang w:val="en-US" w:eastAsia="zh-CN"/>
        </w:rPr>
        <w:t>0.4.</w:t>
      </w:r>
      <w:r>
        <w:rPr>
          <w:rFonts w:hint="eastAsia" w:ascii="Times New Roman" w:hAnsi="Times New Roman" w:eastAsia="黑体" w:cs="Times New Roman"/>
          <w:bCs/>
          <w:sz w:val="28"/>
          <w:szCs w:val="28"/>
          <w:highlight w:val="none"/>
          <w:lang w:val="en-US" w:eastAsia="zh-CN"/>
        </w:rPr>
        <w:t>7</w:t>
      </w:r>
      <w:r>
        <w:rPr>
          <w:rFonts w:hint="default" w:ascii="Times New Roman" w:hAnsi="Times New Roman" w:eastAsia="黑体" w:cs="Times New Roman"/>
          <w:bCs/>
          <w:sz w:val="28"/>
          <w:szCs w:val="28"/>
          <w:highlight w:val="none"/>
          <w:lang w:val="en-US" w:eastAsia="zh-CN"/>
        </w:rPr>
        <w:t>环境可行性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投入运营后，废气、噪声排放符合相关标准要求，粪污经黑膜沼气池厌氧处理以后，沼气用于发电，沼液用于农田作液体废料，沼渣作为肥料外售，固体废物全部得到综合利用或合理处置。预测结果表明项目建设和运营，不会改变区域环境功能区域，对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同时，</w:t>
      </w:r>
      <w:r>
        <w:rPr>
          <w:rFonts w:hint="default" w:ascii="Times New Roman" w:hAnsi="Times New Roman" w:cs="Times New Roman"/>
          <w:sz w:val="24"/>
          <w:szCs w:val="24"/>
          <w:highlight w:val="none"/>
        </w:rPr>
        <w:t>项目卫生防护距离为厂界外</w:t>
      </w:r>
      <w:r>
        <w:rPr>
          <w:rFonts w:hint="default"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00m，现状该范围内无居民住宅、学校、医院等敏感点，项目选址满足卫生防护距离要求。</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7" w:name="_Toc7675"/>
      <w:r>
        <w:rPr>
          <w:rFonts w:hint="default" w:ascii="Times New Roman" w:hAnsi="Times New Roman" w:eastAsia="黑体" w:cs="Times New Roman"/>
          <w:bCs/>
          <w:sz w:val="30"/>
          <w:szCs w:val="30"/>
          <w:highlight w:val="none"/>
        </w:rPr>
        <w:t>0.5评价主要结论</w:t>
      </w:r>
      <w:bookmarkEnd w:id="12"/>
      <w:bookmarkEnd w:id="13"/>
      <w:bookmarkEnd w:id="17"/>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18" w:name="_Toc521334355"/>
      <w:r>
        <w:rPr>
          <w:rFonts w:hint="default" w:ascii="Times New Roman" w:hAnsi="Times New Roman" w:eastAsia="黑体" w:cs="Times New Roman"/>
          <w:bCs/>
          <w:sz w:val="28"/>
          <w:szCs w:val="28"/>
          <w:highlight w:val="none"/>
        </w:rPr>
        <w:t>0.5.1 产业政策结论</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本项目属于畜禽标准化养殖，属于《产业结构调整指导目录》（2019年本）中“鼓励类”中第一类“农林业”中第 5 条“畜禽标准化养殖养殖技术开发与应用”，符合国家产业政策要求。项目不属于《河北省新增限制和淘汰类产业目录 (2015 年版)》中的限制和淘汰类内容，</w:t>
      </w:r>
      <w:r>
        <w:rPr>
          <w:rFonts w:hint="default" w:ascii="Times New Roman" w:hAnsi="Times New Roman" w:cs="Times New Roman"/>
          <w:snapToGrid w:val="0"/>
          <w:kern w:val="0"/>
          <w:sz w:val="24"/>
          <w:szCs w:val="24"/>
          <w:highlight w:val="none"/>
          <w:lang w:val="en-US" w:eastAsia="zh-CN"/>
        </w:rPr>
        <w:t>不属于</w:t>
      </w:r>
      <w:r>
        <w:rPr>
          <w:rFonts w:hint="default" w:ascii="Times New Roman" w:hAnsi="Times New Roman" w:cs="Times New Roman"/>
          <w:kern w:val="0"/>
          <w:sz w:val="24"/>
          <w:highlight w:val="none"/>
        </w:rPr>
        <w:t>《秦皇岛市限制和禁止投资的产业目录》</w:t>
      </w:r>
      <w:r>
        <w:rPr>
          <w:rFonts w:hint="default" w:ascii="Times New Roman" w:hAnsi="Times New Roman" w:cs="Times New Roman"/>
          <w:kern w:val="0"/>
          <w:sz w:val="24"/>
          <w:highlight w:val="none"/>
          <w:lang w:eastAsia="zh-CN"/>
        </w:rPr>
        <w:t>，</w:t>
      </w:r>
      <w:r>
        <w:rPr>
          <w:rFonts w:hint="default" w:ascii="Times New Roman" w:hAnsi="Times New Roman" w:cs="Times New Roman"/>
          <w:sz w:val="24"/>
          <w:szCs w:val="24"/>
          <w:highlight w:val="none"/>
        </w:rPr>
        <w:t>属于允许类。项目建设符合技术标准要求，符合国家和地方产业政策要求。</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此外项目符合当前国家生猪产业发展政策要求。</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0.5.2 选址结论</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项目选址不在禁养区、限养区范围内，与禁养区距离大于 500m，不属于城市集中式饮用水源地、风景名胜区、自然保护区等环境敏感区，满足卫生防护距离要求及环境防护距离要求，满足相关养殖业规范</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办法等</w:t>
      </w:r>
      <w:r>
        <w:rPr>
          <w:rFonts w:hint="default" w:ascii="Times New Roman" w:hAnsi="Times New Roman" w:cs="Times New Roman"/>
          <w:sz w:val="24"/>
          <w:szCs w:val="24"/>
          <w:highlight w:val="none"/>
        </w:rPr>
        <w:t>要求</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满足秦皇岛市及卢龙卢行关于养殖区的相关要求</w:t>
      </w:r>
      <w:r>
        <w:rPr>
          <w:rFonts w:hint="default" w:ascii="Times New Roman" w:hAnsi="Times New Roman" w:cs="Times New Roman"/>
          <w:sz w:val="24"/>
          <w:szCs w:val="24"/>
          <w:highlight w:val="none"/>
        </w:rPr>
        <w:t>，选址符合国家土地政策要求、相关规划要求</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同时项目建设已经备案</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且</w:t>
      </w:r>
      <w:r>
        <w:rPr>
          <w:rFonts w:hint="default" w:ascii="Times New Roman" w:hAnsi="Times New Roman" w:cs="Times New Roman"/>
          <w:sz w:val="24"/>
          <w:szCs w:val="24"/>
          <w:highlight w:val="none"/>
        </w:rPr>
        <w:t>项目实施后不会改变区域环境功能，对环境影响不大</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由此分析，</w:t>
      </w:r>
      <w:r>
        <w:rPr>
          <w:rFonts w:hint="default" w:ascii="Times New Roman" w:hAnsi="Times New Roman" w:cs="Times New Roman"/>
          <w:sz w:val="24"/>
          <w:szCs w:val="24"/>
          <w:highlight w:val="none"/>
        </w:rPr>
        <w:t>项目选址</w:t>
      </w:r>
      <w:r>
        <w:rPr>
          <w:rFonts w:hint="default" w:ascii="Times New Roman" w:hAnsi="Times New Roman" w:cs="Times New Roman"/>
          <w:sz w:val="24"/>
          <w:szCs w:val="24"/>
          <w:highlight w:val="none"/>
          <w:lang w:val="en-US" w:eastAsia="zh-CN"/>
        </w:rPr>
        <w:t>是</w:t>
      </w:r>
      <w:r>
        <w:rPr>
          <w:rFonts w:hint="default" w:ascii="Times New Roman" w:hAnsi="Times New Roman" w:cs="Times New Roman"/>
          <w:sz w:val="24"/>
          <w:szCs w:val="24"/>
          <w:highlight w:val="none"/>
        </w:rPr>
        <w:t>可行</w:t>
      </w:r>
      <w:r>
        <w:rPr>
          <w:rFonts w:hint="default" w:ascii="Times New Roman" w:hAnsi="Times New Roman" w:cs="Times New Roman"/>
          <w:sz w:val="24"/>
          <w:szCs w:val="24"/>
          <w:highlight w:val="none"/>
          <w:lang w:val="en-US" w:eastAsia="zh-CN"/>
        </w:rPr>
        <w:t>的</w:t>
      </w:r>
      <w:r>
        <w:rPr>
          <w:rFonts w:hint="default" w:ascii="Times New Roman" w:hAnsi="Times New Roman" w:cs="Times New Roman"/>
          <w:sz w:val="24"/>
          <w:szCs w:val="24"/>
          <w:highlight w:val="none"/>
        </w:rPr>
        <w:t>。</w:t>
      </w:r>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19" w:name="page12"/>
      <w:bookmarkEnd w:id="19"/>
      <w:r>
        <w:rPr>
          <w:rFonts w:hint="default" w:ascii="Times New Roman" w:hAnsi="Times New Roman" w:eastAsia="黑体" w:cs="Times New Roman"/>
          <w:bCs/>
          <w:sz w:val="28"/>
          <w:szCs w:val="28"/>
          <w:highlight w:val="none"/>
        </w:rPr>
        <w:t>0.5.3 环保措施及环境影响结论</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①废水：项目采取雨污分流制，雨水经雨水沟排出场区。项目采用干清粪工艺，项目产生的废水主要为</w:t>
      </w:r>
      <w:r>
        <w:rPr>
          <w:rFonts w:hint="eastAsia" w:ascii="Times New Roman" w:hAnsi="Times New Roman" w:cs="Times New Roman"/>
          <w:sz w:val="24"/>
          <w:szCs w:val="24"/>
          <w:highlight w:val="none"/>
          <w:lang w:val="en-US" w:eastAsia="zh-CN"/>
        </w:rPr>
        <w:t>生活污水</w:t>
      </w:r>
      <w:r>
        <w:rPr>
          <w:rFonts w:hint="default" w:ascii="Times New Roman" w:hAnsi="Times New Roman" w:eastAsia="宋体" w:cs="Times New Roman"/>
          <w:sz w:val="24"/>
          <w:szCs w:val="24"/>
          <w:highlight w:val="none"/>
        </w:rPr>
        <w:t>、猪尿</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green"/>
        </w:rPr>
        <w:t>猪粪</w:t>
      </w:r>
      <w:r>
        <w:rPr>
          <w:rFonts w:hint="eastAsia" w:ascii="Times New Roman" w:hAnsi="Times New Roman" w:cs="Times New Roman"/>
          <w:sz w:val="24"/>
          <w:szCs w:val="24"/>
          <w:highlight w:val="green"/>
          <w:lang w:val="en-US" w:eastAsia="zh-CN"/>
        </w:rPr>
        <w:t>干湿分离的液体和粪便发酵渗滤液</w:t>
      </w:r>
      <w:r>
        <w:rPr>
          <w:rFonts w:hint="default" w:ascii="Times New Roman" w:hAnsi="Times New Roman" w:cs="Times New Roman"/>
          <w:sz w:val="24"/>
          <w:szCs w:val="24"/>
          <w:highlight w:val="none"/>
        </w:rPr>
        <w:t>，废水进黑膜沼气池处理，产生的沼液沼渣全部用作农田肥料</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锅炉软水制备排污水，泼洒抑尘，项目</w:t>
      </w:r>
      <w:r>
        <w:rPr>
          <w:rFonts w:hint="default" w:ascii="Times New Roman" w:hAnsi="Times New Roman" w:cs="Times New Roman"/>
          <w:sz w:val="24"/>
          <w:szCs w:val="24"/>
          <w:highlight w:val="none"/>
        </w:rPr>
        <w:t>无废水外排。项目</w:t>
      </w:r>
      <w:r>
        <w:rPr>
          <w:rFonts w:hint="default" w:ascii="Times New Roman" w:hAnsi="Times New Roman" w:eastAsia="宋体" w:cs="Times New Roman"/>
          <w:sz w:val="24"/>
          <w:szCs w:val="24"/>
          <w:highlight w:val="green"/>
        </w:rPr>
        <w:t>项目猪舍、</w:t>
      </w:r>
      <w:r>
        <w:rPr>
          <w:rFonts w:hint="eastAsia" w:ascii="Times New Roman" w:hAnsi="Times New Roman" w:cs="Times New Roman"/>
          <w:sz w:val="24"/>
          <w:szCs w:val="24"/>
          <w:highlight w:val="green"/>
          <w:lang w:val="en-US" w:eastAsia="zh-CN"/>
        </w:rPr>
        <w:t>储粪储尿池、黑膜沼液池、沼液池</w:t>
      </w:r>
      <w:r>
        <w:rPr>
          <w:rFonts w:hint="default" w:ascii="Times New Roman" w:hAnsi="Times New Roman" w:eastAsia="宋体" w:cs="Times New Roman"/>
          <w:sz w:val="24"/>
          <w:szCs w:val="24"/>
          <w:highlight w:val="green"/>
        </w:rPr>
        <w:t>及污水管道</w:t>
      </w:r>
      <w:r>
        <w:rPr>
          <w:rFonts w:hint="default" w:ascii="Times New Roman" w:hAnsi="Times New Roman" w:cs="Times New Roman"/>
          <w:sz w:val="24"/>
          <w:szCs w:val="24"/>
          <w:highlight w:val="none"/>
        </w:rPr>
        <w:t>等全部做防腐防渗处理，对地下水环境影响较小。</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②固废：项目粪便无害化处理后用作农田、菜地及果园肥料，沼液沼渣用作农田、菜地及果园肥料，病死猪送无害化处理公司处理，废脱硫剂由销售厂家回收处理，</w:t>
      </w:r>
      <w:r>
        <w:rPr>
          <w:rFonts w:hint="eastAsia" w:ascii="Times New Roman" w:hAnsi="Times New Roman" w:cs="Times New Roman"/>
          <w:sz w:val="24"/>
          <w:szCs w:val="24"/>
          <w:highlight w:val="none"/>
          <w:lang w:val="en-US" w:eastAsia="zh-CN"/>
        </w:rPr>
        <w:t>废弃离子交换树脂更换后厂界直接回收，不暂存。</w:t>
      </w:r>
      <w:r>
        <w:rPr>
          <w:rFonts w:hint="default" w:ascii="Times New Roman" w:hAnsi="Times New Roman" w:cs="Times New Roman"/>
          <w:sz w:val="24"/>
          <w:szCs w:val="24"/>
          <w:highlight w:val="none"/>
        </w:rPr>
        <w:t>项目产生的固体废物全部综合利用或合理处置，对环境影响较小。</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③废气：项目场内排水沟加钢筋砼活动顶盖密封；采用干清粪工艺，及时清理猪舍粪便，至少每天清理两次；每天清洗圈舍，保持圈舍的清洁；</w:t>
      </w:r>
      <w:r>
        <w:rPr>
          <w:rFonts w:hint="eastAsia" w:ascii="Times New Roman" w:hAnsi="Times New Roman" w:cs="Times New Roman"/>
          <w:sz w:val="24"/>
          <w:szCs w:val="24"/>
          <w:highlight w:val="none"/>
          <w:lang w:val="en-US" w:eastAsia="zh-CN"/>
        </w:rPr>
        <w:t>储粪池、储尿池</w:t>
      </w:r>
      <w:r>
        <w:rPr>
          <w:rFonts w:hint="default" w:ascii="Times New Roman" w:hAnsi="Times New Roman" w:cs="Times New Roman"/>
          <w:sz w:val="24"/>
          <w:szCs w:val="24"/>
          <w:highlight w:val="none"/>
        </w:rPr>
        <w:t>和沼液、沼渣存储池加盖密封，喷洒生物除臭剂，在场区周围建设绿化带，种植叶片宽大稠密的树种，利用绿色植物吸收恶臭物质，采取上述措施后，场区恶臭气体浓度达标，对周边环境空气影响较小。</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w:t>
      </w:r>
      <w:r>
        <w:rPr>
          <w:rFonts w:hint="eastAsia" w:ascii="Times New Roman" w:hAnsi="Times New Roman" w:cs="Times New Roman"/>
          <w:sz w:val="24"/>
          <w:szCs w:val="24"/>
          <w:highlight w:val="none"/>
          <w:lang w:val="en-US" w:eastAsia="zh-CN"/>
        </w:rPr>
        <w:t>黑膜</w:t>
      </w:r>
      <w:r>
        <w:rPr>
          <w:rFonts w:hint="default" w:ascii="Times New Roman" w:hAnsi="Times New Roman" w:cs="Times New Roman"/>
          <w:sz w:val="24"/>
          <w:szCs w:val="24"/>
          <w:highlight w:val="none"/>
        </w:rPr>
        <w:t>沼气池产生的沼气</w:t>
      </w:r>
      <w:r>
        <w:rPr>
          <w:rFonts w:hint="eastAsia" w:ascii="Times New Roman" w:hAnsi="Times New Roman" w:cs="Times New Roman"/>
          <w:sz w:val="24"/>
          <w:szCs w:val="24"/>
          <w:highlight w:val="none"/>
          <w:lang w:val="en-US" w:eastAsia="zh-CN"/>
        </w:rPr>
        <w:t>经脱水脱硫</w:t>
      </w:r>
      <w:r>
        <w:rPr>
          <w:rFonts w:hint="default" w:ascii="Times New Roman" w:hAnsi="Times New Roman" w:cs="Times New Roman"/>
          <w:sz w:val="24"/>
          <w:szCs w:val="24"/>
          <w:highlight w:val="none"/>
        </w:rPr>
        <w:t>处理后</w:t>
      </w:r>
      <w:r>
        <w:rPr>
          <w:rFonts w:hint="eastAsia" w:ascii="Times New Roman" w:hAnsi="Times New Roman" w:cs="Times New Roman"/>
          <w:sz w:val="24"/>
          <w:szCs w:val="24"/>
          <w:highlight w:val="none"/>
          <w:lang w:val="en-US" w:eastAsia="zh-CN"/>
        </w:rPr>
        <w:t>用于食堂做饭、发电和沼气锅炉</w:t>
      </w:r>
      <w:r>
        <w:rPr>
          <w:rFonts w:hint="default" w:ascii="Times New Roman" w:hAnsi="Times New Roman" w:cs="Times New Roman"/>
          <w:sz w:val="24"/>
          <w:szCs w:val="24"/>
          <w:highlight w:val="none"/>
        </w:rPr>
        <w:t>，废气污染物达标排放，对环境影响较小。</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④噪声：项目噪声主要为通风风机、刮粪机、沼气设备间风机、发电机噪声、水泵噪声等，源强约70-80dB（A），项目选用低噪声设备，并置于房屋内建筑隔声，设备安装减振基础，风机为小型风机，风机安装消声器，采取上述措施后，项目厂界噪声达标，对声环境影响较小。</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0.5.4 总量控制结论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z w:val="24"/>
          <w:szCs w:val="24"/>
          <w:highlight w:val="none"/>
        </w:rPr>
        <w:t xml:space="preserve">项目实施后，无废水排放，废气及噪声达标排放，区域环境质量符合环境功能区划要求，污染物排放对环境影响不大。项目建议污染物排放总量控制指标为 </w:t>
      </w:r>
      <w:r>
        <w:rPr>
          <w:rFonts w:hint="default" w:ascii="Times New Roman" w:hAnsi="Times New Roman" w:cs="Times New Roman"/>
          <w:snapToGrid w:val="0"/>
          <w:kern w:val="0"/>
          <w:sz w:val="24"/>
          <w:szCs w:val="24"/>
          <w:highlight w:val="none"/>
        </w:rPr>
        <w:t>颗粒物：0.1</w:t>
      </w:r>
      <w:r>
        <w:rPr>
          <w:rFonts w:hint="default" w:ascii="Times New Roman" w:hAnsi="Times New Roman" w:cs="Times New Roman"/>
          <w:snapToGrid w:val="0"/>
          <w:kern w:val="0"/>
          <w:sz w:val="24"/>
          <w:szCs w:val="24"/>
          <w:highlight w:val="none"/>
          <w:lang w:val="en-US" w:eastAsia="zh-CN"/>
        </w:rPr>
        <w:t>94</w:t>
      </w:r>
      <w:r>
        <w:rPr>
          <w:rFonts w:hint="default" w:ascii="Times New Roman" w:hAnsi="Times New Roman" w:cs="Times New Roman"/>
          <w:snapToGrid w:val="0"/>
          <w:kern w:val="0"/>
          <w:sz w:val="24"/>
          <w:szCs w:val="24"/>
          <w:highlight w:val="none"/>
        </w:rPr>
        <w:t>t/a、二氧化硫：0.8</w:t>
      </w:r>
      <w:r>
        <w:rPr>
          <w:rFonts w:hint="default" w:ascii="Times New Roman" w:hAnsi="Times New Roman" w:cs="Times New Roman"/>
          <w:snapToGrid w:val="0"/>
          <w:kern w:val="0"/>
          <w:sz w:val="24"/>
          <w:szCs w:val="24"/>
          <w:highlight w:val="none"/>
          <w:lang w:val="en-US" w:eastAsia="zh-CN"/>
        </w:rPr>
        <w:t>73</w:t>
      </w:r>
      <w:r>
        <w:rPr>
          <w:rFonts w:hint="default" w:ascii="Times New Roman" w:hAnsi="Times New Roman" w:cs="Times New Roman"/>
          <w:snapToGrid w:val="0"/>
          <w:kern w:val="0"/>
          <w:sz w:val="24"/>
          <w:szCs w:val="24"/>
          <w:highlight w:val="none"/>
        </w:rPr>
        <w:t>t/a、氮氧化物：0.</w:t>
      </w:r>
      <w:r>
        <w:rPr>
          <w:rFonts w:hint="default" w:ascii="Times New Roman" w:hAnsi="Times New Roman" w:cs="Times New Roman"/>
          <w:snapToGrid w:val="0"/>
          <w:kern w:val="0"/>
          <w:sz w:val="24"/>
          <w:szCs w:val="24"/>
          <w:highlight w:val="none"/>
          <w:lang w:val="en-US" w:eastAsia="zh-CN"/>
        </w:rPr>
        <w:t>416</w:t>
      </w:r>
      <w:r>
        <w:rPr>
          <w:rFonts w:hint="default" w:ascii="Times New Roman" w:hAnsi="Times New Roman" w:cs="Times New Roman"/>
          <w:snapToGrid w:val="0"/>
          <w:kern w:val="0"/>
          <w:sz w:val="24"/>
          <w:szCs w:val="24"/>
          <w:highlight w:val="none"/>
        </w:rPr>
        <w:t>t/a。</w:t>
      </w:r>
    </w:p>
    <w:p>
      <w:pPr>
        <w:keepNext w:val="0"/>
        <w:keepLines w:val="0"/>
        <w:pageBreakBefore w:val="0"/>
        <w:widowControl w:val="0"/>
        <w:kinsoku/>
        <w:wordWrap/>
        <w:overflowPunct/>
        <w:topLinePunct w:val="0"/>
        <w:autoSpaceDE/>
        <w:autoSpaceDN/>
        <w:bidi w:val="0"/>
        <w:spacing w:before="120" w:beforeLines="50" w:after="120" w:afterLines="50" w:line="480" w:lineRule="exact"/>
        <w:jc w:val="left"/>
        <w:textAlignment w:val="auto"/>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0.5.5 公众参与结论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本项目于 20</w:t>
      </w:r>
      <w:r>
        <w:rPr>
          <w:rFonts w:hint="default" w:ascii="Times New Roman" w:hAnsi="Times New Roman" w:cs="Times New Roman"/>
          <w:sz w:val="24"/>
          <w:szCs w:val="24"/>
          <w:highlight w:val="none"/>
          <w:lang w:val="en-US" w:eastAsia="zh-CN"/>
        </w:rPr>
        <w:t>20</w:t>
      </w:r>
      <w:r>
        <w:rPr>
          <w:rFonts w:hint="default" w:ascii="Times New Roman" w:hAnsi="Times New Roman" w:cs="Times New Roman"/>
          <w:sz w:val="24"/>
          <w:szCs w:val="24"/>
          <w:highlight w:val="none"/>
        </w:rPr>
        <w:t xml:space="preserve"> 年</w:t>
      </w:r>
      <w:r>
        <w:rPr>
          <w:rFonts w:hint="default"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 xml:space="preserve"> 月</w:t>
      </w:r>
      <w:r>
        <w:rPr>
          <w:rFonts w:hint="default" w:ascii="Times New Roman" w:hAnsi="Times New Roman" w:cs="Times New Roman"/>
          <w:sz w:val="24"/>
          <w:szCs w:val="24"/>
          <w:highlight w:val="none"/>
          <w:lang w:val="en-US" w:eastAsia="zh-CN"/>
        </w:rPr>
        <w:t>19</w:t>
      </w:r>
      <w:r>
        <w:rPr>
          <w:rFonts w:hint="default" w:ascii="Times New Roman" w:hAnsi="Times New Roman" w:cs="Times New Roman"/>
          <w:sz w:val="24"/>
          <w:szCs w:val="24"/>
          <w:highlight w:val="none"/>
        </w:rPr>
        <w:t xml:space="preserve"> 日</w:t>
      </w:r>
      <w:r>
        <w:rPr>
          <w:rFonts w:hint="eastAsia" w:ascii="Times New Roman" w:hAnsi="Times New Roman" w:cs="Times New Roman"/>
          <w:sz w:val="24"/>
          <w:szCs w:val="24"/>
          <w:highlight w:val="none"/>
          <w:lang w:val="en-US" w:eastAsia="zh-CN"/>
        </w:rPr>
        <w:t>~4月1日和4月2日~16日，</w:t>
      </w:r>
      <w:r>
        <w:rPr>
          <w:rFonts w:hint="default" w:ascii="Times New Roman" w:hAnsi="Times New Roman" w:cs="Times New Roman"/>
          <w:sz w:val="24"/>
          <w:szCs w:val="24"/>
          <w:highlight w:val="none"/>
        </w:rPr>
        <w:t>在</w:t>
      </w:r>
      <w:r>
        <w:rPr>
          <w:rFonts w:hint="default" w:ascii="Times New Roman" w:hAnsi="Times New Roman" w:cs="Times New Roman"/>
          <w:sz w:val="24"/>
          <w:szCs w:val="24"/>
          <w:highlight w:val="none"/>
          <w:lang w:val="en-US" w:eastAsia="zh-CN"/>
        </w:rPr>
        <w:t>秦皇岛市生态环境局官方网站（http://sthj.qhd.gov.cn/）</w:t>
      </w:r>
      <w:r>
        <w:rPr>
          <w:rFonts w:hint="eastAsia" w:ascii="Times New Roman" w:hAnsi="Times New Roman" w:cs="Times New Roman"/>
          <w:sz w:val="24"/>
          <w:szCs w:val="24"/>
          <w:highlight w:val="none"/>
          <w:lang w:val="en-US" w:eastAsia="zh-CN"/>
        </w:rPr>
        <w:t>分别</w:t>
      </w:r>
      <w:r>
        <w:rPr>
          <w:rFonts w:hint="default" w:ascii="Times New Roman" w:hAnsi="Times New Roman" w:cs="Times New Roman"/>
          <w:sz w:val="24"/>
          <w:szCs w:val="24"/>
          <w:highlight w:val="none"/>
          <w:lang w:val="en-US" w:eastAsia="zh-CN"/>
        </w:rPr>
        <w:t>进行第一次</w:t>
      </w:r>
      <w:r>
        <w:rPr>
          <w:rFonts w:hint="eastAsia" w:ascii="Times New Roman" w:hAnsi="Times New Roman" w:cs="Times New Roman"/>
          <w:sz w:val="24"/>
          <w:szCs w:val="24"/>
          <w:highlight w:val="none"/>
          <w:lang w:val="en-US" w:eastAsia="zh-CN"/>
        </w:rPr>
        <w:t>和第二次</w:t>
      </w:r>
      <w:r>
        <w:rPr>
          <w:rFonts w:hint="default" w:ascii="Times New Roman" w:hAnsi="Times New Roman" w:cs="Times New Roman"/>
          <w:sz w:val="24"/>
          <w:szCs w:val="24"/>
          <w:highlight w:val="none"/>
          <w:lang w:val="en-US" w:eastAsia="zh-CN"/>
        </w:rPr>
        <w:t>环评公示</w:t>
      </w:r>
      <w:r>
        <w:rPr>
          <w:rFonts w:hint="eastAsia" w:ascii="Times New Roman" w:hAnsi="Times New Roman" w:cs="Times New Roman"/>
          <w:sz w:val="24"/>
          <w:szCs w:val="24"/>
          <w:highlight w:val="none"/>
          <w:lang w:val="en-US" w:eastAsia="zh-CN"/>
        </w:rPr>
        <w:t>，同时在4月2日~16日期间通过现场张贴公告和报纸媒体的方式对本项目征求意见稿的情况进行公开</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公示调查期间未收到群众反对意见。</w:t>
      </w:r>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20" w:name="page13"/>
      <w:bookmarkEnd w:id="20"/>
      <w:r>
        <w:rPr>
          <w:rFonts w:hint="default" w:ascii="Times New Roman" w:hAnsi="Times New Roman" w:eastAsia="黑体" w:cs="Times New Roman"/>
          <w:bCs/>
          <w:sz w:val="28"/>
          <w:szCs w:val="28"/>
          <w:highlight w:val="none"/>
        </w:rPr>
        <w:t>0.6.6 总体结论</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符合产业政策要求，选址可行，环保措施技术适用可行，废气、噪声排放满足污染物达标排放和总量控制要求，废水、固体废物综合利用或合理处置，项目实施后，不会改变区域环境和周边敏感点的环境功能区划。因此，在建设单位认真落实报告中提出各项污染防治措施前提下，加强建设和运营过程的环境管理，项目建设可行。</w:t>
      </w:r>
    </w:p>
    <w:p>
      <w:pPr>
        <w:pStyle w:val="4"/>
        <w:adjustRightInd w:val="0"/>
        <w:snapToGrid w:val="0"/>
        <w:spacing w:before="120" w:beforeLines="50" w:after="120" w:afterLines="50" w:line="360" w:lineRule="auto"/>
        <w:rPr>
          <w:rFonts w:hint="default" w:ascii="Times New Roman" w:hAnsi="Times New Roman" w:eastAsia="黑体" w:cs="Times New Roman"/>
          <w:b w:val="0"/>
          <w:sz w:val="36"/>
          <w:szCs w:val="32"/>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linePitch="312" w:charSpace="0"/>
        </w:sectPr>
      </w:pPr>
    </w:p>
    <w:p>
      <w:pPr>
        <w:spacing w:before="120" w:beforeLines="50" w:after="120" w:afterLines="50"/>
        <w:jc w:val="left"/>
        <w:outlineLvl w:val="0"/>
        <w:rPr>
          <w:rFonts w:hint="default" w:ascii="Times New Roman" w:hAnsi="Times New Roman" w:eastAsia="黑体" w:cs="Times New Roman"/>
          <w:bCs/>
          <w:sz w:val="32"/>
          <w:szCs w:val="32"/>
          <w:highlight w:val="none"/>
          <w:lang w:eastAsia="zh-CN"/>
        </w:rPr>
      </w:pPr>
      <w:bookmarkStart w:id="21" w:name="_Toc18118"/>
      <w:r>
        <w:rPr>
          <w:rFonts w:hint="default" w:ascii="Times New Roman" w:hAnsi="Times New Roman" w:eastAsia="黑体" w:cs="Times New Roman"/>
          <w:bCs/>
          <w:sz w:val="32"/>
          <w:szCs w:val="32"/>
          <w:highlight w:val="none"/>
        </w:rPr>
        <w:t>1</w:t>
      </w:r>
      <w:bookmarkEnd w:id="18"/>
      <w:r>
        <w:rPr>
          <w:rFonts w:hint="default" w:ascii="Times New Roman" w:hAnsi="Times New Roman" w:eastAsia="黑体" w:cs="Times New Roman"/>
          <w:bCs/>
          <w:sz w:val="32"/>
          <w:szCs w:val="32"/>
          <w:highlight w:val="none"/>
          <w:lang w:val="en-US" w:eastAsia="zh-CN"/>
        </w:rPr>
        <w:t>总则</w:t>
      </w:r>
      <w:bookmarkEnd w:id="21"/>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22" w:name="_Toc521334356"/>
      <w:bookmarkStart w:id="23" w:name="_Toc22452"/>
      <w:r>
        <w:rPr>
          <w:rFonts w:hint="default" w:ascii="Times New Roman" w:hAnsi="Times New Roman" w:eastAsia="黑体" w:cs="Times New Roman"/>
          <w:bCs/>
          <w:sz w:val="30"/>
          <w:szCs w:val="30"/>
          <w:highlight w:val="none"/>
        </w:rPr>
        <w:t>1.1编制依据</w:t>
      </w:r>
      <w:bookmarkEnd w:id="22"/>
      <w:bookmarkEnd w:id="23"/>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1.1.1相关法律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(1)《中华人民共和国环境保护法》（2015 年 1 月 1 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(2)《中华人民共和国环境影响评价法》（2018年12月29日修订并实施）；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(3)《中华人民共和国水污染防治法》（2018 年 1 月 1 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(4)《中华人民共和国大气污染防治法》（2018年10月26日修订并实施）；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(5)《中华人民共和国固体废物污染防治法》（2018年10月29日修订并实施）；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(6)《中华人民共和国环境噪声污染防治法》（2018年12月29日修订并实施）；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(7)《中华人民共和国循环经济促进法》（2018年10月26日修订并实施）；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(8)《中华人民共和国清洁生产促进法》（2018年修正）；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(9)《中华人民共和国水土保持法》（2011 年 3 月 1 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(10)《中华人民共和国畜牧法》（2015  年 4 月 24 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(11)《建设项目环境保护管理条例》（2017 年 8 月 1 日根据中华人民共和国国务院令第 682 号《国务院关于修改〈建设项目环境保护管理条例〉的决定》修订，自 2017 年 10 月 1 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(12)《河北省减少污染物排放条例》（2009 年 5 月 27 日河北省第十一届人民代表大会常务委员会第九次会议通过）。</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1.1.2部门规章及规范性文件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《产业结构调整指导目录》（201</w:t>
      </w:r>
      <w:r>
        <w:rPr>
          <w:rFonts w:hint="default" w:ascii="Times New Roman" w:hAnsi="Times New Roman" w:eastAsia="宋体" w:cs="Times New Roman"/>
          <w:b w:val="0"/>
          <w:bCs w:val="0"/>
          <w:sz w:val="24"/>
          <w:szCs w:val="24"/>
          <w:highlight w:val="none"/>
          <w:lang w:val="en-US" w:eastAsia="zh-CN"/>
        </w:rPr>
        <w:t>9</w:t>
      </w:r>
      <w:r>
        <w:rPr>
          <w:rFonts w:hint="default" w:ascii="Times New Roman" w:hAnsi="Times New Roman" w:eastAsia="宋体" w:cs="Times New Roman"/>
          <w:b w:val="0"/>
          <w:bCs w:val="0"/>
          <w:sz w:val="24"/>
          <w:szCs w:val="24"/>
          <w:highlight w:val="none"/>
        </w:rPr>
        <w:t>年本）；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eastAsia="zh-CN"/>
        </w:rPr>
        <w:t>河北省新增限制和淘汰类产业目录 (2015 年版)》（2015年3月6日）；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lang w:eastAsia="zh-CN"/>
        </w:rPr>
        <w:t>）《关于河北省区域禁（限）批建设项目的实施意见（试行）》</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eastAsia="zh-CN"/>
        </w:rPr>
        <w:t>（冀政[2009]89号）；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lang w:eastAsia="zh-CN"/>
        </w:rPr>
        <w:t>）《国务院关于加强环境保护重点工作的意见》（国发〔2011〕35号）；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eastAsia="zh-CN"/>
        </w:rPr>
        <w:t>）《国务院关于印发水污染防治行动</w:t>
      </w:r>
      <w:r>
        <w:rPr>
          <w:rFonts w:hint="default" w:ascii="Times New Roman" w:hAnsi="Times New Roman" w:eastAsia="宋体" w:cs="Times New Roman"/>
          <w:b w:val="0"/>
          <w:bCs w:val="0"/>
          <w:sz w:val="24"/>
          <w:szCs w:val="24"/>
          <w:highlight w:val="none"/>
        </w:rPr>
        <w:t>计划的通知》（国发[2015]17号）；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《国务院关于印发大气污染防治行动计划的通知》（国发[2013]37号）；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7</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《国务院关于印发土壤污染防治行动计划的通知》（国发</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2016]</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31号）；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8</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《建设项目环境保护管理条例》（2017年8月1日根据中华人民共和国国务院令第682号《国务院关于修改〈建设项目环境保护管理条例〉的决定》修订，自2017年10月1日起施行）</w:t>
      </w:r>
      <w:r>
        <w:rPr>
          <w:rFonts w:hint="default" w:ascii="Times New Roman" w:hAnsi="Times New Roman" w:eastAsia="宋体" w:cs="Times New Roman"/>
          <w:b w:val="0"/>
          <w:bCs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9</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《建设项目环境影响评价分类管理名录》（2018年修正）（中华人民共和国生态环境部令第1号，自2018年4月28日起施行）；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10</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《关于发布实施&lt;限制用地项目目录（2012年本）&gt;和&lt;禁止用地项目目录（2012年本）&gt;的通知》（国土资发[2012]98号)；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11</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《国家危险废物名录》（环境保护部令第39号，自2016年8月1日起施行）；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12</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《环境保护综合名录》（2013年版）；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13</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《河北省人民政府关于进一步加强环境保护工作的决定》（冀政[2012]24号）；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14</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中共河北省委河北省人民政府关于印发《河北省大气污染防治行动计划实施方案》的通知；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15</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河北省环境保护厅《关于进一步加强建设项目环保管理的通知》（冀环评[2013]232号）；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16</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《关于进一步强化建设项目环评公众参与工作的通知》（冀环办发[2010]238号）；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17</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《河北省环境保护公众参与条例》（河北省十二届人大常委会第十一次会议表决通过）；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18</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《环境影响评价公众参与暂行办法》（环发[2006]28号）；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19</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 xml:space="preserve">《畜禽养殖业污染防治技术政策》（环境保护部环发[2010]151号）；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20</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《国务院办公厅关于建立病死畜禽无害化处理机制的意见》（国办发〔2014〕47号）；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21</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《关于进一步加强畜禽养殖污染防治工作的通知》（环水体[2016]144号）；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22</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《中共河北省委、河北省人民政府关于强力推进大气污染综合治理的意见》（冀发[2017]7号）；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23</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国家质检总局、国家标准委关于《水泥包装袋》等1077项强制性国家标准转化为推荐性国家标准的公告（2017 年第 7 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24</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河北省住房和城乡建设厅关于印发</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《河北省建筑施工扬尘防治强化措施条》的通知（冀建安〔2016〕27号）；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25</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《秦皇岛市“净土行动”土壤污染防治工作方案》；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26</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《中共秦皇岛市委秦皇岛市人民政府关于强力推进大气污染综合治理的实施意见》（秦发[2017]5 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27</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秦皇岛市人民政府办公厅关于印发《秦皇岛市划定畜禽禁养区限养区的规定》的通知（2016年8月10日）；</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28</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 xml:space="preserve">卢龙县人民政府办公室关于印发《卢龙县划定畜禽禁养区限养区的规定》卢政办发（2016）91 </w:t>
      </w:r>
      <w:r>
        <w:rPr>
          <w:rFonts w:hint="default" w:ascii="Times New Roman" w:hAnsi="Times New Roman" w:eastAsia="宋体" w:cs="Times New Roman"/>
          <w:b w:val="0"/>
          <w:bCs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29</w:t>
      </w:r>
      <w:r>
        <w:rPr>
          <w:rFonts w:hint="default" w:ascii="Times New Roman" w:hAnsi="Times New Roman" w:eastAsia="宋体" w:cs="Times New Roman"/>
          <w:b w:val="0"/>
          <w:bCs w:val="0"/>
          <w:sz w:val="24"/>
          <w:szCs w:val="24"/>
          <w:highlight w:val="none"/>
          <w:lang w:eastAsia="zh-CN"/>
        </w:rPr>
        <w:t>）《畜禽规模养殖污染防治条例》（中华人民共和国国务院令第643号）；</w:t>
      </w:r>
    </w:p>
    <w:p>
      <w:pPr>
        <w:spacing w:line="360" w:lineRule="auto"/>
        <w:rPr>
          <w:rFonts w:hint="default" w:ascii="Times New Roman" w:hAnsi="Times New Roman" w:eastAsia="宋体" w:cs="Times New Roman"/>
          <w:sz w:val="24"/>
          <w:szCs w:val="24"/>
          <w:highlight w:val="none"/>
          <w:lang w:eastAsia="zh-CN"/>
        </w:rPr>
        <w:sectPr>
          <w:pgSz w:w="11900" w:h="16840"/>
          <w:pgMar w:top="1440" w:right="1800" w:bottom="1440" w:left="1800" w:header="0" w:footer="0" w:gutter="0"/>
          <w:pgBorders>
            <w:top w:val="none" w:sz="0" w:space="0"/>
            <w:left w:val="none" w:sz="0" w:space="0"/>
            <w:bottom w:val="none" w:sz="0" w:space="0"/>
            <w:right w:val="none" w:sz="0" w:space="0"/>
          </w:pgBorders>
          <w:pgNumType w:fmt="decimal"/>
          <w:cols w:equalWidth="0" w:num="1">
            <w:col w:w="9024"/>
          </w:cols>
        </w:sectPr>
      </w:pP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1.1.3相关规划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（1）《秦皇岛市城市总体规划（2008-2020 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（2）《秦皇岛市生态环境保护“十三五”规划》（秦皇岛市环境保护局，2016年12 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（3）《卢龙县城乡总体规划（2011～2030 年）》；</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1.1.4技术规范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《建设项目环境影响评价技术导则—总纲》（HJ2.1-2016）；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《环境影响评价技术导则—声环境》（HJ2.4-2009）；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《环境影响评价技术导则—大气环境》（HJ2.2-2018）；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《环境影响评价技术导则－地下水环境》（HJ610-2016）；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《环境影响评价技术导则－地面水环境》（HJ/T2/3-2018）；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《建设项目环境风险评价技术导则》（HJ/T 169－2018）；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《畜禽养殖业污染防治技术规范》（HJ/T81-2001）；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《畜禽养殖业污染治理工程技术规范》（HJ497-2009）；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《畜禽粪便无害化处理技术规范》（NY/T 1168-2006）；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《粪便无害化卫生要求》（GB7959-2012）；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11</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《病死及病害动物无害化处理技术规范》农医发（2013）34 号；</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1.1.5 项目相关资料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建设单位营业执照；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秦皇岛市卢龙县国土资源局《设施农业备案登记表》（2017）</w:t>
      </w:r>
      <w:r>
        <w:rPr>
          <w:rFonts w:hint="default" w:ascii="Times New Roman" w:hAnsi="Times New Roman" w:eastAsia="宋体" w:cs="Times New Roman"/>
          <w:sz w:val="24"/>
          <w:szCs w:val="24"/>
          <w:highlight w:val="green"/>
        </w:rPr>
        <w:t>1 号</w:t>
      </w:r>
      <w:r>
        <w:rPr>
          <w:rFonts w:hint="default" w:ascii="Times New Roman" w:hAnsi="Times New Roman" w:eastAsia="宋体"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土地流转协议；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秦皇岛市人民政府办公厅关于印发《秦皇岛市划定畜禽禁养区限养区的规定》的通知（2016 年 8 月 10 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《秦皇岛市国飞农业科技发展有限公司环境空气、环境噪声、地下水、土壤检测报告》（恒丰环测字（2019）第 1233 号）；</w:t>
      </w:r>
    </w:p>
    <w:p>
      <w:pPr>
        <w:spacing w:before="120" w:beforeLines="50" w:after="120" w:afterLines="50" w:line="360" w:lineRule="auto"/>
        <w:jc w:val="left"/>
        <w:outlineLvl w:val="1"/>
        <w:rPr>
          <w:rFonts w:hint="default" w:ascii="Times New Roman" w:hAnsi="Times New Roman" w:eastAsia="宋体" w:cs="Times New Roman"/>
          <w:bCs/>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bookmarkStart w:id="24" w:name="_Toc521334357"/>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25" w:name="_Toc12460"/>
      <w:r>
        <w:rPr>
          <w:rFonts w:hint="default" w:ascii="Times New Roman" w:hAnsi="Times New Roman" w:eastAsia="黑体" w:cs="Times New Roman"/>
          <w:bCs/>
          <w:sz w:val="30"/>
          <w:szCs w:val="30"/>
          <w:highlight w:val="none"/>
        </w:rPr>
        <w:t>1.2</w:t>
      </w:r>
      <w:bookmarkEnd w:id="24"/>
      <w:r>
        <w:rPr>
          <w:rFonts w:hint="default" w:ascii="Times New Roman" w:hAnsi="Times New Roman" w:eastAsia="黑体" w:cs="Times New Roman"/>
          <w:bCs/>
          <w:sz w:val="30"/>
          <w:szCs w:val="30"/>
          <w:highlight w:val="none"/>
        </w:rPr>
        <w:t>评价因子和评价标准</w:t>
      </w:r>
      <w:bookmarkEnd w:id="25"/>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1.2.1评价因子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（1）环境影响要素识别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根据项目所在地周围环境现状和与周边环境关系，并结合项目建设对环境可能带来的影响，项目不同时期的环境因素识别列于表 1-1 中。</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表1-1  环境影响因素识别</w:t>
      </w:r>
    </w:p>
    <w:tbl>
      <w:tblPr>
        <w:tblStyle w:val="80"/>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958"/>
        <w:gridCol w:w="1005"/>
        <w:gridCol w:w="1005"/>
        <w:gridCol w:w="750"/>
        <w:gridCol w:w="1006"/>
        <w:gridCol w:w="792"/>
        <w:gridCol w:w="747"/>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83" w:type="dxa"/>
            <w:vMerge w:val="restart"/>
            <w:tcBorders>
              <w:tl2br w:val="single" w:color="auto" w:sz="4" w:space="0"/>
            </w:tcBorders>
            <w:vAlign w:val="center"/>
          </w:tcPr>
          <w:p>
            <w:pPr>
              <w:pStyle w:val="146"/>
              <w:adjustRightInd w:val="0"/>
              <w:snapToGrid w:val="0"/>
              <w:spacing w:line="240" w:lineRule="atLeast"/>
              <w:ind w:firstLine="0"/>
              <w:jc w:val="center"/>
              <w:rPr>
                <w:rFonts w:hint="default" w:ascii="Times New Roman" w:hAnsi="Times New Roman" w:cs="Times New Roman"/>
                <w:spacing w:val="0"/>
                <w:sz w:val="21"/>
                <w:szCs w:val="21"/>
                <w:highlight w:val="none"/>
              </w:rPr>
            </w:pPr>
            <w:r>
              <w:rPr>
                <w:rFonts w:hint="eastAsia" w:cs="Times New Roman"/>
                <w:spacing w:val="0"/>
                <w:sz w:val="21"/>
                <w:szCs w:val="21"/>
                <w:highlight w:val="none"/>
                <w:lang w:val="en-US" w:eastAsia="zh-CN"/>
              </w:rPr>
              <w:t xml:space="preserve">     </w:t>
            </w:r>
            <w:r>
              <w:rPr>
                <w:rFonts w:hint="default" w:ascii="Times New Roman" w:hAnsi="Times New Roman" w:cs="Times New Roman"/>
                <w:spacing w:val="0"/>
                <w:sz w:val="21"/>
                <w:szCs w:val="21"/>
                <w:highlight w:val="none"/>
              </w:rPr>
              <w:t>环境要素</w:t>
            </w:r>
          </w:p>
          <w:p>
            <w:pPr>
              <w:pStyle w:val="148"/>
              <w:spacing w:line="240" w:lineRule="atLeast"/>
              <w:ind w:firstLine="0" w:firstLineChars="0"/>
              <w:jc w:val="center"/>
              <w:rPr>
                <w:rFonts w:hint="default" w:ascii="Times New Roman" w:hAnsi="Times New Roman" w:cs="Times New Roman"/>
                <w:sz w:val="21"/>
                <w:szCs w:val="21"/>
                <w:highlight w:val="none"/>
              </w:rPr>
            </w:pPr>
          </w:p>
          <w:p>
            <w:pPr>
              <w:adjustRightInd w:val="0"/>
              <w:snapToGrid w:val="0"/>
              <w:spacing w:line="240" w:lineRule="atLeast"/>
              <w:jc w:val="both"/>
              <w:rPr>
                <w:rFonts w:hint="default" w:ascii="Times New Roman" w:hAnsi="Times New Roman" w:cs="Times New Roman"/>
                <w:szCs w:val="21"/>
                <w:highlight w:val="none"/>
              </w:rPr>
            </w:pPr>
            <w:r>
              <w:rPr>
                <w:rFonts w:hint="default" w:ascii="Times New Roman" w:hAnsi="Times New Roman" w:cs="Times New Roman"/>
                <w:szCs w:val="21"/>
                <w:highlight w:val="none"/>
              </w:rPr>
              <w:t>开发活动</w:t>
            </w:r>
          </w:p>
        </w:tc>
        <w:tc>
          <w:tcPr>
            <w:tcW w:w="2968" w:type="dxa"/>
            <w:gridSpan w:val="3"/>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生态环境</w:t>
            </w:r>
          </w:p>
        </w:tc>
        <w:tc>
          <w:tcPr>
            <w:tcW w:w="3977" w:type="dxa"/>
            <w:gridSpan w:val="5"/>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自然环境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83" w:type="dxa"/>
            <w:vMerge w:val="continue"/>
            <w:vAlign w:val="center"/>
          </w:tcPr>
          <w:p>
            <w:pPr>
              <w:adjustRightInd w:val="0"/>
              <w:snapToGrid w:val="0"/>
              <w:spacing w:line="240" w:lineRule="atLeast"/>
              <w:jc w:val="center"/>
              <w:rPr>
                <w:rFonts w:hint="default" w:ascii="Times New Roman" w:hAnsi="Times New Roman" w:cs="Times New Roman"/>
                <w:szCs w:val="21"/>
                <w:highlight w:val="none"/>
              </w:rPr>
            </w:pPr>
          </w:p>
        </w:tc>
        <w:tc>
          <w:tcPr>
            <w:tcW w:w="958" w:type="dxa"/>
            <w:tcMar>
              <w:left w:w="57" w:type="dxa"/>
              <w:right w:w="57" w:type="dxa"/>
            </w:tcMar>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地形地貌</w:t>
            </w:r>
          </w:p>
        </w:tc>
        <w:tc>
          <w:tcPr>
            <w:tcW w:w="1005" w:type="dxa"/>
            <w:tcMar>
              <w:left w:w="57" w:type="dxa"/>
              <w:right w:w="57" w:type="dxa"/>
            </w:tcMar>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土壤植被</w:t>
            </w:r>
          </w:p>
        </w:tc>
        <w:tc>
          <w:tcPr>
            <w:tcW w:w="1005" w:type="dxa"/>
            <w:tcMar>
              <w:left w:w="57" w:type="dxa"/>
              <w:right w:w="57" w:type="dxa"/>
            </w:tcMar>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景观生态</w:t>
            </w:r>
          </w:p>
        </w:tc>
        <w:tc>
          <w:tcPr>
            <w:tcW w:w="750" w:type="dxa"/>
            <w:tcMar>
              <w:left w:w="57" w:type="dxa"/>
              <w:right w:w="57" w:type="dxa"/>
            </w:tcMar>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地表水</w:t>
            </w:r>
          </w:p>
        </w:tc>
        <w:tc>
          <w:tcPr>
            <w:tcW w:w="1006" w:type="dxa"/>
            <w:tcMar>
              <w:left w:w="57" w:type="dxa"/>
              <w:right w:w="57" w:type="dxa"/>
            </w:tcMar>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环境空气</w:t>
            </w:r>
          </w:p>
        </w:tc>
        <w:tc>
          <w:tcPr>
            <w:tcW w:w="792" w:type="dxa"/>
            <w:tcMar>
              <w:left w:w="57" w:type="dxa"/>
              <w:right w:w="57" w:type="dxa"/>
            </w:tcMar>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地下水</w:t>
            </w:r>
          </w:p>
        </w:tc>
        <w:tc>
          <w:tcPr>
            <w:tcW w:w="747" w:type="dxa"/>
            <w:tcMar>
              <w:left w:w="57" w:type="dxa"/>
              <w:right w:w="57" w:type="dxa"/>
            </w:tcMar>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声环境</w:t>
            </w:r>
          </w:p>
        </w:tc>
        <w:tc>
          <w:tcPr>
            <w:tcW w:w="682" w:type="dxa"/>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83" w:type="dxa"/>
            <w:tcMar>
              <w:left w:w="28" w:type="dxa"/>
              <w:right w:w="28" w:type="dxa"/>
            </w:tcMar>
            <w:vAlign w:val="center"/>
          </w:tcPr>
          <w:p>
            <w:pPr>
              <w:adjustRightInd w:val="0"/>
              <w:snapToGrid w:val="0"/>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施工期</w:t>
            </w:r>
          </w:p>
        </w:tc>
        <w:tc>
          <w:tcPr>
            <w:tcW w:w="958" w:type="dxa"/>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eastAsia="Times New Roman" w:cs="Times New Roman"/>
                <w:w w:val="81"/>
                <w:sz w:val="21"/>
                <w:szCs w:val="21"/>
                <w:highlight w:val="none"/>
                <w:vertAlign w:val="subscript"/>
              </w:rPr>
              <w:t>1</w:t>
            </w:r>
          </w:p>
        </w:tc>
        <w:tc>
          <w:tcPr>
            <w:tcW w:w="1005" w:type="dxa"/>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eastAsia="Times New Roman" w:cs="Times New Roman"/>
                <w:w w:val="81"/>
                <w:sz w:val="21"/>
                <w:szCs w:val="21"/>
                <w:highlight w:val="none"/>
                <w:vertAlign w:val="subscript"/>
              </w:rPr>
              <w:t>1</w:t>
            </w:r>
          </w:p>
        </w:tc>
        <w:tc>
          <w:tcPr>
            <w:tcW w:w="1005" w:type="dxa"/>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eastAsia="Times New Roman" w:cs="Times New Roman"/>
                <w:w w:val="81"/>
                <w:sz w:val="21"/>
                <w:szCs w:val="21"/>
                <w:highlight w:val="none"/>
                <w:vertAlign w:val="subscript"/>
              </w:rPr>
              <w:t>1</w:t>
            </w:r>
          </w:p>
        </w:tc>
        <w:tc>
          <w:tcPr>
            <w:tcW w:w="750" w:type="dxa"/>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w w:val="81"/>
                <w:sz w:val="21"/>
                <w:szCs w:val="21"/>
                <w:highlight w:val="none"/>
              </w:rPr>
              <w:t>/</w:t>
            </w:r>
          </w:p>
        </w:tc>
        <w:tc>
          <w:tcPr>
            <w:tcW w:w="1006" w:type="dxa"/>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eastAsia="Times New Roman" w:cs="Times New Roman"/>
                <w:w w:val="81"/>
                <w:sz w:val="21"/>
                <w:szCs w:val="21"/>
                <w:highlight w:val="none"/>
                <w:vertAlign w:val="subscript"/>
              </w:rPr>
              <w:t>1</w:t>
            </w:r>
          </w:p>
        </w:tc>
        <w:tc>
          <w:tcPr>
            <w:tcW w:w="792" w:type="dxa"/>
            <w:vAlign w:val="center"/>
          </w:tcPr>
          <w:p>
            <w:pPr>
              <w:pStyle w:val="148"/>
              <w:spacing w:line="240" w:lineRule="atLeas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w w:val="81"/>
                <w:sz w:val="21"/>
                <w:szCs w:val="21"/>
                <w:highlight w:val="none"/>
              </w:rPr>
              <w:t>/</w:t>
            </w:r>
          </w:p>
        </w:tc>
        <w:tc>
          <w:tcPr>
            <w:tcW w:w="747" w:type="dxa"/>
            <w:vAlign w:val="center"/>
          </w:tcPr>
          <w:p>
            <w:pPr>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cs="Times New Roman"/>
                <w:w w:val="81"/>
                <w:sz w:val="21"/>
                <w:szCs w:val="21"/>
                <w:highlight w:val="none"/>
                <w:vertAlign w:val="subscript"/>
              </w:rPr>
              <w:t>2</w:t>
            </w:r>
          </w:p>
        </w:tc>
        <w:tc>
          <w:tcPr>
            <w:tcW w:w="682"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w w:val="8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83" w:type="dxa"/>
            <w:tcMar>
              <w:left w:w="28" w:type="dxa"/>
              <w:right w:w="28" w:type="dxa"/>
            </w:tcMar>
            <w:vAlign w:val="center"/>
          </w:tcPr>
          <w:p>
            <w:pPr>
              <w:adjustRightInd w:val="0"/>
              <w:snapToGrid w:val="0"/>
              <w:spacing w:line="240" w:lineRule="atLeast"/>
              <w:jc w:val="center"/>
              <w:rPr>
                <w:rFonts w:hint="default" w:ascii="Times New Roman" w:hAnsi="Times New Roman" w:cs="Times New Roman"/>
                <w:snapToGrid w:val="0"/>
                <w:szCs w:val="21"/>
                <w:highlight w:val="none"/>
              </w:rPr>
            </w:pPr>
            <w:r>
              <w:rPr>
                <w:rFonts w:hint="default" w:ascii="Times New Roman" w:hAnsi="Times New Roman" w:cs="Times New Roman"/>
                <w:snapToGrid w:val="0"/>
                <w:szCs w:val="21"/>
                <w:highlight w:val="none"/>
              </w:rPr>
              <w:t>运营期</w:t>
            </w:r>
          </w:p>
        </w:tc>
        <w:tc>
          <w:tcPr>
            <w:tcW w:w="958" w:type="dxa"/>
            <w:vAlign w:val="center"/>
          </w:tcPr>
          <w:p>
            <w:pPr>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eastAsia="Times New Roman" w:cs="Times New Roman"/>
                <w:w w:val="81"/>
                <w:sz w:val="21"/>
                <w:szCs w:val="21"/>
                <w:highlight w:val="none"/>
                <w:vertAlign w:val="subscript"/>
              </w:rPr>
              <w:t>1</w:t>
            </w:r>
          </w:p>
        </w:tc>
        <w:tc>
          <w:tcPr>
            <w:tcW w:w="1005" w:type="dxa"/>
            <w:vAlign w:val="center"/>
          </w:tcPr>
          <w:p>
            <w:pPr>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eastAsia="Times New Roman" w:cs="Times New Roman"/>
                <w:w w:val="81"/>
                <w:sz w:val="21"/>
                <w:szCs w:val="21"/>
                <w:highlight w:val="none"/>
                <w:vertAlign w:val="subscript"/>
              </w:rPr>
              <w:t>1</w:t>
            </w:r>
          </w:p>
        </w:tc>
        <w:tc>
          <w:tcPr>
            <w:tcW w:w="1005" w:type="dxa"/>
            <w:vAlign w:val="center"/>
          </w:tcPr>
          <w:p>
            <w:pPr>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eastAsia="Times New Roman" w:cs="Times New Roman"/>
                <w:w w:val="81"/>
                <w:sz w:val="21"/>
                <w:szCs w:val="21"/>
                <w:highlight w:val="none"/>
                <w:vertAlign w:val="subscript"/>
              </w:rPr>
              <w:t>1</w:t>
            </w:r>
          </w:p>
        </w:tc>
        <w:tc>
          <w:tcPr>
            <w:tcW w:w="750"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w w:val="81"/>
                <w:sz w:val="21"/>
                <w:szCs w:val="21"/>
                <w:highlight w:val="none"/>
              </w:rPr>
              <w:t>/</w:t>
            </w:r>
          </w:p>
        </w:tc>
        <w:tc>
          <w:tcPr>
            <w:tcW w:w="1006" w:type="dxa"/>
            <w:vAlign w:val="center"/>
          </w:tcPr>
          <w:p>
            <w:pPr>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cs="Times New Roman"/>
                <w:w w:val="81"/>
                <w:sz w:val="21"/>
                <w:szCs w:val="21"/>
                <w:highlight w:val="none"/>
                <w:vertAlign w:val="subscript"/>
              </w:rPr>
              <w:t>2</w:t>
            </w:r>
          </w:p>
        </w:tc>
        <w:tc>
          <w:tcPr>
            <w:tcW w:w="792" w:type="dxa"/>
            <w:vAlign w:val="center"/>
          </w:tcPr>
          <w:p>
            <w:pPr>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eastAsia="Times New Roman" w:cs="Times New Roman"/>
                <w:w w:val="81"/>
                <w:sz w:val="21"/>
                <w:szCs w:val="21"/>
                <w:highlight w:val="none"/>
                <w:vertAlign w:val="subscript"/>
              </w:rPr>
              <w:t>1</w:t>
            </w:r>
          </w:p>
        </w:tc>
        <w:tc>
          <w:tcPr>
            <w:tcW w:w="747" w:type="dxa"/>
            <w:vAlign w:val="center"/>
          </w:tcPr>
          <w:p>
            <w:pPr>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eastAsia="Times New Roman" w:cs="Times New Roman"/>
                <w:w w:val="81"/>
                <w:sz w:val="21"/>
                <w:szCs w:val="21"/>
                <w:highlight w:val="none"/>
                <w:vertAlign w:val="subscript"/>
              </w:rPr>
              <w:t>1</w:t>
            </w:r>
          </w:p>
        </w:tc>
        <w:tc>
          <w:tcPr>
            <w:tcW w:w="682" w:type="dxa"/>
            <w:vAlign w:val="center"/>
          </w:tcPr>
          <w:p>
            <w:pPr>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81"/>
                <w:sz w:val="21"/>
                <w:szCs w:val="21"/>
                <w:highlight w:val="none"/>
              </w:rPr>
              <w:t>●</w:t>
            </w:r>
            <w:r>
              <w:rPr>
                <w:rFonts w:hint="default" w:ascii="Times New Roman" w:hAnsi="Times New Roman" w:eastAsia="Times New Roman" w:cs="Times New Roman"/>
                <w:w w:val="81"/>
                <w:sz w:val="21"/>
                <w:szCs w:val="21"/>
                <w:highlight w:val="none"/>
                <w:vertAlign w:val="subscript"/>
              </w:rPr>
              <w:t>1</w:t>
            </w:r>
          </w:p>
        </w:tc>
      </w:tr>
    </w:tbl>
    <w:p>
      <w:pPr>
        <w:adjustRightInd w:val="0"/>
        <w:snapToGrid w:val="0"/>
        <w:spacing w:line="360" w:lineRule="auto"/>
        <w:ind w:left="420" w:hanging="420" w:hangingChars="200"/>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注：○有利影响；●不利影响；下标1、2、3分别为影响程度等级，1级影响程度很小；2级有影响；3级影响明显。</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snapToGrid w:val="0"/>
          <w:szCs w:val="24"/>
          <w:highlight w:val="none"/>
        </w:rPr>
      </w:pPr>
      <w:r>
        <w:rPr>
          <w:rFonts w:hint="default" w:ascii="Times New Roman" w:hAnsi="Times New Roman" w:cs="Times New Roman"/>
          <w:snapToGrid w:val="0"/>
          <w:szCs w:val="24"/>
          <w:highlight w:val="none"/>
        </w:rPr>
        <w:t>(2)评价因子筛选</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黑体" w:cs="Times New Roman"/>
          <w:highlight w:val="none"/>
        </w:rPr>
      </w:pPr>
      <w:r>
        <w:rPr>
          <w:rFonts w:hint="default" w:ascii="Times New Roman" w:hAnsi="Times New Roman" w:cs="Times New Roman"/>
          <w:snapToGrid w:val="0"/>
          <w:szCs w:val="24"/>
          <w:highlight w:val="none"/>
        </w:rPr>
        <w:t>环境影响评价因子筛选结果见表1-2。</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表1-2  评价因子一览表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903"/>
        <w:gridCol w:w="5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Align w:val="center"/>
          </w:tcPr>
          <w:p>
            <w:pPr>
              <w:pStyle w:val="148"/>
              <w:spacing w:line="240" w:lineRule="auto"/>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环境要素</w:t>
            </w:r>
          </w:p>
        </w:tc>
        <w:tc>
          <w:tcPr>
            <w:tcW w:w="1116" w:type="pct"/>
            <w:tcMar>
              <w:left w:w="113" w:type="dxa"/>
              <w:right w:w="113" w:type="dxa"/>
            </w:tcMar>
            <w:vAlign w:val="center"/>
          </w:tcPr>
          <w:p>
            <w:pPr>
              <w:pStyle w:val="148"/>
              <w:spacing w:line="240" w:lineRule="auto"/>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评价类别</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tcMar>
              <w:left w:w="0" w:type="dxa"/>
              <w:right w:w="0" w:type="dxa"/>
            </w:tcMar>
            <w:vAlign w:val="center"/>
          </w:tcPr>
          <w:p>
            <w:pPr>
              <w:pStyle w:val="148"/>
              <w:spacing w:line="240" w:lineRule="auto"/>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大气环境</w:t>
            </w:r>
          </w:p>
        </w:tc>
        <w:tc>
          <w:tcPr>
            <w:tcW w:w="1116" w:type="pct"/>
            <w:tcMar>
              <w:left w:w="57" w:type="dxa"/>
              <w:right w:w="57" w:type="dxa"/>
            </w:tcMar>
            <w:vAlign w:val="center"/>
          </w:tcPr>
          <w:p>
            <w:pPr>
              <w:pStyle w:val="148"/>
              <w:spacing w:line="240" w:lineRule="auto"/>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污染源评价</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98"/>
                <w:sz w:val="21"/>
                <w:szCs w:val="21"/>
                <w:highlight w:val="none"/>
              </w:rPr>
              <w:t>SO</w:t>
            </w:r>
            <w:r>
              <w:rPr>
                <w:rFonts w:hint="default" w:ascii="Times New Roman" w:hAnsi="Times New Roman" w:eastAsia="Times New Roman" w:cs="Times New Roman"/>
                <w:w w:val="98"/>
                <w:sz w:val="21"/>
                <w:szCs w:val="21"/>
                <w:highlight w:val="none"/>
                <w:vertAlign w:val="subscript"/>
              </w:rPr>
              <w:t>2</w:t>
            </w:r>
            <w:r>
              <w:rPr>
                <w:rFonts w:hint="default" w:ascii="Times New Roman" w:hAnsi="Times New Roman" w:cs="Times New Roman"/>
                <w:w w:val="98"/>
                <w:sz w:val="21"/>
                <w:szCs w:val="21"/>
                <w:highlight w:val="none"/>
              </w:rPr>
              <w:t>、</w:t>
            </w:r>
            <w:r>
              <w:rPr>
                <w:rFonts w:hint="default" w:ascii="Times New Roman" w:hAnsi="Times New Roman" w:eastAsia="Times New Roman" w:cs="Times New Roman"/>
                <w:w w:val="98"/>
                <w:sz w:val="21"/>
                <w:szCs w:val="21"/>
                <w:highlight w:val="none"/>
              </w:rPr>
              <w:t>NO</w:t>
            </w:r>
            <w:r>
              <w:rPr>
                <w:rFonts w:hint="default" w:ascii="Times New Roman" w:hAnsi="Times New Roman" w:eastAsia="Times New Roman" w:cs="Times New Roman"/>
                <w:w w:val="98"/>
                <w:sz w:val="21"/>
                <w:szCs w:val="21"/>
                <w:highlight w:val="none"/>
                <w:vertAlign w:val="subscript"/>
              </w:rPr>
              <w:t>x</w:t>
            </w:r>
            <w:r>
              <w:rPr>
                <w:rFonts w:hint="default" w:ascii="Times New Roman" w:hAnsi="Times New Roman" w:cs="Times New Roman"/>
                <w:w w:val="98"/>
                <w:sz w:val="21"/>
                <w:szCs w:val="21"/>
                <w:highlight w:val="none"/>
              </w:rPr>
              <w:t>、</w:t>
            </w:r>
            <w:r>
              <w:rPr>
                <w:rFonts w:hint="default" w:ascii="Times New Roman" w:hAnsi="Times New Roman" w:cs="Times New Roman"/>
                <w:sz w:val="21"/>
                <w:szCs w:val="21"/>
                <w:highlight w:val="none"/>
              </w:rPr>
              <w:t>硫化氢、氨、臭气浓度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Mar>
              <w:left w:w="0" w:type="dxa"/>
              <w:right w:w="0" w:type="dxa"/>
            </w:tcMar>
            <w:vAlign w:val="center"/>
          </w:tcPr>
          <w:p>
            <w:pPr>
              <w:adjustRightInd w:val="0"/>
              <w:snapToGrid w:val="0"/>
              <w:jc w:val="center"/>
              <w:rPr>
                <w:rFonts w:hint="default" w:ascii="Times New Roman" w:hAnsi="Times New Roman" w:cs="Times New Roman"/>
                <w:sz w:val="21"/>
                <w:szCs w:val="21"/>
                <w:highlight w:val="none"/>
              </w:rPr>
            </w:pP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现状评价</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eastAsia="Times New Roman" w:cs="Times New Roman"/>
                <w:w w:val="95"/>
                <w:sz w:val="21"/>
                <w:szCs w:val="21"/>
                <w:highlight w:val="none"/>
              </w:rPr>
              <w:t>SO</w:t>
            </w:r>
            <w:r>
              <w:rPr>
                <w:rFonts w:hint="default" w:ascii="Times New Roman" w:hAnsi="Times New Roman" w:eastAsia="Times New Roman" w:cs="Times New Roman"/>
                <w:w w:val="95"/>
                <w:sz w:val="21"/>
                <w:szCs w:val="21"/>
                <w:highlight w:val="none"/>
                <w:vertAlign w:val="subscript"/>
              </w:rPr>
              <w:t>2</w:t>
            </w:r>
            <w:r>
              <w:rPr>
                <w:rFonts w:hint="default" w:ascii="Times New Roman" w:hAnsi="Times New Roman" w:cs="Times New Roman"/>
                <w:w w:val="95"/>
                <w:sz w:val="21"/>
                <w:szCs w:val="21"/>
                <w:highlight w:val="none"/>
              </w:rPr>
              <w:t>、</w:t>
            </w:r>
            <w:r>
              <w:rPr>
                <w:rFonts w:hint="default" w:ascii="Times New Roman" w:hAnsi="Times New Roman" w:eastAsia="Times New Roman" w:cs="Times New Roman"/>
                <w:w w:val="95"/>
                <w:sz w:val="21"/>
                <w:szCs w:val="21"/>
                <w:highlight w:val="none"/>
              </w:rPr>
              <w:t>NO</w:t>
            </w:r>
            <w:r>
              <w:rPr>
                <w:rFonts w:hint="default" w:ascii="Times New Roman" w:hAnsi="Times New Roman" w:eastAsia="Times New Roman" w:cs="Times New Roman"/>
                <w:w w:val="95"/>
                <w:sz w:val="21"/>
                <w:szCs w:val="21"/>
                <w:highlight w:val="none"/>
                <w:vertAlign w:val="subscript"/>
              </w:rPr>
              <w:t>2</w:t>
            </w:r>
            <w:r>
              <w:rPr>
                <w:rFonts w:hint="default" w:ascii="Times New Roman" w:hAnsi="Times New Roman" w:cs="Times New Roman"/>
                <w:w w:val="95"/>
                <w:sz w:val="21"/>
                <w:szCs w:val="21"/>
                <w:highlight w:val="none"/>
              </w:rPr>
              <w:t>、</w:t>
            </w:r>
            <w:r>
              <w:rPr>
                <w:rFonts w:hint="default" w:ascii="Times New Roman" w:hAnsi="Times New Roman" w:eastAsia="Times New Roman" w:cs="Times New Roman"/>
                <w:w w:val="95"/>
                <w:sz w:val="21"/>
                <w:szCs w:val="21"/>
                <w:highlight w:val="none"/>
              </w:rPr>
              <w:t>PM</w:t>
            </w:r>
            <w:r>
              <w:rPr>
                <w:rFonts w:hint="default" w:ascii="Times New Roman" w:hAnsi="Times New Roman" w:eastAsia="Times New Roman" w:cs="Times New Roman"/>
                <w:w w:val="95"/>
                <w:sz w:val="21"/>
                <w:szCs w:val="21"/>
                <w:highlight w:val="none"/>
                <w:vertAlign w:val="subscript"/>
              </w:rPr>
              <w:t>10</w:t>
            </w:r>
            <w:r>
              <w:rPr>
                <w:rFonts w:hint="default" w:ascii="Times New Roman" w:hAnsi="Times New Roman" w:cs="Times New Roman"/>
                <w:w w:val="95"/>
                <w:sz w:val="21"/>
                <w:szCs w:val="21"/>
                <w:highlight w:val="none"/>
              </w:rPr>
              <w:t>、</w:t>
            </w:r>
            <w:r>
              <w:rPr>
                <w:rFonts w:hint="default" w:ascii="Times New Roman" w:hAnsi="Times New Roman" w:eastAsia="Times New Roman" w:cs="Times New Roman"/>
                <w:w w:val="95"/>
                <w:sz w:val="21"/>
                <w:szCs w:val="21"/>
                <w:highlight w:val="none"/>
              </w:rPr>
              <w:t>PM</w:t>
            </w:r>
            <w:r>
              <w:rPr>
                <w:rFonts w:hint="default" w:ascii="Times New Roman" w:hAnsi="Times New Roman" w:eastAsia="Times New Roman" w:cs="Times New Roman"/>
                <w:w w:val="95"/>
                <w:sz w:val="21"/>
                <w:szCs w:val="21"/>
                <w:highlight w:val="none"/>
                <w:vertAlign w:val="subscript"/>
              </w:rPr>
              <w:t>2.5</w:t>
            </w:r>
            <w:r>
              <w:rPr>
                <w:rFonts w:hint="default" w:ascii="Times New Roman" w:hAnsi="Times New Roman" w:cs="Times New Roman"/>
                <w:w w:val="95"/>
                <w:sz w:val="21"/>
                <w:szCs w:val="21"/>
                <w:highlight w:val="none"/>
              </w:rPr>
              <w:t>、</w:t>
            </w:r>
            <w:r>
              <w:rPr>
                <w:rFonts w:hint="default" w:ascii="Times New Roman" w:hAnsi="Times New Roman" w:eastAsia="Times New Roman" w:cs="Times New Roman"/>
                <w:w w:val="95"/>
                <w:sz w:val="21"/>
                <w:szCs w:val="21"/>
                <w:highlight w:val="none"/>
              </w:rPr>
              <w:t>O</w:t>
            </w:r>
            <w:r>
              <w:rPr>
                <w:rFonts w:hint="default" w:ascii="Times New Roman" w:hAnsi="Times New Roman" w:eastAsia="Times New Roman" w:cs="Times New Roman"/>
                <w:w w:val="95"/>
                <w:sz w:val="21"/>
                <w:szCs w:val="21"/>
                <w:highlight w:val="none"/>
                <w:vertAlign w:val="subscript"/>
              </w:rPr>
              <w:t>3</w:t>
            </w:r>
            <w:r>
              <w:rPr>
                <w:rFonts w:hint="default" w:ascii="Times New Roman" w:hAnsi="Times New Roman" w:cs="Times New Roman"/>
                <w:w w:val="95"/>
                <w:sz w:val="21"/>
                <w:szCs w:val="21"/>
                <w:highlight w:val="none"/>
              </w:rPr>
              <w:t>、</w:t>
            </w:r>
            <w:r>
              <w:rPr>
                <w:rFonts w:hint="default" w:ascii="Times New Roman" w:hAnsi="Times New Roman" w:eastAsia="Times New Roman" w:cs="Times New Roman"/>
                <w:w w:val="95"/>
                <w:sz w:val="21"/>
                <w:szCs w:val="21"/>
                <w:highlight w:val="none"/>
              </w:rPr>
              <w:t>CO</w:t>
            </w:r>
            <w:r>
              <w:rPr>
                <w:rFonts w:hint="default" w:ascii="Times New Roman" w:hAnsi="Times New Roman" w:cs="Times New Roman"/>
                <w:w w:val="95"/>
                <w:sz w:val="21"/>
                <w:szCs w:val="21"/>
                <w:highlight w:val="none"/>
              </w:rPr>
              <w:t>、</w:t>
            </w:r>
            <w:r>
              <w:rPr>
                <w:rFonts w:hint="default" w:ascii="Times New Roman" w:hAnsi="Times New Roman" w:cs="Times New Roman"/>
                <w:sz w:val="21"/>
                <w:szCs w:val="21"/>
                <w:highlight w:val="none"/>
              </w:rPr>
              <w:t>硫化氢、氨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Mar>
              <w:left w:w="0" w:type="dxa"/>
              <w:right w:w="0" w:type="dxa"/>
            </w:tcMar>
            <w:vAlign w:val="center"/>
          </w:tcPr>
          <w:p>
            <w:pPr>
              <w:adjustRightInd w:val="0"/>
              <w:snapToGrid w:val="0"/>
              <w:jc w:val="center"/>
              <w:rPr>
                <w:rFonts w:hint="default" w:ascii="Times New Roman" w:hAnsi="Times New Roman" w:cs="Times New Roman"/>
                <w:sz w:val="21"/>
                <w:szCs w:val="21"/>
                <w:highlight w:val="none"/>
              </w:rPr>
            </w:pP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影响预测及评价</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color w:val="00B0F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tcMar>
              <w:left w:w="0" w:type="dxa"/>
              <w:right w:w="0"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地下水</w:t>
            </w: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污染源评价</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氨氮、溶解性总固体、高锰酸盐指数、总大肠菌群、细菌总数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Mar>
              <w:left w:w="0" w:type="dxa"/>
              <w:right w:w="0" w:type="dxa"/>
            </w:tcMar>
            <w:vAlign w:val="center"/>
          </w:tcPr>
          <w:p>
            <w:pPr>
              <w:adjustRightInd w:val="0"/>
              <w:snapToGrid w:val="0"/>
              <w:jc w:val="center"/>
              <w:rPr>
                <w:rFonts w:hint="default" w:ascii="Times New Roman" w:hAnsi="Times New Roman" w:cs="Times New Roman"/>
                <w:sz w:val="21"/>
                <w:szCs w:val="21"/>
                <w:highlight w:val="none"/>
              </w:rPr>
            </w:pP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现状评价</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napToGrid w:val="0"/>
                <w:sz w:val="21"/>
                <w:szCs w:val="21"/>
                <w:highlight w:val="none"/>
              </w:rPr>
              <w:t>pH、</w:t>
            </w:r>
            <w:r>
              <w:rPr>
                <w:rFonts w:hint="default" w:ascii="Times New Roman" w:hAnsi="Times New Roman" w:cs="Times New Roman"/>
                <w:sz w:val="21"/>
                <w:szCs w:val="21"/>
                <w:highlight w:val="none"/>
              </w:rPr>
              <w:t>六价铬、耗氧量、溶解性总固体、总硬度、氨氮、硝酸盐氮、挥发性酚类、氯化物、硫酸盐、砷、汞、铁、铅</w:t>
            </w:r>
            <w:r>
              <w:rPr>
                <w:rFonts w:hint="default" w:ascii="Times New Roman" w:hAnsi="Times New Roman" w:cs="Times New Roman"/>
                <w:snapToGrid w:val="0"/>
                <w:sz w:val="21"/>
                <w:szCs w:val="21"/>
                <w:highlight w:val="none"/>
              </w:rPr>
              <w:t>、</w:t>
            </w:r>
            <w:r>
              <w:rPr>
                <w:rFonts w:hint="default" w:ascii="Times New Roman" w:hAnsi="Times New Roman" w:cs="Times New Roman"/>
                <w:sz w:val="21"/>
                <w:szCs w:val="21"/>
                <w:highlight w:val="none"/>
              </w:rPr>
              <w:t>K</w:t>
            </w:r>
            <w:r>
              <w:rPr>
                <w:rFonts w:hint="default" w:ascii="Times New Roman" w:hAnsi="Times New Roman" w:cs="Times New Roman"/>
                <w:sz w:val="21"/>
                <w:szCs w:val="21"/>
                <w:highlight w:val="none"/>
                <w:vertAlign w:val="superscript"/>
              </w:rPr>
              <w:t>+</w:t>
            </w:r>
            <w:r>
              <w:rPr>
                <w:rFonts w:hint="default" w:ascii="Times New Roman" w:hAnsi="Times New Roman" w:cs="Times New Roman"/>
                <w:sz w:val="21"/>
                <w:szCs w:val="21"/>
                <w:highlight w:val="none"/>
              </w:rPr>
              <w:t>、Na</w:t>
            </w:r>
            <w:r>
              <w:rPr>
                <w:rFonts w:hint="default" w:ascii="Times New Roman" w:hAnsi="Times New Roman" w:cs="Times New Roman"/>
                <w:sz w:val="21"/>
                <w:szCs w:val="21"/>
                <w:highlight w:val="none"/>
                <w:vertAlign w:val="superscript"/>
              </w:rPr>
              <w:t>+</w:t>
            </w:r>
            <w:r>
              <w:rPr>
                <w:rFonts w:hint="default" w:ascii="Times New Roman" w:hAnsi="Times New Roman" w:cs="Times New Roman"/>
                <w:sz w:val="21"/>
                <w:szCs w:val="21"/>
                <w:highlight w:val="none"/>
              </w:rPr>
              <w:t>、Ca</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、Mg</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、HCO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vertAlign w:val="superscript"/>
              </w:rPr>
              <w:t>-</w:t>
            </w:r>
            <w:r>
              <w:rPr>
                <w:rFonts w:hint="default" w:ascii="Times New Roman" w:hAnsi="Times New Roman" w:cs="Times New Roman"/>
                <w:sz w:val="21"/>
                <w:szCs w:val="21"/>
                <w:highlight w:val="none"/>
              </w:rPr>
              <w:t>、Cl</w:t>
            </w:r>
            <w:r>
              <w:rPr>
                <w:rFonts w:hint="default" w:ascii="Times New Roman" w:hAnsi="Times New Roman" w:cs="Times New Roman"/>
                <w:sz w:val="21"/>
                <w:szCs w:val="21"/>
                <w:highlight w:val="none"/>
                <w:vertAlign w:val="superscript"/>
              </w:rPr>
              <w:t>-</w:t>
            </w: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4</w:t>
            </w:r>
            <w:r>
              <w:rPr>
                <w:rFonts w:hint="default" w:ascii="Times New Roman" w:hAnsi="Times New Roman" w:cs="Times New Roman"/>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Mar>
              <w:left w:w="0" w:type="dxa"/>
              <w:right w:w="0" w:type="dxa"/>
            </w:tcMar>
            <w:vAlign w:val="center"/>
          </w:tcPr>
          <w:p>
            <w:pPr>
              <w:adjustRightInd w:val="0"/>
              <w:snapToGrid w:val="0"/>
              <w:jc w:val="center"/>
              <w:rPr>
                <w:rFonts w:hint="default" w:ascii="Times New Roman" w:hAnsi="Times New Roman" w:cs="Times New Roman"/>
                <w:sz w:val="21"/>
                <w:szCs w:val="21"/>
                <w:highlight w:val="none"/>
              </w:rPr>
            </w:pP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影响分析</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氨氮、溶解性总固体、高锰酸盐指数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声环境</w:t>
            </w: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污染源评价</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A声功率级L</w:t>
            </w:r>
            <w:r>
              <w:rPr>
                <w:rFonts w:hint="default" w:ascii="Times New Roman" w:hAnsi="Times New Roman" w:cs="Times New Roman"/>
                <w:sz w:val="21"/>
                <w:szCs w:val="21"/>
                <w:highlight w:val="none"/>
                <w:vertAlign w:val="sub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vAlign w:val="center"/>
          </w:tcPr>
          <w:p>
            <w:pPr>
              <w:adjustRightInd w:val="0"/>
              <w:snapToGrid w:val="0"/>
              <w:jc w:val="center"/>
              <w:rPr>
                <w:rFonts w:hint="default" w:ascii="Times New Roman" w:hAnsi="Times New Roman" w:cs="Times New Roman"/>
                <w:sz w:val="21"/>
                <w:szCs w:val="21"/>
                <w:highlight w:val="none"/>
              </w:rPr>
            </w:pP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现状评价</w:t>
            </w:r>
          </w:p>
        </w:tc>
        <w:tc>
          <w:tcPr>
            <w:tcW w:w="3168" w:type="pct"/>
            <w:vMerge w:val="restar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连续等效A声级Leq(A)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vAlign w:val="center"/>
          </w:tcPr>
          <w:p>
            <w:pPr>
              <w:adjustRightInd w:val="0"/>
              <w:snapToGrid w:val="0"/>
              <w:jc w:val="center"/>
              <w:rPr>
                <w:rFonts w:hint="default" w:ascii="Times New Roman" w:hAnsi="Times New Roman" w:cs="Times New Roman"/>
                <w:sz w:val="21"/>
                <w:szCs w:val="21"/>
                <w:highlight w:val="none"/>
              </w:rPr>
            </w:pP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影响预测及评价</w:t>
            </w:r>
          </w:p>
        </w:tc>
        <w:tc>
          <w:tcPr>
            <w:tcW w:w="3168" w:type="pct"/>
            <w:vMerge w:val="continue"/>
            <w:vAlign w:val="center"/>
          </w:tcPr>
          <w:p>
            <w:pPr>
              <w:adjustRightInd w:val="0"/>
              <w:snapToGrid w:val="0"/>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土壤环境</w:t>
            </w: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现状评价</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napToGrid w:val="0"/>
                <w:sz w:val="21"/>
                <w:szCs w:val="21"/>
                <w:highlight w:val="none"/>
              </w:rPr>
              <w:t>砷、镉、铬（六价）、铜、铅、汞、镍、四氯化碳、氯仿、氯甲烷、1,1-二氯乙烷、1,2-二氯乙烷、1,1-二氯乙烯、顺-1,2-二氯乙烯、反-1,2-二氯乙烯、二氯甲烷、1,2-二氯丙烷、1,1,1,2-四氯乙烷、1,1,2,2-四氯乙烷、四氯乙烯、1,1,1-三氯乙烷、1,1,2-三氯乙烷、三氯乙烯、1,2,3-三氯丙烷、氯乙烯、笨、氯苯、1,2-二氯苯、1,4-二氯苯、乙苯、苯乙烯、甲苯、间二甲苯+对二甲苯、邻二甲苯、硝基苯、苯胺、2-氯酚、苯并[a]蒽、苯并[a]芘、苯并[b]荧蒽、苯并[k]荧蒽、䓛、二苯并[a, h]蒽、茚并[1,2,3-cd]芘、萘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固体废物</w:t>
            </w: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污染源及影响分析</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猪粪便、病死猪、沼液、沼渣、接种防疫废物、废脱硫剂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环境风险</w:t>
            </w:r>
          </w:p>
        </w:tc>
        <w:tc>
          <w:tcPr>
            <w:tcW w:w="1116" w:type="pct"/>
            <w:tcMar>
              <w:left w:w="57" w:type="dxa"/>
              <w:right w:w="57" w:type="dxa"/>
            </w:tcMar>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影响评价</w:t>
            </w:r>
          </w:p>
        </w:tc>
        <w:tc>
          <w:tcPr>
            <w:tcW w:w="3168" w:type="pct"/>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沼气（甲烷）</w:t>
            </w:r>
          </w:p>
        </w:tc>
      </w:tr>
    </w:tbl>
    <w:p>
      <w:pPr>
        <w:rPr>
          <w:rFonts w:hint="default" w:ascii="Times New Roman" w:hAnsi="Times New Roman" w:eastAsia="黑体" w:cs="Times New Roman"/>
          <w:bCs/>
          <w:sz w:val="28"/>
          <w:szCs w:val="28"/>
          <w:highlight w:val="none"/>
        </w:rPr>
      </w:pPr>
      <w:bookmarkStart w:id="26" w:name="_Toc521334358"/>
      <w:r>
        <w:rPr>
          <w:rFonts w:hint="default" w:ascii="Times New Roman" w:hAnsi="Times New Roman" w:eastAsia="黑体" w:cs="Times New Roman"/>
          <w:bCs/>
          <w:sz w:val="28"/>
          <w:szCs w:val="28"/>
          <w:highlight w:val="none"/>
        </w:rPr>
        <w:br w:type="page"/>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1.2.2评价标准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sz w:val="24"/>
          <w:szCs w:val="24"/>
          <w:highlight w:val="none"/>
        </w:rPr>
      </w:pPr>
      <w:r>
        <w:rPr>
          <w:rFonts w:hint="default" w:ascii="Times New Roman" w:hAnsi="Times New Roman" w:eastAsia="黑体" w:cs="Times New Roman"/>
          <w:b w:val="0"/>
          <w:bCs/>
          <w:sz w:val="24"/>
          <w:szCs w:val="24"/>
          <w:highlight w:val="none"/>
          <w:lang w:eastAsia="zh-CN"/>
        </w:rPr>
        <w:t>（</w:t>
      </w:r>
      <w:r>
        <w:rPr>
          <w:rFonts w:hint="default" w:ascii="Times New Roman" w:hAnsi="Times New Roman" w:eastAsia="黑体" w:cs="Times New Roman"/>
          <w:b w:val="0"/>
          <w:bCs/>
          <w:sz w:val="24"/>
          <w:szCs w:val="24"/>
          <w:highlight w:val="none"/>
          <w:lang w:val="en-US" w:eastAsia="zh-CN"/>
        </w:rPr>
        <w:t>1</w:t>
      </w:r>
      <w:r>
        <w:rPr>
          <w:rFonts w:hint="default" w:ascii="Times New Roman" w:hAnsi="Times New Roman" w:eastAsia="黑体" w:cs="Times New Roman"/>
          <w:b w:val="0"/>
          <w:bCs/>
          <w:sz w:val="24"/>
          <w:szCs w:val="24"/>
          <w:highlight w:val="none"/>
          <w:lang w:eastAsia="zh-CN"/>
        </w:rPr>
        <w:t>）</w:t>
      </w:r>
      <w:r>
        <w:rPr>
          <w:rFonts w:hint="default" w:ascii="Times New Roman" w:hAnsi="Times New Roman" w:eastAsia="黑体" w:cs="Times New Roman"/>
          <w:b w:val="0"/>
          <w:bCs/>
          <w:sz w:val="24"/>
          <w:szCs w:val="24"/>
          <w:highlight w:val="none"/>
        </w:rPr>
        <w:t>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①环境空气常规因子执行《环境空气质量标准》（GB3095-2012）中二级标准，氨、硫化氢执行《</w:t>
      </w:r>
      <w:r>
        <w:rPr>
          <w:rFonts w:hint="eastAsia" w:ascii="Times New Roman" w:hAnsi="Times New Roman" w:cs="Times New Roman"/>
          <w:sz w:val="24"/>
          <w:szCs w:val="24"/>
          <w:highlight w:val="none"/>
          <w:lang w:val="en-US" w:eastAsia="zh-CN"/>
        </w:rPr>
        <w:t>环境影响评价技术导则 大气环境</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HJ2.2-2018</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附录D；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②声环境执行《声环境质量标准》（GB3096—2008）中 1 类功能区标准；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③地下水执行《地下水质量标准》（GB/T14848-2017）中Ⅲ类标准；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④地表水执行《地表水环境质量标准》（GB3838-2002）中Ⅲ类标准；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⑤土壤环境执行《土壤环境质量标准</w:t>
      </w:r>
      <w:r>
        <w:rPr>
          <w:rFonts w:hint="default"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lang w:val="en-US" w:eastAsia="zh-CN"/>
        </w:rPr>
        <w:t>农用</w:t>
      </w:r>
      <w:r>
        <w:rPr>
          <w:rFonts w:hint="default" w:ascii="Times New Roman" w:hAnsi="Times New Roman" w:cs="Times New Roman"/>
          <w:sz w:val="24"/>
          <w:szCs w:val="24"/>
          <w:highlight w:val="none"/>
          <w:lang w:val="en-US" w:eastAsia="zh-CN"/>
        </w:rPr>
        <w:t>地土壤污染风险管控标准</w:t>
      </w:r>
      <w:r>
        <w:rPr>
          <w:rFonts w:hint="default" w:ascii="Times New Roman" w:hAnsi="Times New Roman" w:cs="Times New Roman"/>
          <w:sz w:val="24"/>
          <w:szCs w:val="24"/>
          <w:highlight w:val="none"/>
        </w:rPr>
        <w:t>》（GB</w:t>
      </w:r>
      <w:r>
        <w:rPr>
          <w:rFonts w:hint="eastAsia" w:ascii="Times New Roman" w:hAnsi="Times New Roman" w:cs="Times New Roman"/>
          <w:sz w:val="24"/>
          <w:szCs w:val="24"/>
          <w:highlight w:val="none"/>
          <w:lang w:val="en-US" w:eastAsia="zh-CN"/>
        </w:rPr>
        <w:t>15618</w:t>
      </w:r>
      <w:r>
        <w:rPr>
          <w:rFonts w:hint="default" w:ascii="Times New Roman" w:hAnsi="Times New Roman" w:cs="Times New Roman"/>
          <w:sz w:val="24"/>
          <w:szCs w:val="24"/>
          <w:highlight w:val="none"/>
          <w:lang w:val="en-US" w:eastAsia="zh-CN"/>
        </w:rPr>
        <w:t>-2018</w:t>
      </w:r>
      <w:r>
        <w:rPr>
          <w:rFonts w:hint="default" w:ascii="Times New Roman" w:hAnsi="Times New Roman" w:cs="Times New Roman"/>
          <w:sz w:val="24"/>
          <w:szCs w:val="24"/>
          <w:highlight w:val="none"/>
        </w:rPr>
        <w:t>）中的</w:t>
      </w:r>
      <w:r>
        <w:rPr>
          <w:rFonts w:hint="default" w:ascii="Times New Roman" w:hAnsi="Times New Roman" w:cs="Times New Roman"/>
          <w:sz w:val="24"/>
          <w:szCs w:val="24"/>
          <w:highlight w:val="none"/>
          <w:lang w:val="en-US" w:eastAsia="zh-CN"/>
        </w:rPr>
        <w:t>筛选值</w:t>
      </w:r>
      <w:r>
        <w:rPr>
          <w:rFonts w:hint="default" w:ascii="Times New Roman" w:hAnsi="Times New Roman"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sz w:val="24"/>
          <w:szCs w:val="24"/>
          <w:highlight w:val="none"/>
        </w:rPr>
      </w:pPr>
      <w:r>
        <w:rPr>
          <w:rFonts w:hint="default" w:ascii="Times New Roman" w:hAnsi="Times New Roman" w:eastAsia="黑体" w:cs="Times New Roman"/>
          <w:b w:val="0"/>
          <w:bCs/>
          <w:sz w:val="24"/>
          <w:szCs w:val="24"/>
          <w:highlight w:val="none"/>
          <w:lang w:eastAsia="zh-CN"/>
        </w:rPr>
        <w:t>（</w:t>
      </w:r>
      <w:r>
        <w:rPr>
          <w:rFonts w:hint="default" w:ascii="Times New Roman" w:hAnsi="Times New Roman" w:eastAsia="黑体" w:cs="Times New Roman"/>
          <w:b w:val="0"/>
          <w:bCs/>
          <w:sz w:val="24"/>
          <w:szCs w:val="24"/>
          <w:highlight w:val="none"/>
          <w:lang w:val="en-US" w:eastAsia="zh-CN"/>
        </w:rPr>
        <w:t>2</w:t>
      </w:r>
      <w:r>
        <w:rPr>
          <w:rFonts w:hint="default" w:ascii="Times New Roman" w:hAnsi="Times New Roman" w:eastAsia="黑体" w:cs="Times New Roman"/>
          <w:b w:val="0"/>
          <w:bCs/>
          <w:sz w:val="24"/>
          <w:szCs w:val="24"/>
          <w:highlight w:val="none"/>
          <w:lang w:eastAsia="zh-CN"/>
        </w:rPr>
        <w:t>）</w:t>
      </w:r>
      <w:r>
        <w:rPr>
          <w:rFonts w:hint="default" w:ascii="Times New Roman" w:hAnsi="Times New Roman" w:eastAsia="黑体" w:cs="Times New Roman"/>
          <w:b w:val="0"/>
          <w:bCs/>
          <w:sz w:val="24"/>
          <w:szCs w:val="24"/>
          <w:highlight w:val="none"/>
        </w:rPr>
        <w:t>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①施工期粉尘排放执行《大气污染物综合排放标准》（GB16297-1996）表 2新污染源颗粒物无组织排放监控浓度限值；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②营运期厂界颗粒物执行《大气污染物综合排放标准》（GB16297-1996）表 2 颗粒物无组织排放限值；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③营运期恶臭气体氨、硫化氢排放标准执行《恶臭污染物排放标准》（GB14554-93）表 1 恶臭污染物厂界标准值中二级新改扩建标准；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④营运期臭气浓度执行《畜禽养殖业污染物排放标准》（GB18596－2001）表7</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集约化畜禽养殖业恶臭污染物排放标准要求；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⑤营运期沼气发电机废气</w:t>
      </w:r>
      <w:r>
        <w:rPr>
          <w:rFonts w:hint="eastAsia" w:ascii="Times New Roman" w:hAnsi="Times New Roman" w:cs="Times New Roman"/>
          <w:sz w:val="24"/>
          <w:szCs w:val="24"/>
          <w:highlight w:val="none"/>
          <w:lang w:eastAsia="zh-CN"/>
        </w:rPr>
        <w:t>、饲料加工废气</w:t>
      </w:r>
      <w:r>
        <w:rPr>
          <w:rFonts w:hint="default" w:ascii="Times New Roman" w:hAnsi="Times New Roman" w:cs="Times New Roman"/>
          <w:sz w:val="24"/>
          <w:szCs w:val="24"/>
          <w:highlight w:val="none"/>
        </w:rPr>
        <w:t>执行《大气污染物综合排放标准》（GB16297-1996）表 2 颗粒物、二氧化硫、氮氧化物二级排放限值；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bookmarkStart w:id="27" w:name="page19"/>
      <w:bookmarkEnd w:id="27"/>
      <w:r>
        <w:rPr>
          <w:rFonts w:hint="default" w:ascii="Times New Roman" w:hAnsi="Times New Roman" w:cs="Times New Roman"/>
          <w:sz w:val="24"/>
          <w:szCs w:val="24"/>
          <w:highlight w:val="none"/>
        </w:rPr>
        <w:t>⑥施工噪声执行《建筑施工场界环境噪声排放标准》（GB12523-2011）相关标准；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⑦营运期项目场界环境噪声排放执行《工业企业厂界环境噪声排放标准》（GB12348-2008）中 1 类功能区标准；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⑧运营期食堂油烟废气执行《饮食业油烟排放标准》（GB18483-2001）小型餐饮企业要求；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⑨</w:t>
      </w:r>
      <w:r>
        <w:rPr>
          <w:rFonts w:hint="eastAsia" w:ascii="Times New Roman" w:hAnsi="Times New Roman" w:cs="Times New Roman"/>
          <w:sz w:val="24"/>
          <w:szCs w:val="24"/>
          <w:highlight w:val="none"/>
          <w:lang w:eastAsia="zh-CN"/>
        </w:rPr>
        <w:t>沼气</w:t>
      </w:r>
      <w:r>
        <w:rPr>
          <w:rFonts w:hint="default" w:ascii="Times New Roman" w:hAnsi="Times New Roman" w:cs="Times New Roman"/>
          <w:sz w:val="24"/>
          <w:szCs w:val="24"/>
          <w:highlight w:val="none"/>
        </w:rPr>
        <w:t>蒸汽锅炉燃烧废气执行《锅炉大气污染物排放标准》（DB13/5161-2020）和《关于开展燃气锅炉氮氧化物治理工作的通知》中的要求；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sz w:val="24"/>
          <w:szCs w:val="24"/>
          <w:highlight w:val="none"/>
          <w:lang w:eastAsia="zh-CN"/>
        </w:rPr>
      </w:pPr>
      <w:r>
        <w:rPr>
          <w:rFonts w:hint="default" w:ascii="Times New Roman" w:hAnsi="Times New Roman" w:eastAsia="黑体" w:cs="Times New Roman"/>
          <w:b w:val="0"/>
          <w:bCs/>
          <w:sz w:val="24"/>
          <w:szCs w:val="24"/>
          <w:highlight w:val="none"/>
          <w:lang w:eastAsia="zh-CN"/>
        </w:rPr>
        <w:t>（</w:t>
      </w:r>
      <w:r>
        <w:rPr>
          <w:rFonts w:hint="default" w:ascii="Times New Roman" w:hAnsi="Times New Roman" w:eastAsia="黑体" w:cs="Times New Roman"/>
          <w:b w:val="0"/>
          <w:bCs/>
          <w:sz w:val="24"/>
          <w:szCs w:val="24"/>
          <w:highlight w:val="none"/>
          <w:lang w:val="en-US" w:eastAsia="zh-CN"/>
        </w:rPr>
        <w:t>3</w:t>
      </w:r>
      <w:r>
        <w:rPr>
          <w:rFonts w:hint="default" w:ascii="Times New Roman" w:hAnsi="Times New Roman" w:eastAsia="黑体" w:cs="Times New Roman"/>
          <w:b w:val="0"/>
          <w:bCs/>
          <w:sz w:val="24"/>
          <w:szCs w:val="24"/>
          <w:highlight w:val="none"/>
          <w:lang w:eastAsia="zh-CN"/>
        </w:rPr>
        <w:t>）其他标准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①经无害化处理后作农肥的</w:t>
      </w:r>
      <w:r>
        <w:rPr>
          <w:rFonts w:hint="default" w:ascii="Times New Roman" w:hAnsi="Times New Roman" w:cs="Times New Roman"/>
          <w:sz w:val="24"/>
          <w:szCs w:val="24"/>
          <w:highlight w:val="green"/>
        </w:rPr>
        <w:t>粪便、沼渣、沼液</w:t>
      </w:r>
      <w:r>
        <w:rPr>
          <w:rFonts w:hint="default" w:ascii="Times New Roman" w:hAnsi="Times New Roman" w:cs="Times New Roman"/>
          <w:sz w:val="24"/>
          <w:szCs w:val="24"/>
          <w:highlight w:val="none"/>
        </w:rPr>
        <w:t>执行《畜禽养殖业污染物排放标准》（GB18596－2001）表 6 畜禽养殖业废渣无害化环境标准及《粪便无害化卫生要求》（GB7959-2012）标准要求；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②病死猪处置满足《畜禽养殖业污染防治技术规范》（HJ/T81-2001）要求。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highlight w:val="none"/>
          <w:lang w:eastAsia="zh-CN"/>
        </w:rPr>
      </w:pPr>
      <w:r>
        <w:rPr>
          <w:rFonts w:hint="default" w:ascii="Times New Roman" w:hAnsi="Times New Roman" w:cs="Times New Roman"/>
          <w:sz w:val="24"/>
          <w:szCs w:val="24"/>
          <w:highlight w:val="none"/>
        </w:rPr>
        <w:t>③</w:t>
      </w:r>
      <w:r>
        <w:rPr>
          <w:rFonts w:hint="eastAsia" w:ascii="Times New Roman" w:hAnsi="Times New Roman" w:cs="Times New Roman"/>
          <w:sz w:val="24"/>
          <w:szCs w:val="24"/>
          <w:highlight w:val="none"/>
          <w:lang w:val="en-US" w:eastAsia="zh-CN"/>
        </w:rPr>
        <w:t>废脱硫剂</w:t>
      </w:r>
      <w:r>
        <w:rPr>
          <w:rFonts w:hint="default" w:ascii="Times New Roman" w:hAnsi="Times New Roman" w:cs="Times New Roman"/>
          <w:sz w:val="24"/>
          <w:szCs w:val="24"/>
          <w:highlight w:val="none"/>
        </w:rPr>
        <w:t>临时贮存执行《一般工业固体废物贮存、处置场污染控制标准》（GB18599-2001）及其修改单的公告（2013年36号）；《危险废物贮存污染控制标准》（GB18599-2001）及 2013 年修改单要求</w:t>
      </w:r>
      <w:r>
        <w:rPr>
          <w:rFonts w:hint="eastAsia" w:ascii="Times New Roman" w:hAnsi="Times New Roman"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具体标准限值见表 1-3、表 1-4。</w:t>
      </w:r>
    </w:p>
    <w:p>
      <w:pPr>
        <w:keepNext w:val="0"/>
        <w:keepLines w:val="0"/>
        <w:pageBreakBefore w:val="0"/>
        <w:widowControl w:val="0"/>
        <w:tabs>
          <w:tab w:val="left" w:pos="200"/>
        </w:tabs>
        <w:kinsoku/>
        <w:wordWrap/>
        <w:overflowPunct/>
        <w:topLinePunct w:val="0"/>
        <w:autoSpaceDE/>
        <w:autoSpaceDN/>
        <w:bidi w:val="0"/>
        <w:adjustRightInd/>
        <w:snapToGrid/>
        <w:spacing w:line="360" w:lineRule="auto"/>
        <w:ind w:right="4" w:firstLine="482" w:firstLineChars="200"/>
        <w:jc w:val="left"/>
        <w:textAlignment w:val="auto"/>
        <w:rPr>
          <w:rFonts w:hint="default" w:ascii="Times New Roman" w:hAnsi="Times New Roman" w:cs="Times New Roman"/>
          <w:b/>
          <w:bCs/>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eastAsia="zh-CN"/>
        </w:rPr>
      </w:pPr>
      <w:r>
        <w:rPr>
          <w:rFonts w:hint="default" w:ascii="Times New Roman" w:hAnsi="Times New Roman" w:eastAsia="黑体" w:cs="Times New Roman"/>
          <w:sz w:val="24"/>
          <w:highlight w:val="none"/>
        </w:rPr>
        <w:t>表 1-3</w:t>
      </w:r>
      <w:r>
        <w:rPr>
          <w:rFonts w:hint="default" w:ascii="Times New Roman" w:hAnsi="Times New Roman" w:eastAsia="黑体" w:cs="Times New Roman"/>
          <w:sz w:val="24"/>
          <w:highlight w:val="none"/>
          <w:lang w:val="en-US" w:eastAsia="zh-CN"/>
        </w:rPr>
        <w:t>-1</w:t>
      </w:r>
      <w:r>
        <w:rPr>
          <w:rFonts w:hint="default" w:ascii="Times New Roman" w:hAnsi="Times New Roman" w:eastAsia="黑体" w:cs="Times New Roman"/>
          <w:sz w:val="24"/>
          <w:highlight w:val="none"/>
        </w:rPr>
        <w:tab/>
      </w:r>
      <w:r>
        <w:rPr>
          <w:rFonts w:hint="default" w:ascii="Times New Roman" w:hAnsi="Times New Roman" w:eastAsia="黑体" w:cs="Times New Roman"/>
          <w:sz w:val="24"/>
          <w:highlight w:val="none"/>
        </w:rPr>
        <w:t>环境质量标准</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2"/>
        <w:gridCol w:w="3573"/>
        <w:gridCol w:w="1626"/>
        <w:gridCol w:w="2283"/>
        <w:gridCol w:w="1257"/>
        <w:gridCol w:w="1640"/>
        <w:gridCol w:w="1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54" w:type="pct"/>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环境要素</w:t>
            </w:r>
          </w:p>
        </w:tc>
        <w:tc>
          <w:tcPr>
            <w:tcW w:w="1327" w:type="pct"/>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标准名称</w:t>
            </w:r>
          </w:p>
        </w:tc>
        <w:tc>
          <w:tcPr>
            <w:tcW w:w="604" w:type="pct"/>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污染物</w:t>
            </w:r>
          </w:p>
        </w:tc>
        <w:tc>
          <w:tcPr>
            <w:tcW w:w="848" w:type="pct"/>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取值时间</w:t>
            </w:r>
          </w:p>
        </w:tc>
        <w:tc>
          <w:tcPr>
            <w:tcW w:w="1664" w:type="pct"/>
            <w:gridSpan w:val="3"/>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54" w:type="pct"/>
            <w:vMerge w:val="continue"/>
            <w:shd w:val="clear" w:color="auto" w:fill="auto"/>
            <w:vAlign w:val="center"/>
          </w:tcPr>
          <w:p>
            <w:pPr>
              <w:jc w:val="center"/>
              <w:rPr>
                <w:rFonts w:hint="default" w:ascii="Times New Roman" w:hAnsi="Times New Roman" w:cs="Times New Roman"/>
                <w:b/>
                <w:bCs/>
                <w:szCs w:val="21"/>
                <w:highlight w:val="none"/>
              </w:rPr>
            </w:pPr>
          </w:p>
        </w:tc>
        <w:tc>
          <w:tcPr>
            <w:tcW w:w="1327" w:type="pct"/>
            <w:vMerge w:val="continue"/>
            <w:shd w:val="clear" w:color="auto" w:fill="auto"/>
            <w:vAlign w:val="center"/>
          </w:tcPr>
          <w:p>
            <w:pPr>
              <w:jc w:val="center"/>
              <w:rPr>
                <w:rFonts w:hint="default" w:ascii="Times New Roman" w:hAnsi="Times New Roman" w:cs="Times New Roman"/>
                <w:b/>
                <w:bCs/>
                <w:szCs w:val="21"/>
                <w:highlight w:val="none"/>
              </w:rPr>
            </w:pPr>
          </w:p>
        </w:tc>
        <w:tc>
          <w:tcPr>
            <w:tcW w:w="604" w:type="pct"/>
            <w:vMerge w:val="continue"/>
            <w:shd w:val="clear" w:color="auto" w:fill="auto"/>
            <w:vAlign w:val="center"/>
          </w:tcPr>
          <w:p>
            <w:pPr>
              <w:jc w:val="center"/>
              <w:rPr>
                <w:rFonts w:hint="default" w:ascii="Times New Roman" w:hAnsi="Times New Roman" w:cs="Times New Roman"/>
                <w:b/>
                <w:bCs/>
                <w:szCs w:val="21"/>
                <w:highlight w:val="none"/>
              </w:rPr>
            </w:pPr>
          </w:p>
        </w:tc>
        <w:tc>
          <w:tcPr>
            <w:tcW w:w="848" w:type="pct"/>
            <w:vMerge w:val="continue"/>
            <w:shd w:val="clear" w:color="auto" w:fill="auto"/>
            <w:vAlign w:val="center"/>
          </w:tcPr>
          <w:p>
            <w:pPr>
              <w:jc w:val="center"/>
              <w:rPr>
                <w:rFonts w:hint="default" w:ascii="Times New Roman" w:hAnsi="Times New Roman" w:cs="Times New Roman"/>
                <w:b/>
                <w:bCs/>
                <w:szCs w:val="21"/>
                <w:highlight w:val="none"/>
              </w:rPr>
            </w:pPr>
          </w:p>
        </w:tc>
        <w:tc>
          <w:tcPr>
            <w:tcW w:w="467"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级别</w:t>
            </w:r>
          </w:p>
        </w:tc>
        <w:tc>
          <w:tcPr>
            <w:tcW w:w="609"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浓度</w:t>
            </w:r>
          </w:p>
        </w:tc>
        <w:tc>
          <w:tcPr>
            <w:tcW w:w="588"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环境空气</w:t>
            </w:r>
          </w:p>
        </w:tc>
        <w:tc>
          <w:tcPr>
            <w:tcW w:w="1327"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《环境空气质量标准》（GB3095-2012）</w:t>
            </w:r>
          </w:p>
        </w:tc>
        <w:tc>
          <w:tcPr>
            <w:tcW w:w="60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93"/>
                <w:szCs w:val="21"/>
                <w:highlight w:val="none"/>
              </w:rPr>
              <w:t>SO</w:t>
            </w:r>
            <w:r>
              <w:rPr>
                <w:rFonts w:hint="default" w:ascii="Times New Roman" w:hAnsi="Times New Roman" w:cs="Times New Roman"/>
                <w:w w:val="93"/>
                <w:szCs w:val="21"/>
                <w:highlight w:val="none"/>
                <w:vertAlign w:val="subscript"/>
              </w:rPr>
              <w:t>2</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日平均</w:t>
            </w:r>
          </w:p>
        </w:tc>
        <w:tc>
          <w:tcPr>
            <w:tcW w:w="467"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二级</w:t>
            </w: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150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vMerge w:val="continue"/>
            <w:shd w:val="clear" w:color="auto" w:fill="auto"/>
            <w:vAlign w:val="center"/>
          </w:tcPr>
          <w:p>
            <w:pPr>
              <w:jc w:val="center"/>
              <w:rPr>
                <w:rFonts w:hint="default" w:ascii="Times New Roman" w:hAnsi="Times New Roman" w:cs="Times New Roman"/>
                <w:w w:val="93"/>
                <w:szCs w:val="21"/>
                <w:highlight w:val="none"/>
              </w:rPr>
            </w:pP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1小时平均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500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93"/>
                <w:szCs w:val="21"/>
                <w:highlight w:val="none"/>
              </w:rPr>
              <w:t>PM</w:t>
            </w:r>
            <w:r>
              <w:rPr>
                <w:rFonts w:hint="default" w:ascii="Times New Roman" w:hAnsi="Times New Roman" w:cs="Times New Roman"/>
                <w:w w:val="93"/>
                <w:szCs w:val="21"/>
                <w:highlight w:val="none"/>
                <w:vertAlign w:val="subscript"/>
              </w:rPr>
              <w:t>10</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日平均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150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95"/>
                <w:szCs w:val="21"/>
                <w:highlight w:val="none"/>
              </w:rPr>
              <w:t>NO</w:t>
            </w:r>
            <w:r>
              <w:rPr>
                <w:rFonts w:hint="default" w:ascii="Times New Roman" w:hAnsi="Times New Roman" w:cs="Times New Roman"/>
                <w:w w:val="95"/>
                <w:szCs w:val="21"/>
                <w:highlight w:val="none"/>
                <w:vertAlign w:val="subscript"/>
              </w:rPr>
              <w:t>2</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日平均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80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vMerge w:val="continue"/>
            <w:shd w:val="clear" w:color="auto" w:fill="auto"/>
            <w:vAlign w:val="center"/>
          </w:tcPr>
          <w:p>
            <w:pPr>
              <w:jc w:val="center"/>
              <w:rPr>
                <w:rFonts w:hint="default" w:ascii="Times New Roman" w:hAnsi="Times New Roman" w:cs="Times New Roman"/>
                <w:w w:val="95"/>
                <w:szCs w:val="21"/>
                <w:highlight w:val="none"/>
              </w:rPr>
            </w:pP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1小时平均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200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PM</w:t>
            </w:r>
            <w:r>
              <w:rPr>
                <w:rFonts w:hint="default" w:ascii="Times New Roman" w:hAnsi="Times New Roman" w:cs="Times New Roman"/>
                <w:szCs w:val="21"/>
                <w:highlight w:val="none"/>
                <w:vertAlign w:val="subscript"/>
              </w:rPr>
              <w:t>2.5</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24小时平均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75</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95"/>
                <w:szCs w:val="21"/>
                <w:highlight w:val="none"/>
              </w:rPr>
              <w:t>CO</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24小时平均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vMerge w:val="continue"/>
            <w:shd w:val="clear" w:color="auto" w:fill="auto"/>
            <w:vAlign w:val="center"/>
          </w:tcPr>
          <w:p>
            <w:pPr>
              <w:jc w:val="center"/>
              <w:rPr>
                <w:rFonts w:hint="default" w:ascii="Times New Roman" w:hAnsi="Times New Roman" w:cs="Times New Roman"/>
                <w:w w:val="95"/>
                <w:szCs w:val="21"/>
                <w:highlight w:val="none"/>
              </w:rPr>
            </w:pP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1小时平均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89"/>
                <w:szCs w:val="21"/>
                <w:highlight w:val="none"/>
              </w:rPr>
              <w:t>O</w:t>
            </w:r>
            <w:r>
              <w:rPr>
                <w:rFonts w:hint="default" w:ascii="Times New Roman" w:hAnsi="Times New Roman" w:cs="Times New Roman"/>
                <w:w w:val="89"/>
                <w:szCs w:val="21"/>
                <w:highlight w:val="none"/>
                <w:vertAlign w:val="subscript"/>
              </w:rPr>
              <w:t>3</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日最大 8 小时平均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160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vMerge w:val="continue"/>
            <w:shd w:val="clear" w:color="auto" w:fill="auto"/>
            <w:vAlign w:val="center"/>
          </w:tcPr>
          <w:p>
            <w:pPr>
              <w:jc w:val="center"/>
              <w:rPr>
                <w:rFonts w:hint="default" w:ascii="Times New Roman" w:hAnsi="Times New Roman" w:cs="Times New Roman"/>
                <w:w w:val="89"/>
                <w:szCs w:val="21"/>
                <w:highlight w:val="none"/>
              </w:rPr>
            </w:pPr>
          </w:p>
        </w:tc>
        <w:tc>
          <w:tcPr>
            <w:tcW w:w="848" w:type="pct"/>
            <w:shd w:val="clear" w:color="auto" w:fill="auto"/>
            <w:vAlign w:val="center"/>
          </w:tcPr>
          <w:p>
            <w:pPr>
              <w:jc w:val="center"/>
              <w:rPr>
                <w:rFonts w:hint="default" w:ascii="Times New Roman" w:hAnsi="Times New Roman" w:cs="Times New Roman"/>
                <w:w w:val="98"/>
                <w:szCs w:val="21"/>
                <w:highlight w:val="none"/>
              </w:rPr>
            </w:pPr>
            <w:r>
              <w:rPr>
                <w:rFonts w:hint="default" w:ascii="Times New Roman" w:hAnsi="Times New Roman" w:cs="Times New Roman"/>
                <w:szCs w:val="21"/>
                <w:highlight w:val="none"/>
              </w:rPr>
              <w:t>1 小时平均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200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vMerge w:val="restart"/>
            <w:shd w:val="clear" w:color="auto" w:fill="auto"/>
            <w:vAlign w:val="center"/>
          </w:tcPr>
          <w:p>
            <w:pPr>
              <w:jc w:val="center"/>
              <w:rPr>
                <w:rFonts w:hint="default" w:ascii="Times New Roman" w:hAnsi="Times New Roman" w:eastAsia="宋体" w:cs="Times New Roman"/>
                <w:w w:val="89"/>
                <w:szCs w:val="21"/>
                <w:highlight w:val="none"/>
                <w:lang w:val="en-US" w:eastAsia="zh-CN"/>
              </w:rPr>
            </w:pPr>
            <w:r>
              <w:rPr>
                <w:rFonts w:hint="eastAsia" w:ascii="Times New Roman" w:hAnsi="Times New Roman" w:cs="Times New Roman"/>
                <w:w w:val="89"/>
                <w:szCs w:val="21"/>
                <w:highlight w:val="none"/>
                <w:lang w:val="en-US" w:eastAsia="zh-CN"/>
              </w:rPr>
              <w:t>TSP</w:t>
            </w:r>
          </w:p>
        </w:tc>
        <w:tc>
          <w:tcPr>
            <w:tcW w:w="848"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年平均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200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vMerge w:val="continue"/>
            <w:shd w:val="clear" w:color="auto" w:fill="auto"/>
            <w:vAlign w:val="center"/>
          </w:tcPr>
          <w:p>
            <w:pPr>
              <w:jc w:val="center"/>
              <w:rPr>
                <w:rFonts w:hint="default" w:ascii="Times New Roman" w:hAnsi="Times New Roman" w:cs="Times New Roman"/>
                <w:w w:val="89"/>
                <w:szCs w:val="21"/>
                <w:highlight w:val="none"/>
              </w:rPr>
            </w:pPr>
          </w:p>
        </w:tc>
        <w:tc>
          <w:tcPr>
            <w:tcW w:w="848"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24小时平均</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300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《环境影响评价技术导则大气环境》（HJ2.2-2018）附录D</w:t>
            </w: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氨</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1小时平均</w:t>
            </w:r>
          </w:p>
        </w:tc>
        <w:tc>
          <w:tcPr>
            <w:tcW w:w="46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200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硫化氢</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1小时平均</w:t>
            </w:r>
          </w:p>
        </w:tc>
        <w:tc>
          <w:tcPr>
            <w:tcW w:w="46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μg/m³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声环境</w:t>
            </w:r>
          </w:p>
        </w:tc>
        <w:tc>
          <w:tcPr>
            <w:tcW w:w="1327"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《声环境质量标准》（GB3096—2008）</w:t>
            </w:r>
          </w:p>
        </w:tc>
        <w:tc>
          <w:tcPr>
            <w:tcW w:w="60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等效声级</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昼间</w:t>
            </w:r>
          </w:p>
        </w:tc>
        <w:tc>
          <w:tcPr>
            <w:tcW w:w="467"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1类</w:t>
            </w: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vMerge w:val="continue"/>
            <w:shd w:val="clear" w:color="auto" w:fill="auto"/>
            <w:vAlign w:val="center"/>
          </w:tcPr>
          <w:p>
            <w:pPr>
              <w:jc w:val="center"/>
              <w:rPr>
                <w:rFonts w:hint="default" w:ascii="Times New Roman" w:hAnsi="Times New Roman" w:cs="Times New Roman"/>
                <w:szCs w:val="21"/>
                <w:highlight w:val="none"/>
              </w:rPr>
            </w:pP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夜间</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45</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地下水环境</w:t>
            </w:r>
          </w:p>
        </w:tc>
        <w:tc>
          <w:tcPr>
            <w:tcW w:w="1327"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《地下水质量标准》（GB/T14848-2017）</w:t>
            </w: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93"/>
                <w:szCs w:val="21"/>
                <w:highlight w:val="none"/>
              </w:rPr>
              <w:t>pH</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97"/>
                <w:szCs w:val="21"/>
                <w:highlight w:val="none"/>
              </w:rPr>
              <w:t>Ⅲ类标准</w:t>
            </w: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6.5～8.5</w:t>
            </w:r>
          </w:p>
        </w:tc>
        <w:tc>
          <w:tcPr>
            <w:tcW w:w="588"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氨氮</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0.5</w:t>
            </w:r>
          </w:p>
        </w:tc>
        <w:tc>
          <w:tcPr>
            <w:tcW w:w="588"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硝酸盐</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c>
          <w:tcPr>
            <w:tcW w:w="588" w:type="pct"/>
            <w:vMerge w:val="continue"/>
            <w:shd w:val="clear" w:color="auto" w:fill="auto"/>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硫酸盐</w:t>
            </w:r>
          </w:p>
        </w:tc>
        <w:tc>
          <w:tcPr>
            <w:tcW w:w="84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p>
        </w:tc>
        <w:tc>
          <w:tcPr>
            <w:tcW w:w="609"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250</w:t>
            </w:r>
          </w:p>
        </w:tc>
        <w:tc>
          <w:tcPr>
            <w:tcW w:w="588" w:type="pct"/>
            <w:vMerge w:val="continue"/>
            <w:shd w:val="clear" w:color="auto" w:fill="auto"/>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亚硝酸盐</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588" w:type="pct"/>
            <w:vMerge w:val="continue"/>
            <w:shd w:val="clear" w:color="auto" w:fill="auto"/>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总硬度</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450</w:t>
            </w:r>
          </w:p>
        </w:tc>
        <w:tc>
          <w:tcPr>
            <w:tcW w:w="588" w:type="pct"/>
            <w:vMerge w:val="continue"/>
            <w:shd w:val="clear" w:color="auto" w:fill="auto"/>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溶解性</w:t>
            </w:r>
            <w:r>
              <w:rPr>
                <w:rFonts w:hint="eastAsia" w:ascii="Times New Roman" w:hAnsi="Times New Roman" w:cs="Times New Roman"/>
                <w:szCs w:val="21"/>
                <w:highlight w:val="none"/>
                <w:lang w:val="en-US" w:eastAsia="zh-CN"/>
              </w:rPr>
              <w:t>总</w:t>
            </w:r>
            <w:r>
              <w:rPr>
                <w:rFonts w:hint="default" w:ascii="Times New Roman" w:hAnsi="Times New Roman" w:cs="Times New Roman"/>
                <w:szCs w:val="21"/>
                <w:highlight w:val="none"/>
              </w:rPr>
              <w:t>固体</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1000</w:t>
            </w:r>
          </w:p>
        </w:tc>
        <w:tc>
          <w:tcPr>
            <w:tcW w:w="588" w:type="pct"/>
            <w:vMerge w:val="continue"/>
            <w:shd w:val="clear" w:color="auto" w:fill="auto"/>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耗氧量</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w:t>
            </w:r>
          </w:p>
        </w:tc>
        <w:tc>
          <w:tcPr>
            <w:tcW w:w="588" w:type="pct"/>
            <w:vMerge w:val="continue"/>
            <w:shd w:val="clear" w:color="auto" w:fill="auto"/>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氯化物</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250</w:t>
            </w:r>
          </w:p>
        </w:tc>
        <w:tc>
          <w:tcPr>
            <w:tcW w:w="588" w:type="pct"/>
            <w:vMerge w:val="continue"/>
            <w:shd w:val="clear" w:color="auto" w:fill="auto"/>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总大肠菌群</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3.0</w:t>
            </w:r>
          </w:p>
        </w:tc>
        <w:tc>
          <w:tcPr>
            <w:tcW w:w="588" w:type="pct"/>
            <w:shd w:val="clear" w:color="auto" w:fill="auto"/>
            <w:vAlign w:val="center"/>
          </w:tcPr>
          <w:p>
            <w:pPr>
              <w:jc w:val="center"/>
              <w:rPr>
                <w:rFonts w:hint="default" w:ascii="Times New Roman" w:hAnsi="Times New Roman" w:cs="Times New Roman"/>
                <w:szCs w:val="21"/>
                <w:highlight w:val="green"/>
              </w:rPr>
            </w:pPr>
            <w:r>
              <w:rPr>
                <w:rFonts w:hint="eastAsia" w:ascii="Times New Roman" w:hAnsi="Times New Roman" w:cs="Times New Roman"/>
                <w:szCs w:val="21"/>
                <w:highlight w:val="green"/>
                <w:lang w:val="en-US" w:eastAsia="zh-CN"/>
              </w:rPr>
              <w:t>CFU</w:t>
            </w:r>
            <w:r>
              <w:rPr>
                <w:rFonts w:hint="default" w:ascii="Times New Roman" w:hAnsi="Times New Roman" w:cs="Times New Roman"/>
                <w:szCs w:val="21"/>
                <w:highlight w:val="green"/>
              </w:rPr>
              <w:t>/</w:t>
            </w:r>
            <w:r>
              <w:rPr>
                <w:rFonts w:hint="eastAsia" w:ascii="Times New Roman" w:hAnsi="Times New Roman" w:cs="Times New Roman"/>
                <w:szCs w:val="21"/>
                <w:highlight w:val="green"/>
                <w:lang w:val="en-US" w:eastAsia="zh-CN"/>
              </w:rPr>
              <w:t>100m</w:t>
            </w:r>
            <w:r>
              <w:rPr>
                <w:rFonts w:hint="default" w:ascii="Times New Roman" w:hAnsi="Times New Roman" w:cs="Times New Roman"/>
                <w:szCs w:val="21"/>
                <w:highlight w:val="green"/>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细菌总数</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CFU</w:t>
            </w:r>
            <w:r>
              <w:rPr>
                <w:rFonts w:hint="default" w:ascii="Times New Roman" w:hAnsi="Times New Roman" w:cs="Times New Roman"/>
                <w:szCs w:val="21"/>
                <w:highlight w:val="none"/>
              </w:rPr>
              <w: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地表水环境</w:t>
            </w:r>
          </w:p>
        </w:tc>
        <w:tc>
          <w:tcPr>
            <w:tcW w:w="1327"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《地表水环境质量标准》</w:t>
            </w:r>
            <w:r>
              <w:rPr>
                <w:rFonts w:hint="default" w:ascii="Times New Roman" w:hAnsi="Times New Roman" w:cs="Times New Roman"/>
                <w:w w:val="99"/>
                <w:szCs w:val="21"/>
                <w:highlight w:val="none"/>
              </w:rPr>
              <w:t>（GB/3838-2002）</w:t>
            </w: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PH</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97"/>
                <w:szCs w:val="21"/>
                <w:highlight w:val="none"/>
              </w:rPr>
              <w:t>Ⅲ类标准</w:t>
            </w: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6~9</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六价铬</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0.05</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COD</w:t>
            </w:r>
            <w:r>
              <w:rPr>
                <w:rFonts w:hint="eastAsia" w:ascii="Times New Roman" w:hAnsi="Times New Roman" w:cs="Times New Roman"/>
                <w:szCs w:val="21"/>
                <w:highlight w:val="none"/>
                <w:vertAlign w:val="subscript"/>
                <w:lang w:val="en-US" w:eastAsia="zh-CN"/>
              </w:rPr>
              <w:t>cr</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BOD</w:t>
            </w:r>
            <w:r>
              <w:rPr>
                <w:rFonts w:hint="eastAsia" w:ascii="Times New Roman" w:hAnsi="Times New Roman" w:cs="Times New Roman"/>
                <w:szCs w:val="21"/>
                <w:highlight w:val="none"/>
                <w:vertAlign w:val="subscript"/>
                <w:lang w:val="en-US" w:eastAsia="zh-CN"/>
              </w:rPr>
              <w:t>5</w:t>
            </w:r>
          </w:p>
        </w:tc>
        <w:tc>
          <w:tcPr>
            <w:tcW w:w="848"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4.0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氨氮</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总氮</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eastAsia" w:ascii="Times New Roman" w:hAnsi="Times New Roman" w:eastAsia="宋体" w:cs="Times New Roman"/>
                <w:szCs w:val="21"/>
                <w:highlight w:val="none"/>
                <w:lang w:eastAsia="zh-CN"/>
              </w:rPr>
            </w:pPr>
            <w:r>
              <w:rPr>
                <w:rFonts w:hint="default" w:ascii="Times New Roman" w:hAnsi="Times New Roman" w:cs="Times New Roman"/>
                <w:szCs w:val="21"/>
                <w:highlight w:val="none"/>
              </w:rPr>
              <w:t>总磷</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以p计</w:t>
            </w:r>
            <w:r>
              <w:rPr>
                <w:rFonts w:hint="eastAsia" w:ascii="Times New Roman" w:hAnsi="Times New Roman" w:cs="Times New Roman"/>
                <w:szCs w:val="21"/>
                <w:highlight w:val="none"/>
                <w:lang w:eastAsia="zh-CN"/>
              </w:rPr>
              <w:t>）</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0.05</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氟化物</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氰化物</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0.2</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挥发酚</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0.005</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硫化物</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0.2</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砷</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0.05</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汞</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0.0001</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铅</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0.05</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镉</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0.005</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54" w:type="pct"/>
            <w:vMerge w:val="continue"/>
            <w:shd w:val="clear" w:color="auto" w:fill="auto"/>
            <w:vAlign w:val="center"/>
          </w:tcPr>
          <w:p>
            <w:pPr>
              <w:jc w:val="center"/>
              <w:rPr>
                <w:rFonts w:hint="default" w:ascii="Times New Roman" w:hAnsi="Times New Roman" w:cs="Times New Roman"/>
                <w:szCs w:val="21"/>
                <w:highlight w:val="none"/>
              </w:rPr>
            </w:pPr>
          </w:p>
        </w:tc>
        <w:tc>
          <w:tcPr>
            <w:tcW w:w="1327" w:type="pct"/>
            <w:vMerge w:val="continue"/>
            <w:shd w:val="clear" w:color="auto" w:fill="auto"/>
            <w:vAlign w:val="center"/>
          </w:tcPr>
          <w:p>
            <w:pPr>
              <w:jc w:val="center"/>
              <w:rPr>
                <w:rFonts w:hint="default" w:ascii="Times New Roman" w:hAnsi="Times New Roman" w:cs="Times New Roman"/>
                <w:szCs w:val="21"/>
                <w:highlight w:val="none"/>
              </w:rPr>
            </w:pPr>
          </w:p>
        </w:tc>
        <w:tc>
          <w:tcPr>
            <w:tcW w:w="60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粪大肠菌群</w:t>
            </w:r>
          </w:p>
        </w:tc>
        <w:tc>
          <w:tcPr>
            <w:tcW w:w="84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67" w:type="pct"/>
            <w:vMerge w:val="continue"/>
            <w:shd w:val="clear" w:color="auto" w:fill="auto"/>
            <w:vAlign w:val="center"/>
          </w:tcPr>
          <w:p>
            <w:pPr>
              <w:jc w:val="center"/>
              <w:rPr>
                <w:rFonts w:hint="default" w:ascii="Times New Roman" w:hAnsi="Times New Roman" w:cs="Times New Roman"/>
                <w:szCs w:val="21"/>
                <w:highlight w:val="none"/>
              </w:rPr>
            </w:pPr>
          </w:p>
        </w:tc>
        <w:tc>
          <w:tcPr>
            <w:tcW w:w="60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10000</w:t>
            </w:r>
          </w:p>
        </w:tc>
        <w:tc>
          <w:tcPr>
            <w:tcW w:w="58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个/L</w:t>
            </w:r>
          </w:p>
        </w:tc>
      </w:tr>
    </w:tbl>
    <w:p>
      <w:pPr>
        <w:rPr>
          <w:rFonts w:hint="default" w:ascii="Times New Roman" w:hAnsi="Times New Roman" w:eastAsia="黑体" w:cs="Times New Roman"/>
          <w:sz w:val="24"/>
          <w:highlight w:val="none"/>
          <w:lang w:val="en-US"/>
        </w:rPr>
      </w:pPr>
      <w:r>
        <w:rPr>
          <w:rFonts w:hint="default" w:ascii="Times New Roman" w:hAnsi="Times New Roman" w:eastAsia="黑体" w:cs="Times New Roman"/>
          <w:sz w:val="24"/>
          <w:highlight w:val="none"/>
          <w:lang w:val="en-US" w:eastAsia="zh-CN"/>
        </w:rPr>
        <w:br w:type="page"/>
      </w:r>
      <w:r>
        <w:rPr>
          <w:rFonts w:hint="default" w:ascii="Times New Roman" w:hAnsi="Times New Roman" w:eastAsia="黑体" w:cs="Times New Roman"/>
          <w:sz w:val="24"/>
          <w:highlight w:val="none"/>
          <w:lang w:val="en-US" w:eastAsia="zh-CN"/>
        </w:rPr>
        <w:t xml:space="preserve">表1-3-2《土壤环境质量标准 </w:t>
      </w:r>
      <w:r>
        <w:rPr>
          <w:rFonts w:hint="eastAsia" w:ascii="Times New Roman" w:hAnsi="Times New Roman" w:eastAsia="黑体" w:cs="Times New Roman"/>
          <w:sz w:val="24"/>
          <w:highlight w:val="none"/>
          <w:lang w:val="en-US" w:eastAsia="zh-CN"/>
        </w:rPr>
        <w:t>农用</w:t>
      </w:r>
      <w:r>
        <w:rPr>
          <w:rFonts w:hint="default" w:ascii="Times New Roman" w:hAnsi="Times New Roman" w:eastAsia="黑体" w:cs="Times New Roman"/>
          <w:sz w:val="24"/>
          <w:highlight w:val="none"/>
          <w:lang w:val="en-US" w:eastAsia="zh-CN"/>
        </w:rPr>
        <w:t>地土壤污染风险管控标准》（GB</w:t>
      </w:r>
      <w:r>
        <w:rPr>
          <w:rFonts w:hint="eastAsia" w:ascii="Times New Roman" w:hAnsi="Times New Roman" w:eastAsia="黑体" w:cs="Times New Roman"/>
          <w:sz w:val="24"/>
          <w:highlight w:val="none"/>
          <w:lang w:val="en-US" w:eastAsia="zh-CN"/>
        </w:rPr>
        <w:t>15618</w:t>
      </w:r>
      <w:r>
        <w:rPr>
          <w:rFonts w:hint="default" w:ascii="Times New Roman" w:hAnsi="Times New Roman" w:eastAsia="黑体" w:cs="Times New Roman"/>
          <w:sz w:val="24"/>
          <w:highlight w:val="none"/>
          <w:lang w:val="en-US" w:eastAsia="zh-CN"/>
        </w:rPr>
        <w:t>-2018）中的</w:t>
      </w:r>
      <w:r>
        <w:rPr>
          <w:rFonts w:hint="eastAsia" w:ascii="Times New Roman" w:hAnsi="Times New Roman" w:eastAsia="黑体" w:cs="Times New Roman"/>
          <w:sz w:val="24"/>
          <w:highlight w:val="none"/>
          <w:lang w:val="en-US" w:eastAsia="zh-CN"/>
        </w:rPr>
        <w:t>风险</w:t>
      </w:r>
      <w:r>
        <w:rPr>
          <w:rFonts w:hint="default" w:ascii="Times New Roman" w:hAnsi="Times New Roman" w:eastAsia="黑体" w:cs="Times New Roman"/>
          <w:sz w:val="24"/>
          <w:highlight w:val="none"/>
          <w:lang w:val="en-US" w:eastAsia="zh-CN"/>
        </w:rPr>
        <w:t>筛选值</w:t>
      </w:r>
      <w:r>
        <w:rPr>
          <w:rFonts w:hint="eastAsia" w:ascii="Times New Roman" w:hAnsi="Times New Roman" w:eastAsia="黑体" w:cs="Times New Roman"/>
          <w:sz w:val="24"/>
          <w:highlight w:val="none"/>
          <w:lang w:val="en-US" w:eastAsia="zh-CN"/>
        </w:rPr>
        <w:t>（基本项目） mg/kg</w:t>
      </w:r>
    </w:p>
    <w:tbl>
      <w:tblPr>
        <w:tblStyle w:val="8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18"/>
        <w:gridCol w:w="1921"/>
        <w:gridCol w:w="1921"/>
        <w:gridCol w:w="1921"/>
        <w:gridCol w:w="1921"/>
        <w:gridCol w:w="1921"/>
        <w:gridCol w:w="19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restart"/>
            <w:shd w:val="clear" w:color="auto" w:fill="auto"/>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序号</w:t>
            </w:r>
          </w:p>
        </w:tc>
        <w:tc>
          <w:tcPr>
            <w:tcW w:w="1428" w:type="pct"/>
            <w:gridSpan w:val="2"/>
            <w:vMerge w:val="restart"/>
            <w:shd w:val="clear" w:color="auto" w:fill="auto"/>
            <w:vAlign w:val="center"/>
          </w:tcPr>
          <w:p>
            <w:pPr>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污染物项目</w:t>
            </w:r>
          </w:p>
        </w:tc>
        <w:tc>
          <w:tcPr>
            <w:tcW w:w="2858" w:type="pct"/>
            <w:gridSpan w:val="4"/>
            <w:shd w:val="clear" w:color="auto" w:fill="auto"/>
            <w:vAlign w:val="center"/>
          </w:tcPr>
          <w:p>
            <w:pPr>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continue"/>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p>
        </w:tc>
        <w:tc>
          <w:tcPr>
            <w:tcW w:w="1428" w:type="pct"/>
            <w:gridSpan w:val="2"/>
            <w:vMerge w:val="continue"/>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pH≤5.5</w:t>
            </w: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lang w:val="en-US"/>
              </w:rPr>
            </w:pPr>
            <w:r>
              <w:rPr>
                <w:rFonts w:hint="eastAsia" w:ascii="Times New Roman" w:hAnsi="Times New Roman" w:cs="Times New Roman"/>
                <w:sz w:val="21"/>
                <w:szCs w:val="21"/>
                <w:highlight w:val="none"/>
                <w:lang w:val="en-US" w:eastAsia="zh-CN"/>
              </w:rPr>
              <w:t>5.5＜pH≤6.5</w:t>
            </w: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6.5＜pH≤7.5</w:t>
            </w:r>
          </w:p>
        </w:tc>
        <w:tc>
          <w:tcPr>
            <w:tcW w:w="716"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pH＞7.5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restart"/>
            <w:shd w:val="clear" w:color="auto" w:fill="auto"/>
            <w:vAlign w:val="center"/>
          </w:tcPr>
          <w:p>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1</w:t>
            </w:r>
          </w:p>
        </w:tc>
        <w:tc>
          <w:tcPr>
            <w:tcW w:w="714" w:type="pct"/>
            <w:vMerge w:val="restart"/>
            <w:shd w:val="clear" w:color="auto" w:fill="auto"/>
            <w:vAlign w:val="center"/>
          </w:tcPr>
          <w:p>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镉</w:t>
            </w:r>
          </w:p>
        </w:tc>
        <w:tc>
          <w:tcPr>
            <w:tcW w:w="714" w:type="pct"/>
            <w:shd w:val="clear" w:color="auto" w:fill="auto"/>
            <w:vAlign w:val="center"/>
          </w:tcPr>
          <w:p>
            <w:pPr>
              <w:adjustRightInd w:val="0"/>
              <w:snapToGrid w:val="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水田</w:t>
            </w: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0.3</w:t>
            </w: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0.4</w:t>
            </w: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0.6</w:t>
            </w:r>
          </w:p>
        </w:tc>
        <w:tc>
          <w:tcPr>
            <w:tcW w:w="716" w:type="pct"/>
            <w:shd w:val="clear" w:color="auto" w:fill="auto"/>
            <w:vAlign w:val="center"/>
          </w:tcPr>
          <w:p>
            <w:pPr>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其他</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0.3</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0.3</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0.3</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restar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c>
          <w:tcPr>
            <w:tcW w:w="714" w:type="pct"/>
            <w:vMerge w:val="restar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汞</w:t>
            </w: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水田</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0.5</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0.5</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0.6</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其他</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1.3</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1.8</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2.4</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restar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w:t>
            </w:r>
          </w:p>
        </w:tc>
        <w:tc>
          <w:tcPr>
            <w:tcW w:w="714" w:type="pct"/>
            <w:vMerge w:val="restar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砷</w:t>
            </w: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水田</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25</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其他</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30</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restar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p>
        </w:tc>
        <w:tc>
          <w:tcPr>
            <w:tcW w:w="714" w:type="pct"/>
            <w:vMerge w:val="restar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铅</w:t>
            </w: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水田</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80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140</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其他</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70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90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120</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restar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p>
        </w:tc>
        <w:tc>
          <w:tcPr>
            <w:tcW w:w="714" w:type="pct"/>
            <w:vMerge w:val="restar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铬</w:t>
            </w: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水田</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250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250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300</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其他</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150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150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200</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restar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6</w:t>
            </w:r>
          </w:p>
        </w:tc>
        <w:tc>
          <w:tcPr>
            <w:tcW w:w="714" w:type="pct"/>
            <w:vMerge w:val="restar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铜</w:t>
            </w: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水田</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150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150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200</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vMerge w:val="continue"/>
            <w:shd w:val="clear" w:color="auto" w:fill="auto"/>
            <w:vAlign w:val="center"/>
          </w:tcPr>
          <w:p>
            <w:pPr>
              <w:adjustRightInd w:val="0"/>
              <w:snapToGrid w:val="0"/>
              <w:jc w:val="center"/>
              <w:rPr>
                <w:rFonts w:hint="default" w:ascii="Times New Roman" w:hAnsi="Times New Roman" w:cs="Times New Roman"/>
                <w:sz w:val="21"/>
                <w:szCs w:val="21"/>
                <w:highlight w:val="none"/>
              </w:rPr>
            </w:pPr>
          </w:p>
        </w:tc>
        <w:tc>
          <w:tcPr>
            <w:tcW w:w="714" w:type="pct"/>
            <w:shd w:val="clear" w:color="auto" w:fill="auto"/>
            <w:vAlign w:val="center"/>
          </w:tcPr>
          <w:p>
            <w:pPr>
              <w:adjustRightInd w:val="0"/>
              <w:snapToGrid w:val="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其他</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50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50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1428" w:type="pct"/>
            <w:gridSpan w:val="2"/>
            <w:shd w:val="clear" w:color="auto" w:fill="auto"/>
            <w:vAlign w:val="center"/>
          </w:tcPr>
          <w:p>
            <w:pPr>
              <w:adjustRightInd w:val="0"/>
              <w:snapToGrid w:val="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镍</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60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70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13" w:type="pct"/>
            <w:shd w:val="clear" w:color="auto" w:fill="auto"/>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8</w:t>
            </w:r>
          </w:p>
        </w:tc>
        <w:tc>
          <w:tcPr>
            <w:tcW w:w="1428" w:type="pct"/>
            <w:gridSpan w:val="2"/>
            <w:shd w:val="clear" w:color="auto" w:fill="auto"/>
            <w:vAlign w:val="center"/>
          </w:tcPr>
          <w:p>
            <w:pPr>
              <w:adjustRightInd w:val="0"/>
              <w:snapToGrid w:val="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锌</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200</w:t>
            </w:r>
          </w:p>
        </w:tc>
        <w:tc>
          <w:tcPr>
            <w:tcW w:w="714"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250</w:t>
            </w:r>
          </w:p>
        </w:tc>
        <w:tc>
          <w:tcPr>
            <w:tcW w:w="716" w:type="pct"/>
            <w:shd w:val="clear" w:color="auto" w:fill="auto"/>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300</w:t>
            </w:r>
          </w:p>
        </w:tc>
      </w:tr>
    </w:tbl>
    <w:p>
      <w:pPr>
        <w:tabs>
          <w:tab w:val="left" w:pos="200"/>
        </w:tabs>
        <w:spacing w:before="120" w:beforeLines="50" w:after="120" w:afterLines="50"/>
        <w:jc w:val="both"/>
        <w:rPr>
          <w:rFonts w:hint="default" w:ascii="Times New Roman" w:hAnsi="Times New Roman" w:eastAsia="黑体" w:cs="Times New Roman"/>
          <w:bCs/>
          <w:sz w:val="24"/>
          <w:szCs w:val="24"/>
          <w:highlight w:val="none"/>
        </w:rPr>
      </w:pPr>
    </w:p>
    <w:p>
      <w:pPr>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表1-4污染物排放标准</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19"/>
        <w:gridCol w:w="2918"/>
        <w:gridCol w:w="1917"/>
        <w:gridCol w:w="1661"/>
        <w:gridCol w:w="35"/>
        <w:gridCol w:w="178"/>
        <w:gridCol w:w="1521"/>
        <w:gridCol w:w="1747"/>
        <w:gridCol w:w="17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639" w:type="pct"/>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污染源类别</w:t>
            </w:r>
          </w:p>
        </w:tc>
        <w:tc>
          <w:tcPr>
            <w:tcW w:w="1084" w:type="pct"/>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标准名称</w:t>
            </w:r>
          </w:p>
        </w:tc>
        <w:tc>
          <w:tcPr>
            <w:tcW w:w="712" w:type="pct"/>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污染物</w:t>
            </w:r>
          </w:p>
        </w:tc>
        <w:tc>
          <w:tcPr>
            <w:tcW w:w="696" w:type="pct"/>
            <w:gridSpan w:val="3"/>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排放时段</w:t>
            </w:r>
          </w:p>
        </w:tc>
        <w:tc>
          <w:tcPr>
            <w:tcW w:w="565" w:type="pct"/>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级别</w:t>
            </w:r>
          </w:p>
        </w:tc>
        <w:tc>
          <w:tcPr>
            <w:tcW w:w="1302" w:type="pct"/>
            <w:gridSpan w:val="2"/>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639" w:type="pct"/>
            <w:vMerge w:val="continue"/>
            <w:shd w:val="clear" w:color="auto" w:fill="auto"/>
            <w:vAlign w:val="center"/>
          </w:tcPr>
          <w:p>
            <w:pPr>
              <w:jc w:val="center"/>
              <w:rPr>
                <w:rFonts w:hint="default" w:ascii="Times New Roman" w:hAnsi="Times New Roman" w:cs="Times New Roman"/>
                <w:b/>
                <w:bCs/>
                <w:szCs w:val="21"/>
                <w:highlight w:val="none"/>
              </w:rPr>
            </w:pPr>
          </w:p>
        </w:tc>
        <w:tc>
          <w:tcPr>
            <w:tcW w:w="1084" w:type="pct"/>
            <w:vMerge w:val="continue"/>
            <w:shd w:val="clear" w:color="auto" w:fill="auto"/>
            <w:vAlign w:val="center"/>
          </w:tcPr>
          <w:p>
            <w:pPr>
              <w:jc w:val="center"/>
              <w:rPr>
                <w:rFonts w:hint="default" w:ascii="Times New Roman" w:hAnsi="Times New Roman" w:cs="Times New Roman"/>
                <w:b/>
                <w:bCs/>
                <w:szCs w:val="21"/>
                <w:highlight w:val="none"/>
              </w:rPr>
            </w:pPr>
          </w:p>
        </w:tc>
        <w:tc>
          <w:tcPr>
            <w:tcW w:w="712" w:type="pct"/>
            <w:vMerge w:val="continue"/>
            <w:shd w:val="clear" w:color="auto" w:fill="auto"/>
            <w:vAlign w:val="center"/>
          </w:tcPr>
          <w:p>
            <w:pPr>
              <w:jc w:val="center"/>
              <w:rPr>
                <w:rFonts w:hint="default" w:ascii="Times New Roman" w:hAnsi="Times New Roman" w:cs="Times New Roman"/>
                <w:b/>
                <w:bCs/>
                <w:szCs w:val="21"/>
                <w:highlight w:val="none"/>
              </w:rPr>
            </w:pPr>
          </w:p>
        </w:tc>
        <w:tc>
          <w:tcPr>
            <w:tcW w:w="696" w:type="pct"/>
            <w:gridSpan w:val="3"/>
            <w:vMerge w:val="continue"/>
            <w:shd w:val="clear" w:color="auto" w:fill="auto"/>
            <w:vAlign w:val="center"/>
          </w:tcPr>
          <w:p>
            <w:pPr>
              <w:jc w:val="center"/>
              <w:rPr>
                <w:rFonts w:hint="default" w:ascii="Times New Roman" w:hAnsi="Times New Roman" w:cs="Times New Roman"/>
                <w:b/>
                <w:bCs/>
                <w:szCs w:val="21"/>
                <w:highlight w:val="none"/>
              </w:rPr>
            </w:pPr>
          </w:p>
        </w:tc>
        <w:tc>
          <w:tcPr>
            <w:tcW w:w="565" w:type="pct"/>
            <w:vMerge w:val="continue"/>
            <w:shd w:val="clear" w:color="auto" w:fill="auto"/>
            <w:vAlign w:val="center"/>
          </w:tcPr>
          <w:p>
            <w:pPr>
              <w:jc w:val="center"/>
              <w:rPr>
                <w:rFonts w:hint="default" w:ascii="Times New Roman" w:hAnsi="Times New Roman" w:cs="Times New Roman"/>
                <w:b/>
                <w:bCs/>
                <w:szCs w:val="21"/>
                <w:highlight w:val="none"/>
              </w:rPr>
            </w:pPr>
          </w:p>
        </w:tc>
        <w:tc>
          <w:tcPr>
            <w:tcW w:w="649" w:type="pct"/>
            <w:shd w:val="clear" w:color="auto" w:fill="auto"/>
            <w:vAlign w:val="center"/>
          </w:tcPr>
          <w:p>
            <w:pPr>
              <w:jc w:val="center"/>
              <w:rPr>
                <w:rFonts w:hint="eastAsia" w:ascii="Times New Roman" w:hAnsi="Times New Roman" w:eastAsia="宋体" w:cs="Times New Roman"/>
                <w:b/>
                <w:bCs/>
                <w:szCs w:val="21"/>
                <w:highlight w:val="none"/>
                <w:lang w:eastAsia="zh-CN"/>
              </w:rPr>
            </w:pPr>
            <w:r>
              <w:rPr>
                <w:rFonts w:hint="eastAsia" w:ascii="Times New Roman" w:hAnsi="Times New Roman" w:cs="Times New Roman"/>
                <w:b/>
                <w:bCs/>
                <w:szCs w:val="21"/>
                <w:highlight w:val="none"/>
                <w:lang w:val="en-US" w:eastAsia="zh-CN"/>
              </w:rPr>
              <w:t>限值</w:t>
            </w:r>
          </w:p>
        </w:tc>
        <w:tc>
          <w:tcPr>
            <w:tcW w:w="652"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restar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废水</w:t>
            </w:r>
          </w:p>
        </w:tc>
        <w:tc>
          <w:tcPr>
            <w:tcW w:w="108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《畜禽养殖业污染物排放标准》（GB18596-2001）</w:t>
            </w:r>
          </w:p>
        </w:tc>
        <w:tc>
          <w:tcPr>
            <w:tcW w:w="71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w:t>
            </w:r>
          </w:p>
        </w:tc>
        <w:tc>
          <w:tcPr>
            <w:tcW w:w="696" w:type="pct"/>
            <w:gridSpan w:val="3"/>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冬季</w:t>
            </w:r>
          </w:p>
        </w:tc>
        <w:tc>
          <w:tcPr>
            <w:tcW w:w="565" w:type="pct"/>
            <w:vMerge w:val="restar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集约化畜禽养殖业干清粪工艺最高允许排水量</w:t>
            </w:r>
          </w:p>
        </w:tc>
        <w:tc>
          <w:tcPr>
            <w:tcW w:w="649" w:type="pct"/>
            <w:shd w:val="clear" w:color="auto" w:fill="auto"/>
            <w:vAlign w:val="center"/>
          </w:tcPr>
          <w:p>
            <w:pPr>
              <w:jc w:val="center"/>
              <w:rPr>
                <w:rFonts w:hint="default" w:ascii="Times New Roman" w:hAnsi="Times New Roman" w:cs="Times New Roman"/>
                <w:szCs w:val="21"/>
                <w:highlight w:val="green"/>
                <w:lang w:val="en-US" w:eastAsia="zh-CN"/>
              </w:rPr>
            </w:pPr>
            <w:r>
              <w:rPr>
                <w:rFonts w:hint="eastAsia" w:ascii="Times New Roman" w:hAnsi="Times New Roman" w:cs="Times New Roman"/>
                <w:szCs w:val="21"/>
                <w:highlight w:val="green"/>
                <w:lang w:val="en-US" w:eastAsia="zh-CN"/>
              </w:rPr>
              <w:t>1.2</w:t>
            </w:r>
          </w:p>
        </w:tc>
        <w:tc>
          <w:tcPr>
            <w:tcW w:w="652" w:type="pct"/>
            <w:shd w:val="clear" w:color="auto" w:fill="auto"/>
            <w:vAlign w:val="center"/>
          </w:tcPr>
          <w:p>
            <w:pPr>
              <w:jc w:val="center"/>
              <w:rPr>
                <w:rFonts w:hint="default" w:ascii="Times New Roman" w:hAnsi="Times New Roman" w:eastAsia="宋体" w:cs="Times New Roman"/>
                <w:szCs w:val="21"/>
                <w:highlight w:val="green"/>
                <w:lang w:val="en-US" w:eastAsia="zh-CN"/>
              </w:rPr>
            </w:pPr>
            <w:r>
              <w:rPr>
                <w:rFonts w:hint="eastAsia" w:ascii="Times New Roman" w:hAnsi="Times New Roman" w:cs="Times New Roman"/>
                <w:szCs w:val="21"/>
                <w:highlight w:val="green"/>
                <w:lang w:val="en-US" w:eastAsia="zh-CN"/>
              </w:rPr>
              <w:t>m</w:t>
            </w:r>
            <w:r>
              <w:rPr>
                <w:rFonts w:hint="eastAsia" w:ascii="Times New Roman" w:hAnsi="Times New Roman" w:cs="Times New Roman"/>
                <w:szCs w:val="21"/>
                <w:highlight w:val="green"/>
                <w:vertAlign w:val="superscript"/>
                <w:lang w:val="en-US" w:eastAsia="zh-CN"/>
              </w:rPr>
              <w:t>3</w:t>
            </w:r>
            <w:r>
              <w:rPr>
                <w:rFonts w:hint="eastAsia" w:ascii="Times New Roman" w:hAnsi="Times New Roman" w:cs="Times New Roman"/>
                <w:szCs w:val="21"/>
                <w:highlight w:val="green"/>
                <w:lang w:val="en-US" w:eastAsia="zh-CN"/>
              </w:rPr>
              <w:t>/百头▪天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w:t>
            </w:r>
          </w:p>
        </w:tc>
        <w:tc>
          <w:tcPr>
            <w:tcW w:w="696" w:type="pct"/>
            <w:gridSpan w:val="3"/>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夏季</w:t>
            </w:r>
          </w:p>
        </w:tc>
        <w:tc>
          <w:tcPr>
            <w:tcW w:w="565" w:type="pct"/>
            <w:vMerge w:val="continue"/>
            <w:shd w:val="clear" w:color="auto" w:fill="auto"/>
            <w:vAlign w:val="center"/>
          </w:tcPr>
          <w:p>
            <w:pPr>
              <w:jc w:val="center"/>
              <w:rPr>
                <w:rFonts w:hint="eastAsia" w:ascii="Times New Roman" w:hAnsi="Times New Roman" w:eastAsia="宋体" w:cs="Times New Roman"/>
                <w:szCs w:val="21"/>
                <w:highlight w:val="none"/>
                <w:lang w:val="en-US" w:eastAsia="zh-CN"/>
              </w:rPr>
            </w:pPr>
          </w:p>
        </w:tc>
        <w:tc>
          <w:tcPr>
            <w:tcW w:w="649" w:type="pct"/>
            <w:shd w:val="clear" w:color="auto" w:fill="auto"/>
            <w:vAlign w:val="center"/>
          </w:tcPr>
          <w:p>
            <w:pPr>
              <w:jc w:val="center"/>
              <w:rPr>
                <w:rFonts w:hint="default" w:ascii="Times New Roman" w:hAnsi="Times New Roman" w:cs="Times New Roman"/>
                <w:szCs w:val="21"/>
                <w:highlight w:val="green"/>
                <w:lang w:val="en-US" w:eastAsia="zh-CN"/>
              </w:rPr>
            </w:pPr>
            <w:r>
              <w:rPr>
                <w:rFonts w:hint="eastAsia" w:ascii="Times New Roman" w:hAnsi="Times New Roman" w:cs="Times New Roman"/>
                <w:szCs w:val="21"/>
                <w:highlight w:val="green"/>
                <w:lang w:val="en-US" w:eastAsia="zh-CN"/>
              </w:rPr>
              <w:t>1.8</w:t>
            </w:r>
          </w:p>
        </w:tc>
        <w:tc>
          <w:tcPr>
            <w:tcW w:w="652" w:type="pct"/>
            <w:shd w:val="clear" w:color="auto" w:fill="auto"/>
            <w:vAlign w:val="center"/>
          </w:tcPr>
          <w:p>
            <w:pPr>
              <w:jc w:val="center"/>
              <w:rPr>
                <w:rFonts w:hint="default" w:ascii="Times New Roman" w:hAnsi="Times New Roman" w:cs="Times New Roman"/>
                <w:szCs w:val="21"/>
                <w:highlight w:val="green"/>
              </w:rPr>
            </w:pPr>
            <w:r>
              <w:rPr>
                <w:rFonts w:hint="eastAsia" w:ascii="Times New Roman" w:hAnsi="Times New Roman" w:cs="Times New Roman"/>
                <w:szCs w:val="21"/>
                <w:highlight w:val="green"/>
                <w:lang w:val="en-US" w:eastAsia="zh-CN"/>
              </w:rPr>
              <w:t>m</w:t>
            </w:r>
            <w:r>
              <w:rPr>
                <w:rFonts w:hint="eastAsia" w:ascii="Times New Roman" w:hAnsi="Times New Roman" w:cs="Times New Roman"/>
                <w:szCs w:val="21"/>
                <w:highlight w:val="green"/>
                <w:vertAlign w:val="superscript"/>
                <w:lang w:val="en-US" w:eastAsia="zh-CN"/>
              </w:rPr>
              <w:t>3</w:t>
            </w:r>
            <w:r>
              <w:rPr>
                <w:rFonts w:hint="eastAsia" w:ascii="Times New Roman" w:hAnsi="Times New Roman" w:cs="Times New Roman"/>
                <w:szCs w:val="21"/>
                <w:highlight w:val="green"/>
                <w:lang w:val="en-US" w:eastAsia="zh-CN"/>
              </w:rPr>
              <w:t>/百头▪天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eastAsia" w:ascii="Times New Roman" w:hAnsi="Times New Roman" w:eastAsia="宋体" w:cs="Times New Roman"/>
                <w:szCs w:val="21"/>
                <w:highlight w:val="none"/>
                <w:lang w:val="en-US" w:eastAsia="zh-CN"/>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五日生化需氧量</w:t>
            </w:r>
          </w:p>
        </w:tc>
        <w:tc>
          <w:tcPr>
            <w:tcW w:w="1261" w:type="pct"/>
            <w:gridSpan w:val="4"/>
            <w:vMerge w:val="restar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最高允许日均排放浓度</w:t>
            </w: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150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化学需氧量</w:t>
            </w:r>
          </w:p>
        </w:tc>
        <w:tc>
          <w:tcPr>
            <w:tcW w:w="1261" w:type="pct"/>
            <w:gridSpan w:val="4"/>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400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悬浮物</w:t>
            </w:r>
          </w:p>
        </w:tc>
        <w:tc>
          <w:tcPr>
            <w:tcW w:w="1261" w:type="pct"/>
            <w:gridSpan w:val="4"/>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200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氨氮</w:t>
            </w:r>
          </w:p>
        </w:tc>
        <w:tc>
          <w:tcPr>
            <w:tcW w:w="1261" w:type="pct"/>
            <w:gridSpan w:val="4"/>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80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总磷（以P计）</w:t>
            </w:r>
          </w:p>
        </w:tc>
        <w:tc>
          <w:tcPr>
            <w:tcW w:w="1261" w:type="pct"/>
            <w:gridSpan w:val="4"/>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8.0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粪大肠菌群数</w:t>
            </w:r>
          </w:p>
        </w:tc>
        <w:tc>
          <w:tcPr>
            <w:tcW w:w="1261" w:type="pct"/>
            <w:gridSpan w:val="4"/>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1000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个/100mL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蛔虫卵数</w:t>
            </w:r>
          </w:p>
        </w:tc>
        <w:tc>
          <w:tcPr>
            <w:tcW w:w="1261" w:type="pct"/>
            <w:gridSpan w:val="4"/>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个/L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restar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农田灌溉水质标准</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GB5084-2005</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旱作</w:t>
            </w:r>
          </w:p>
        </w:tc>
        <w:tc>
          <w:tcPr>
            <w:tcW w:w="71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五日生化需氧量</w:t>
            </w:r>
          </w:p>
        </w:tc>
        <w:tc>
          <w:tcPr>
            <w:tcW w:w="696" w:type="pct"/>
            <w:gridSpan w:val="3"/>
            <w:vMerge w:val="restar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w:t>
            </w:r>
          </w:p>
        </w:tc>
        <w:tc>
          <w:tcPr>
            <w:tcW w:w="565" w:type="pct"/>
            <w:vMerge w:val="restar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灌溉取水点水质</w:t>
            </w: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100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化学需氧量</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200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悬浮物</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100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阴离子表面活性剂</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8</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水温</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35</w:t>
            </w:r>
          </w:p>
        </w:tc>
        <w:tc>
          <w:tcPr>
            <w:tcW w:w="65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pH</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5.5~8.5</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全盐量</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1000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氯化物</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350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硫化物</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总汞</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0.001</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镉</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0.01</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总砷</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0.1</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铬（六价）</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0.1</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铅</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0.2</w:t>
            </w:r>
          </w:p>
        </w:tc>
        <w:tc>
          <w:tcPr>
            <w:tcW w:w="652"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粪大肠菌群数</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4000</w:t>
            </w:r>
          </w:p>
        </w:tc>
        <w:tc>
          <w:tcPr>
            <w:tcW w:w="652"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个/100mL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蛔虫卵数</w:t>
            </w:r>
          </w:p>
        </w:tc>
        <w:tc>
          <w:tcPr>
            <w:tcW w:w="696"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w:t>
            </w:r>
          </w:p>
        </w:tc>
        <w:tc>
          <w:tcPr>
            <w:tcW w:w="652"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个/L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废气</w:t>
            </w:r>
          </w:p>
        </w:tc>
        <w:tc>
          <w:tcPr>
            <w:tcW w:w="108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《恶臭污染物排放标准》（GB14554-93）表1</w:t>
            </w:r>
          </w:p>
        </w:tc>
        <w:tc>
          <w:tcPr>
            <w:tcW w:w="7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氨</w:t>
            </w:r>
          </w:p>
        </w:tc>
        <w:tc>
          <w:tcPr>
            <w:tcW w:w="1261" w:type="pct"/>
            <w:gridSpan w:val="4"/>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二级新改扩建厂界标准值</w:t>
            </w: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硫化氢</w:t>
            </w:r>
          </w:p>
        </w:tc>
        <w:tc>
          <w:tcPr>
            <w:tcW w:w="1261" w:type="pct"/>
            <w:gridSpan w:val="4"/>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0.06</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《畜禽养殖业污染物排放标准》（GB18596-2001）表7</w:t>
            </w:r>
          </w:p>
        </w:tc>
        <w:tc>
          <w:tcPr>
            <w:tcW w:w="7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臭气浓度</w:t>
            </w:r>
          </w:p>
        </w:tc>
        <w:tc>
          <w:tcPr>
            <w:tcW w:w="1261" w:type="pct"/>
            <w:gridSpan w:val="4"/>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厂界浓度</w:t>
            </w: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《大气污染物综合排饭标准》（GB16297-1996）表2</w:t>
            </w:r>
          </w:p>
        </w:tc>
        <w:tc>
          <w:tcPr>
            <w:tcW w:w="712"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二氧化硫</w:t>
            </w:r>
          </w:p>
        </w:tc>
        <w:tc>
          <w:tcPr>
            <w:tcW w:w="696" w:type="pct"/>
            <w:gridSpan w:val="3"/>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最高允许排放浓度</w:t>
            </w:r>
          </w:p>
        </w:tc>
        <w:tc>
          <w:tcPr>
            <w:tcW w:w="565"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新污染源二级，15m高排气筒</w:t>
            </w: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vMerge w:val="continue"/>
            <w:shd w:val="clear" w:color="auto" w:fill="auto"/>
            <w:vAlign w:val="center"/>
          </w:tcPr>
          <w:p>
            <w:pPr>
              <w:jc w:val="center"/>
              <w:rPr>
                <w:rFonts w:hint="default" w:ascii="Times New Roman" w:hAnsi="Times New Roman" w:cs="Times New Roman"/>
                <w:szCs w:val="21"/>
                <w:highlight w:val="none"/>
              </w:rPr>
            </w:pPr>
          </w:p>
        </w:tc>
        <w:tc>
          <w:tcPr>
            <w:tcW w:w="696" w:type="pct"/>
            <w:gridSpan w:val="3"/>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最高允许排放速率</w:t>
            </w: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2.6</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96"/>
                <w:szCs w:val="21"/>
                <w:highlight w:val="none"/>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氮氧化物</w:t>
            </w:r>
          </w:p>
        </w:tc>
        <w:tc>
          <w:tcPr>
            <w:tcW w:w="696" w:type="pct"/>
            <w:gridSpan w:val="3"/>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最高允许排放浓度</w:t>
            </w: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240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vMerge w:val="continue"/>
            <w:shd w:val="clear" w:color="auto" w:fill="auto"/>
            <w:vAlign w:val="center"/>
          </w:tcPr>
          <w:p>
            <w:pPr>
              <w:jc w:val="center"/>
              <w:rPr>
                <w:rFonts w:hint="default" w:ascii="Times New Roman" w:hAnsi="Times New Roman" w:cs="Times New Roman"/>
                <w:szCs w:val="21"/>
                <w:highlight w:val="none"/>
              </w:rPr>
            </w:pPr>
          </w:p>
        </w:tc>
        <w:tc>
          <w:tcPr>
            <w:tcW w:w="696" w:type="pct"/>
            <w:gridSpan w:val="3"/>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最高允许排放速率</w:t>
            </w: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0.77</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颗粒物</w:t>
            </w:r>
          </w:p>
        </w:tc>
        <w:tc>
          <w:tcPr>
            <w:tcW w:w="696" w:type="pct"/>
            <w:gridSpan w:val="3"/>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最高允许排放浓度</w:t>
            </w: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vMerge w:val="continue"/>
            <w:shd w:val="clear" w:color="auto" w:fill="auto"/>
            <w:vAlign w:val="center"/>
          </w:tcPr>
          <w:p>
            <w:pPr>
              <w:jc w:val="center"/>
              <w:rPr>
                <w:rFonts w:hint="default" w:ascii="Times New Roman" w:hAnsi="Times New Roman" w:cs="Times New Roman"/>
                <w:szCs w:val="21"/>
                <w:highlight w:val="none"/>
              </w:rPr>
            </w:pPr>
          </w:p>
        </w:tc>
        <w:tc>
          <w:tcPr>
            <w:tcW w:w="696" w:type="pct"/>
            <w:gridSpan w:val="3"/>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最高允许排放速率</w:t>
            </w:r>
          </w:p>
        </w:tc>
        <w:tc>
          <w:tcPr>
            <w:tcW w:w="565" w:type="pct"/>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3.5</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96"/>
                <w:szCs w:val="21"/>
                <w:highlight w:val="none"/>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颗粒物</w:t>
            </w:r>
          </w:p>
        </w:tc>
        <w:tc>
          <w:tcPr>
            <w:tcW w:w="1261" w:type="pct"/>
            <w:gridSpan w:val="4"/>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无组织排放监控浓度限值</w:t>
            </w: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《饮食业油烟排放标准》（GB18483-2001）</w:t>
            </w:r>
          </w:p>
        </w:tc>
        <w:tc>
          <w:tcPr>
            <w:tcW w:w="712"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油烟</w:t>
            </w:r>
          </w:p>
        </w:tc>
        <w:tc>
          <w:tcPr>
            <w:tcW w:w="630" w:type="pct"/>
            <w:gridSpan w:val="2"/>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浓度</w:t>
            </w:r>
          </w:p>
        </w:tc>
        <w:tc>
          <w:tcPr>
            <w:tcW w:w="631" w:type="pct"/>
            <w:gridSpan w:val="2"/>
            <w:vMerge w:val="restar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小型规模</w:t>
            </w: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vMerge w:val="continue"/>
            <w:shd w:val="clear" w:color="auto" w:fill="auto"/>
            <w:vAlign w:val="center"/>
          </w:tcPr>
          <w:p>
            <w:pPr>
              <w:jc w:val="center"/>
              <w:rPr>
                <w:rFonts w:hint="default" w:ascii="Times New Roman" w:hAnsi="Times New Roman" w:cs="Times New Roman"/>
                <w:szCs w:val="21"/>
                <w:highlight w:val="none"/>
              </w:rPr>
            </w:pPr>
          </w:p>
        </w:tc>
        <w:tc>
          <w:tcPr>
            <w:tcW w:w="630" w:type="pct"/>
            <w:gridSpan w:val="2"/>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去除率</w:t>
            </w:r>
          </w:p>
        </w:tc>
        <w:tc>
          <w:tcPr>
            <w:tcW w:w="631" w:type="pct"/>
            <w:gridSpan w:val="2"/>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《锅炉大气污染物排放标准》（DB13/5161-2020）和《关于开展燃气锅炉氮氧化物治理工作的通知》中的要求</w:t>
            </w:r>
          </w:p>
        </w:tc>
        <w:tc>
          <w:tcPr>
            <w:tcW w:w="7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颗粒物</w:t>
            </w:r>
          </w:p>
        </w:tc>
        <w:tc>
          <w:tcPr>
            <w:tcW w:w="1261" w:type="pct"/>
            <w:gridSpan w:val="4"/>
            <w:vMerge w:val="restar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新建沼气锅炉</w:t>
            </w:r>
          </w:p>
        </w:tc>
        <w:tc>
          <w:tcPr>
            <w:tcW w:w="649"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5</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二氧化硫</w:t>
            </w:r>
          </w:p>
        </w:tc>
        <w:tc>
          <w:tcPr>
            <w:tcW w:w="1261" w:type="pct"/>
            <w:gridSpan w:val="4"/>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10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氮氧化物</w:t>
            </w:r>
          </w:p>
        </w:tc>
        <w:tc>
          <w:tcPr>
            <w:tcW w:w="1261" w:type="pct"/>
            <w:gridSpan w:val="4"/>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30</w:t>
            </w:r>
          </w:p>
        </w:tc>
        <w:tc>
          <w:tcPr>
            <w:tcW w:w="65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噪声</w:t>
            </w:r>
          </w:p>
        </w:tc>
        <w:tc>
          <w:tcPr>
            <w:tcW w:w="108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《工业企业厂界环境噪声排放标准》（GB12348-2008）</w:t>
            </w:r>
          </w:p>
        </w:tc>
        <w:tc>
          <w:tcPr>
            <w:tcW w:w="712"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等效声级</w:t>
            </w:r>
          </w:p>
        </w:tc>
        <w:tc>
          <w:tcPr>
            <w:tcW w:w="61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昼间</w:t>
            </w:r>
          </w:p>
        </w:tc>
        <w:tc>
          <w:tcPr>
            <w:tcW w:w="644" w:type="pct"/>
            <w:gridSpan w:val="3"/>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1类</w:t>
            </w: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w:t>
            </w:r>
          </w:p>
        </w:tc>
        <w:tc>
          <w:tcPr>
            <w:tcW w:w="652"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vMerge w:val="continue"/>
            <w:shd w:val="clear" w:color="auto" w:fill="auto"/>
            <w:vAlign w:val="center"/>
          </w:tcPr>
          <w:p>
            <w:pPr>
              <w:jc w:val="center"/>
              <w:rPr>
                <w:rFonts w:hint="default" w:ascii="Times New Roman" w:hAnsi="Times New Roman" w:cs="Times New Roman"/>
                <w:szCs w:val="21"/>
                <w:highlight w:val="none"/>
              </w:rPr>
            </w:pPr>
          </w:p>
        </w:tc>
        <w:tc>
          <w:tcPr>
            <w:tcW w:w="61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夜间</w:t>
            </w:r>
          </w:p>
        </w:tc>
        <w:tc>
          <w:tcPr>
            <w:tcW w:w="644"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45</w:t>
            </w:r>
          </w:p>
        </w:tc>
        <w:tc>
          <w:tcPr>
            <w:tcW w:w="652" w:type="pct"/>
            <w:vMerge w:val="continue"/>
            <w:shd w:val="clear" w:color="auto" w:fill="auto"/>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《建筑施工场界环境噪声排放标准》（GB12523-2011）</w:t>
            </w:r>
          </w:p>
        </w:tc>
        <w:tc>
          <w:tcPr>
            <w:tcW w:w="712"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等效声级</w:t>
            </w:r>
          </w:p>
        </w:tc>
        <w:tc>
          <w:tcPr>
            <w:tcW w:w="61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昼间</w:t>
            </w:r>
          </w:p>
        </w:tc>
        <w:tc>
          <w:tcPr>
            <w:tcW w:w="644" w:type="pct"/>
            <w:gridSpan w:val="3"/>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w:t>
            </w:r>
          </w:p>
        </w:tc>
        <w:tc>
          <w:tcPr>
            <w:tcW w:w="652"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vMerge w:val="continue"/>
            <w:shd w:val="clear" w:color="auto" w:fill="auto"/>
            <w:vAlign w:val="center"/>
          </w:tcPr>
          <w:p>
            <w:pPr>
              <w:jc w:val="center"/>
              <w:rPr>
                <w:rFonts w:hint="default" w:ascii="Times New Roman" w:hAnsi="Times New Roman" w:cs="Times New Roman"/>
                <w:szCs w:val="21"/>
                <w:highlight w:val="none"/>
              </w:rPr>
            </w:pPr>
          </w:p>
        </w:tc>
        <w:tc>
          <w:tcPr>
            <w:tcW w:w="712" w:type="pct"/>
            <w:vMerge w:val="continue"/>
            <w:shd w:val="clear" w:color="auto" w:fill="auto"/>
            <w:vAlign w:val="center"/>
          </w:tcPr>
          <w:p>
            <w:pPr>
              <w:jc w:val="center"/>
              <w:rPr>
                <w:rFonts w:hint="default" w:ascii="Times New Roman" w:hAnsi="Times New Roman" w:cs="Times New Roman"/>
                <w:w w:val="99"/>
                <w:szCs w:val="21"/>
                <w:highlight w:val="none"/>
              </w:rPr>
            </w:pPr>
          </w:p>
        </w:tc>
        <w:tc>
          <w:tcPr>
            <w:tcW w:w="61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夜间</w:t>
            </w:r>
          </w:p>
        </w:tc>
        <w:tc>
          <w:tcPr>
            <w:tcW w:w="644" w:type="pct"/>
            <w:gridSpan w:val="3"/>
            <w:vMerge w:val="continue"/>
            <w:shd w:val="clear" w:color="auto" w:fill="auto"/>
            <w:vAlign w:val="center"/>
          </w:tcPr>
          <w:p>
            <w:pPr>
              <w:jc w:val="center"/>
              <w:rPr>
                <w:rFonts w:hint="default" w:ascii="Times New Roman" w:hAnsi="Times New Roman" w:cs="Times New Roman"/>
                <w:szCs w:val="21"/>
                <w:highlight w:val="none"/>
              </w:rPr>
            </w:pPr>
          </w:p>
        </w:tc>
        <w:tc>
          <w:tcPr>
            <w:tcW w:w="64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w:t>
            </w:r>
          </w:p>
        </w:tc>
        <w:tc>
          <w:tcPr>
            <w:tcW w:w="652" w:type="pct"/>
            <w:vMerge w:val="continue"/>
            <w:shd w:val="clear" w:color="auto" w:fill="auto"/>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固体废物</w:t>
            </w:r>
          </w:p>
        </w:tc>
        <w:tc>
          <w:tcPr>
            <w:tcW w:w="108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《畜禽养殖业污染物排放标准》（GB18596－2001）表 6</w:t>
            </w:r>
          </w:p>
        </w:tc>
        <w:tc>
          <w:tcPr>
            <w:tcW w:w="3275" w:type="pct"/>
            <w:gridSpan w:val="7"/>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蛔虫卵死亡率≥95％，粪大肠菌群数≤10</w:t>
            </w:r>
            <w:r>
              <w:rPr>
                <w:rFonts w:hint="default" w:ascii="Times New Roman" w:hAnsi="Times New Roman" w:cs="Times New Roman"/>
                <w:szCs w:val="21"/>
                <w:highlight w:val="none"/>
                <w:vertAlign w:val="superscript"/>
              </w:rPr>
              <w:t>5</w:t>
            </w:r>
            <w:r>
              <w:rPr>
                <w:rFonts w:hint="default" w:ascii="Times New Roman" w:hAnsi="Times New Roman" w:cs="Times New Roman"/>
                <w:szCs w:val="21"/>
                <w:highlight w:val="none"/>
              </w:rPr>
              <w:t>个/kg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《粪便无害化卫生要求》（GB7959-2012）表 2</w:t>
            </w:r>
          </w:p>
        </w:tc>
        <w:tc>
          <w:tcPr>
            <w:tcW w:w="3275" w:type="pct"/>
            <w:gridSpan w:val="7"/>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常温厌氧消化：消化温度≥10℃，≥20d，蛔虫卵沉降率</w:t>
            </w:r>
            <w:r>
              <w:rPr>
                <w:rFonts w:hint="default" w:ascii="Times New Roman" w:hAnsi="Times New Roman" w:cs="Times New Roman"/>
                <w:w w:val="98"/>
                <w:szCs w:val="21"/>
                <w:highlight w:val="none"/>
              </w:rPr>
              <w:t>≥95%，</w:t>
            </w:r>
            <w:r>
              <w:rPr>
                <w:rFonts w:hint="default" w:ascii="Times New Roman" w:hAnsi="Times New Roman" w:cs="Times New Roman"/>
                <w:szCs w:val="21"/>
                <w:highlight w:val="none"/>
              </w:rPr>
              <w:t>粪大肠菌值</w:t>
            </w:r>
            <w:r>
              <w:rPr>
                <w:rFonts w:hint="default" w:ascii="Times New Roman" w:hAnsi="Times New Roman" w:cs="Times New Roman"/>
                <w:w w:val="98"/>
                <w:szCs w:val="21"/>
                <w:highlight w:val="none"/>
              </w:rPr>
              <w:t>≥10</w:t>
            </w:r>
            <w:r>
              <w:rPr>
                <w:rFonts w:hint="default" w:ascii="Times New Roman" w:hAnsi="Times New Roman" w:cs="Times New Roman"/>
                <w:w w:val="98"/>
                <w:szCs w:val="21"/>
                <w:highlight w:val="none"/>
                <w:vertAlign w:val="superscript"/>
              </w:rPr>
              <w:t>-4</w:t>
            </w:r>
            <w:r>
              <w:rPr>
                <w:rFonts w:hint="default" w:ascii="Times New Roman" w:hAnsi="Times New Roman" w:cs="Times New Roman"/>
                <w:w w:val="98"/>
                <w:szCs w:val="21"/>
                <w:highlight w:val="none"/>
              </w:rPr>
              <w:t>，</w:t>
            </w:r>
            <w:r>
              <w:rPr>
                <w:rFonts w:hint="default" w:ascii="Times New Roman" w:hAnsi="Times New Roman" w:cs="Times New Roman"/>
                <w:szCs w:val="21"/>
                <w:highlight w:val="none"/>
              </w:rPr>
              <w:t>沙门氏菌不得检出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《危险废物贮存污染控制标准》（GB18599-2001）及 2013 年修改单要求</w:t>
            </w:r>
          </w:p>
        </w:tc>
        <w:tc>
          <w:tcPr>
            <w:tcW w:w="3275" w:type="pct"/>
            <w:gridSpan w:val="7"/>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防风、防雨、防晒、防渗漏，分区存放，设置防渗漏裙角，渗透系数≤1×10</w:t>
            </w:r>
            <w:r>
              <w:rPr>
                <w:rFonts w:hint="eastAsia" w:ascii="Times New Roman" w:hAnsi="Times New Roman" w:cs="Times New Roman"/>
                <w:szCs w:val="21"/>
                <w:highlight w:val="none"/>
                <w:vertAlign w:val="superscript"/>
                <w:lang w:val="en-US" w:eastAsia="zh-CN"/>
              </w:rPr>
              <w:t>-10</w:t>
            </w:r>
            <w:r>
              <w:rPr>
                <w:rFonts w:hint="eastAsia" w:ascii="Times New Roman" w:hAnsi="Times New Roman" w:cs="Times New Roman"/>
                <w:szCs w:val="21"/>
                <w:highlight w:val="none"/>
                <w:lang w:val="en-US" w:eastAsia="zh-CN"/>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9" w:type="pct"/>
            <w:vMerge w:val="continue"/>
            <w:shd w:val="clear" w:color="auto" w:fill="auto"/>
            <w:vAlign w:val="center"/>
          </w:tcPr>
          <w:p>
            <w:pPr>
              <w:jc w:val="center"/>
              <w:rPr>
                <w:rFonts w:hint="default" w:ascii="Times New Roman" w:hAnsi="Times New Roman" w:cs="Times New Roman"/>
                <w:szCs w:val="21"/>
                <w:highlight w:val="none"/>
              </w:rPr>
            </w:pPr>
          </w:p>
        </w:tc>
        <w:tc>
          <w:tcPr>
            <w:tcW w:w="1084"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《一般工业固体废物贮存、处置场污染控制标准》（GB18599-2001）及 2013 年修改单要求</w:t>
            </w:r>
          </w:p>
        </w:tc>
        <w:tc>
          <w:tcPr>
            <w:tcW w:w="3275" w:type="pct"/>
            <w:gridSpan w:val="7"/>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防渗、防雨，地面渗透系数≤1×10</w:t>
            </w:r>
            <w:r>
              <w:rPr>
                <w:rFonts w:hint="eastAsia" w:ascii="Times New Roman" w:hAnsi="Times New Roman" w:cs="Times New Roman"/>
                <w:szCs w:val="21"/>
                <w:highlight w:val="none"/>
                <w:vertAlign w:val="superscript"/>
                <w:lang w:val="en-US" w:eastAsia="zh-CN"/>
              </w:rPr>
              <w:t>-7</w:t>
            </w:r>
            <w:r>
              <w:rPr>
                <w:rFonts w:hint="eastAsia" w:ascii="Times New Roman" w:hAnsi="Times New Roman" w:cs="Times New Roman"/>
                <w:szCs w:val="21"/>
                <w:highlight w:val="none"/>
                <w:lang w:val="en-US" w:eastAsia="zh-CN"/>
              </w:rPr>
              <w:t>cm/s</w:t>
            </w:r>
          </w:p>
        </w:tc>
      </w:tr>
    </w:tbl>
    <w:p>
      <w:pPr>
        <w:rPr>
          <w:rFonts w:hint="default" w:ascii="Times New Roman" w:hAnsi="Times New Roman" w:cs="Times New Roman"/>
          <w:highlight w:val="none"/>
        </w:rPr>
      </w:pPr>
    </w:p>
    <w:p>
      <w:pPr>
        <w:spacing w:before="120" w:beforeLines="50" w:after="120" w:afterLines="50"/>
        <w:jc w:val="left"/>
        <w:outlineLvl w:val="1"/>
        <w:rPr>
          <w:rFonts w:hint="default" w:ascii="Times New Roman" w:hAnsi="Times New Roman" w:eastAsia="黑体" w:cs="Times New Roman"/>
          <w:bCs/>
          <w:sz w:val="30"/>
          <w:szCs w:val="30"/>
          <w:highlight w:val="none"/>
        </w:rPr>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28" w:name="_Toc14705"/>
      <w:r>
        <w:rPr>
          <w:rFonts w:hint="default" w:ascii="Times New Roman" w:hAnsi="Times New Roman" w:eastAsia="黑体" w:cs="Times New Roman"/>
          <w:bCs/>
          <w:sz w:val="30"/>
          <w:szCs w:val="30"/>
          <w:highlight w:val="none"/>
        </w:rPr>
        <w:t>1.3评价等级和评价重点</w:t>
      </w:r>
      <w:bookmarkEnd w:id="26"/>
      <w:bookmarkEnd w:id="28"/>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1.3.1评价等级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按照各环境要素的《环境影响评价技术导则》及总纲中评价工作等级划分方法，根据本工程污染特征和评价区环境质量现状、功能要求、敏感程度，确定评价工作等级，并根据评价等级和工程特征确定评价范围。</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lang w:eastAsia="zh-CN"/>
        </w:rPr>
        <w:t>（</w:t>
      </w:r>
      <w:r>
        <w:rPr>
          <w:rFonts w:hint="default" w:ascii="Times New Roman" w:hAnsi="Times New Roman" w:cs="Times New Roman"/>
          <w:b/>
          <w:sz w:val="24"/>
          <w:szCs w:val="24"/>
          <w:highlight w:val="none"/>
          <w:lang w:val="en-US" w:eastAsia="zh-CN"/>
        </w:rPr>
        <w:t>1</w:t>
      </w:r>
      <w:r>
        <w:rPr>
          <w:rFonts w:hint="default" w:ascii="Times New Roman" w:hAnsi="Times New Roman" w:cs="Times New Roman"/>
          <w:b/>
          <w:sz w:val="24"/>
          <w:szCs w:val="24"/>
          <w:highlight w:val="none"/>
          <w:lang w:eastAsia="zh-CN"/>
        </w:rPr>
        <w:t>）</w:t>
      </w:r>
      <w:r>
        <w:rPr>
          <w:rFonts w:hint="default" w:ascii="Times New Roman" w:hAnsi="Times New Roman" w:cs="Times New Roman"/>
          <w:b/>
          <w:sz w:val="24"/>
          <w:szCs w:val="24"/>
          <w:highlight w:val="none"/>
        </w:rPr>
        <w:t>大气环境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环境影响评价技术导则－大气环境》（HJ2.2－2018）大气环境影响评价工作等级判定依据，根据污染源初步调查结果，选择项目污染源正常排放的主要污染物及排放参数，分别计算项目排放主要污染物的最大地面空气质量浓度占标率Pi（第i个污染物，即“最大浓度占标率”）及第i个污染物的地面浓度达标准限值10%时所对应的最远距离D</w:t>
      </w:r>
      <w:r>
        <w:rPr>
          <w:rFonts w:hint="default" w:ascii="Times New Roman" w:hAnsi="Times New Roman" w:cs="Times New Roman"/>
          <w:sz w:val="24"/>
          <w:szCs w:val="24"/>
          <w:highlight w:val="none"/>
          <w:vertAlign w:val="subscript"/>
        </w:rPr>
        <w:t>10%</w:t>
      </w:r>
      <w:r>
        <w:rPr>
          <w:rFonts w:hint="default" w:ascii="Times New Roman" w:hAnsi="Times New Roman" w:cs="Times New Roman"/>
          <w:sz w:val="24"/>
          <w:szCs w:val="24"/>
          <w:highlight w:val="none"/>
        </w:rPr>
        <w:t>。其中Pi定义为：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anchor distT="0" distB="0" distL="114300" distR="114300" simplePos="0" relativeHeight="251663360" behindDoc="0" locked="0" layoutInCell="1" allowOverlap="1">
            <wp:simplePos x="0" y="0"/>
            <wp:positionH relativeFrom="column">
              <wp:posOffset>762000</wp:posOffset>
            </wp:positionH>
            <wp:positionV relativeFrom="paragraph">
              <wp:posOffset>62865</wp:posOffset>
            </wp:positionV>
            <wp:extent cx="1032510" cy="438150"/>
            <wp:effectExtent l="0" t="0" r="15240" b="0"/>
            <wp:wrapTopAndBottom/>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1032510" cy="438150"/>
                    </a:xfrm>
                    <a:prstGeom prst="rect">
                      <a:avLst/>
                    </a:prstGeom>
                    <a:noFill/>
                    <a:ln>
                      <a:noFill/>
                    </a:ln>
                  </pic:spPr>
                </pic:pic>
              </a:graphicData>
            </a:graphic>
          </wp:anchor>
        </w:drawing>
      </w:r>
      <w:r>
        <w:rPr>
          <w:rFonts w:hint="default" w:ascii="Times New Roman" w:hAnsi="Times New Roman" w:cs="Times New Roman"/>
          <w:sz w:val="24"/>
          <w:szCs w:val="24"/>
          <w:highlight w:val="none"/>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P</w:t>
      </w:r>
      <w:r>
        <w:rPr>
          <w:rFonts w:hint="default" w:ascii="Times New Roman" w:hAnsi="Times New Roman" w:cs="Times New Roman"/>
          <w:sz w:val="24"/>
          <w:szCs w:val="24"/>
          <w:highlight w:val="none"/>
          <w:vertAlign w:val="subscript"/>
        </w:rPr>
        <w:t>i</w:t>
      </w:r>
      <w:r>
        <w:rPr>
          <w:rFonts w:hint="default" w:ascii="Times New Roman" w:hAnsi="Times New Roman" w:cs="Times New Roman"/>
          <w:sz w:val="24"/>
          <w:szCs w:val="24"/>
          <w:highlight w:val="none"/>
        </w:rPr>
        <w:t>—第i个污染物的最大地面空气质量浓度占标率，%；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w:t>
      </w:r>
      <w:r>
        <w:rPr>
          <w:rFonts w:hint="default" w:ascii="Times New Roman" w:hAnsi="Times New Roman" w:cs="Times New Roman"/>
          <w:sz w:val="24"/>
          <w:szCs w:val="24"/>
          <w:highlight w:val="none"/>
          <w:vertAlign w:val="subscript"/>
        </w:rPr>
        <w:t>i</w:t>
      </w:r>
      <w:r>
        <w:rPr>
          <w:rFonts w:hint="default" w:ascii="Times New Roman" w:hAnsi="Times New Roman" w:cs="Times New Roman"/>
          <w:sz w:val="24"/>
          <w:szCs w:val="24"/>
          <w:highlight w:val="none"/>
        </w:rPr>
        <w:t>—采用估算模式计算出的第i个污染物的最大1h地面空气质量浓度，µg/m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w:t>
      </w:r>
      <w:r>
        <w:rPr>
          <w:rFonts w:hint="default" w:ascii="Times New Roman" w:hAnsi="Times New Roman" w:cs="Times New Roman"/>
          <w:sz w:val="24"/>
          <w:szCs w:val="24"/>
          <w:highlight w:val="none"/>
          <w:vertAlign w:val="subscript"/>
        </w:rPr>
        <w:t>0i</w:t>
      </w:r>
      <w:r>
        <w:rPr>
          <w:rFonts w:hint="default" w:ascii="Times New Roman" w:hAnsi="Times New Roman" w:cs="Times New Roman"/>
          <w:sz w:val="24"/>
          <w:szCs w:val="24"/>
          <w:highlight w:val="none"/>
        </w:rPr>
        <w:t>—第i个污染物的环境空气质量标准，µg/m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w:t>
      </w:r>
      <w:r>
        <w:rPr>
          <w:rFonts w:hint="default" w:ascii="Times New Roman" w:hAnsi="Times New Roman" w:cs="Times New Roman"/>
          <w:sz w:val="24"/>
          <w:szCs w:val="24"/>
          <w:highlight w:val="none"/>
          <w:vertAlign w:val="subscript"/>
        </w:rPr>
        <w:t>oi</w:t>
      </w:r>
      <w:r>
        <w:rPr>
          <w:rFonts w:hint="default" w:ascii="Times New Roman" w:hAnsi="Times New Roman" w:cs="Times New Roman"/>
          <w:sz w:val="24"/>
          <w:szCs w:val="24"/>
          <w:highlight w:val="none"/>
        </w:rPr>
        <w:t>一般选用GB3095中1小时平均质量浓度的二级标准的浓度限值。</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本项目营运期排放的废气污染物主要为无组织排放的氨、硫化氢以及沼气发电机排放的沼气燃烧废气，利用导则推荐的估算模式AERSCREEN计算 Pmax(Pi 值中最大者) 和 D10%(占标率为 10%时的对应的最远距离)。本项目大气环境影响评价工作等级判定污染源及计算结果见下表。</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表1-5评价因子和评价标准表</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1980"/>
        <w:gridCol w:w="22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评价因子</w:t>
            </w:r>
          </w:p>
        </w:tc>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平均时段</w:t>
            </w:r>
          </w:p>
        </w:tc>
        <w:tc>
          <w:tcPr>
            <w:tcW w:w="198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标准值（μg/m³）</w:t>
            </w:r>
          </w:p>
        </w:tc>
        <w:tc>
          <w:tcPr>
            <w:tcW w:w="228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颗粒物</w:t>
            </w:r>
            <w:r>
              <w:rPr>
                <w:rFonts w:hint="eastAsia" w:cs="Times New Roman"/>
                <w:sz w:val="21"/>
                <w:szCs w:val="21"/>
                <w:highlight w:val="none"/>
                <w:lang w:eastAsia="zh-CN"/>
              </w:rPr>
              <w:t>（</w:t>
            </w:r>
            <w:r>
              <w:rPr>
                <w:rFonts w:hint="eastAsia" w:cs="Times New Roman"/>
                <w:sz w:val="21"/>
                <w:szCs w:val="21"/>
                <w:highlight w:val="none"/>
                <w:lang w:val="en-US" w:eastAsia="zh-CN"/>
              </w:rPr>
              <w:t>PM</w:t>
            </w:r>
            <w:r>
              <w:rPr>
                <w:rFonts w:hint="eastAsia" w:cs="Times New Roman"/>
                <w:sz w:val="21"/>
                <w:szCs w:val="21"/>
                <w:highlight w:val="none"/>
                <w:vertAlign w:val="subscript"/>
                <w:lang w:val="en-US" w:eastAsia="zh-CN"/>
              </w:rPr>
              <w:t>10</w:t>
            </w:r>
            <w:r>
              <w:rPr>
                <w:rFonts w:hint="eastAsia" w:cs="Times New Roman"/>
                <w:sz w:val="21"/>
                <w:szCs w:val="21"/>
                <w:highlight w:val="none"/>
                <w:lang w:eastAsia="zh-CN"/>
              </w:rPr>
              <w:t>）</w:t>
            </w:r>
          </w:p>
        </w:tc>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24小时平均</w:t>
            </w:r>
          </w:p>
        </w:tc>
        <w:tc>
          <w:tcPr>
            <w:tcW w:w="198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150</w:t>
            </w:r>
          </w:p>
        </w:tc>
        <w:tc>
          <w:tcPr>
            <w:tcW w:w="2282" w:type="dxa"/>
            <w:vMerge w:val="restart"/>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《环境空气质量标准》（GB3095-2012）及其修改单中二级标准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颗粒物</w:t>
            </w:r>
            <w:r>
              <w:rPr>
                <w:rFonts w:hint="eastAsia" w:cs="Times New Roman"/>
                <w:sz w:val="21"/>
                <w:szCs w:val="21"/>
                <w:highlight w:val="none"/>
                <w:lang w:eastAsia="zh-CN"/>
              </w:rPr>
              <w:t>（</w:t>
            </w:r>
            <w:r>
              <w:rPr>
                <w:rFonts w:hint="eastAsia" w:cs="Times New Roman"/>
                <w:sz w:val="21"/>
                <w:szCs w:val="21"/>
                <w:highlight w:val="none"/>
                <w:lang w:val="en-US" w:eastAsia="zh-CN"/>
              </w:rPr>
              <w:t>TSP</w:t>
            </w:r>
            <w:r>
              <w:rPr>
                <w:rFonts w:hint="eastAsia" w:cs="Times New Roman"/>
                <w:sz w:val="21"/>
                <w:szCs w:val="21"/>
                <w:highlight w:val="none"/>
                <w:lang w:eastAsia="zh-CN"/>
              </w:rPr>
              <w:t>）</w:t>
            </w:r>
          </w:p>
        </w:tc>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24小时平均</w:t>
            </w:r>
          </w:p>
        </w:tc>
        <w:tc>
          <w:tcPr>
            <w:tcW w:w="198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300</w:t>
            </w:r>
          </w:p>
        </w:tc>
        <w:tc>
          <w:tcPr>
            <w:tcW w:w="2282" w:type="dxa"/>
            <w:vMerge w:val="continue"/>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二氧化硫</w:t>
            </w:r>
          </w:p>
        </w:tc>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1小时平均</w:t>
            </w:r>
          </w:p>
        </w:tc>
        <w:tc>
          <w:tcPr>
            <w:tcW w:w="198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500</w:t>
            </w:r>
          </w:p>
        </w:tc>
        <w:tc>
          <w:tcPr>
            <w:tcW w:w="2282" w:type="dxa"/>
            <w:vMerge w:val="continue"/>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氮氧化物</w:t>
            </w:r>
            <w:r>
              <w:rPr>
                <w:rFonts w:hint="eastAsia" w:cs="Times New Roman"/>
                <w:sz w:val="21"/>
                <w:szCs w:val="21"/>
                <w:highlight w:val="none"/>
                <w:lang w:eastAsia="zh-CN"/>
              </w:rPr>
              <w:t>（</w:t>
            </w:r>
            <w:r>
              <w:rPr>
                <w:rFonts w:hint="eastAsia" w:cs="Times New Roman"/>
                <w:sz w:val="21"/>
                <w:szCs w:val="21"/>
                <w:highlight w:val="none"/>
                <w:lang w:val="en-US" w:eastAsia="zh-CN"/>
              </w:rPr>
              <w:t>NO</w:t>
            </w:r>
            <w:r>
              <w:rPr>
                <w:rFonts w:hint="eastAsia" w:cs="Times New Roman"/>
                <w:sz w:val="21"/>
                <w:szCs w:val="21"/>
                <w:highlight w:val="none"/>
                <w:vertAlign w:val="subscript"/>
                <w:lang w:val="en-US" w:eastAsia="zh-CN"/>
              </w:rPr>
              <w:t>2</w:t>
            </w:r>
            <w:r>
              <w:rPr>
                <w:rFonts w:hint="eastAsia" w:cs="Times New Roman"/>
                <w:sz w:val="21"/>
                <w:szCs w:val="21"/>
                <w:highlight w:val="none"/>
                <w:lang w:val="en-US" w:eastAsia="zh-CN"/>
              </w:rPr>
              <w:t>计</w:t>
            </w:r>
            <w:r>
              <w:rPr>
                <w:rFonts w:hint="eastAsia" w:cs="Times New Roman"/>
                <w:sz w:val="21"/>
                <w:szCs w:val="21"/>
                <w:highlight w:val="none"/>
                <w:lang w:eastAsia="zh-CN"/>
              </w:rPr>
              <w:t>）</w:t>
            </w:r>
          </w:p>
        </w:tc>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1小时平均</w:t>
            </w:r>
          </w:p>
        </w:tc>
        <w:tc>
          <w:tcPr>
            <w:tcW w:w="198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200</w:t>
            </w:r>
          </w:p>
        </w:tc>
        <w:tc>
          <w:tcPr>
            <w:tcW w:w="2282" w:type="dxa"/>
            <w:vMerge w:val="continue"/>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NH</w:t>
            </w:r>
            <w:r>
              <w:rPr>
                <w:rFonts w:hint="default" w:ascii="Times New Roman" w:hAnsi="Times New Roman" w:eastAsia="宋体" w:cs="Times New Roman"/>
                <w:sz w:val="21"/>
                <w:szCs w:val="21"/>
                <w:highlight w:val="none"/>
                <w:vertAlign w:val="subscript"/>
              </w:rPr>
              <w:t>3</w:t>
            </w:r>
          </w:p>
        </w:tc>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1小时平均</w:t>
            </w:r>
          </w:p>
        </w:tc>
        <w:tc>
          <w:tcPr>
            <w:tcW w:w="198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200</w:t>
            </w:r>
          </w:p>
        </w:tc>
        <w:tc>
          <w:tcPr>
            <w:tcW w:w="2282" w:type="dxa"/>
            <w:vMerge w:val="restart"/>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《环境影响评价技术导则 大气环境》HJ2.2-2018附录D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H</w:t>
            </w:r>
            <w:r>
              <w:rPr>
                <w:rFonts w:hint="default" w:ascii="Times New Roman" w:hAnsi="Times New Roman" w:eastAsia="宋体" w:cs="Times New Roman"/>
                <w:sz w:val="21"/>
                <w:szCs w:val="21"/>
                <w:highlight w:val="none"/>
                <w:vertAlign w:val="subscript"/>
              </w:rPr>
              <w:t>2</w:t>
            </w:r>
            <w:r>
              <w:rPr>
                <w:rFonts w:hint="default" w:ascii="Times New Roman" w:hAnsi="Times New Roman" w:eastAsia="宋体" w:cs="Times New Roman"/>
                <w:sz w:val="21"/>
                <w:szCs w:val="21"/>
                <w:highlight w:val="none"/>
              </w:rPr>
              <w:t>S</w:t>
            </w:r>
          </w:p>
        </w:tc>
        <w:tc>
          <w:tcPr>
            <w:tcW w:w="213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1小时平均</w:t>
            </w:r>
          </w:p>
        </w:tc>
        <w:tc>
          <w:tcPr>
            <w:tcW w:w="198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p>
        </w:tc>
        <w:tc>
          <w:tcPr>
            <w:tcW w:w="2282" w:type="dxa"/>
            <w:vMerge w:val="continue"/>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表1-6 估算模型参数表</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6"/>
        <w:gridCol w:w="2850"/>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6" w:type="dxa"/>
            <w:gridSpan w:val="2"/>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参数</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6" w:type="dxa"/>
            <w:vMerge w:val="restart"/>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城市/农村选项</w:t>
            </w:r>
          </w:p>
        </w:tc>
        <w:tc>
          <w:tcPr>
            <w:tcW w:w="285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城市/农村</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6" w:type="dxa"/>
            <w:vMerge w:val="continue"/>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p>
        </w:tc>
        <w:tc>
          <w:tcPr>
            <w:tcW w:w="285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人口数（城市选项时）</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6" w:type="dxa"/>
            <w:gridSpan w:val="2"/>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最高环境温度/℃</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6" w:type="dxa"/>
            <w:gridSpan w:val="2"/>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最低环境温度/℃</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6" w:type="dxa"/>
            <w:gridSpan w:val="2"/>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土地利用类型</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6" w:type="dxa"/>
            <w:gridSpan w:val="2"/>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区域湿度条件</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6" w:type="dxa"/>
            <w:vMerge w:val="restart"/>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是否考虑地形</w:t>
            </w:r>
          </w:p>
        </w:tc>
        <w:tc>
          <w:tcPr>
            <w:tcW w:w="285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考虑地形</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ascii="Times New Roman" w:hAnsi="Times New Roman"/>
                <w:sz w:val="18"/>
                <w:szCs w:val="18"/>
              </w:rPr>
              <w:t>☑</w:t>
            </w:r>
            <w:r>
              <w:rPr>
                <w:rFonts w:hint="default" w:ascii="Times New Roman" w:hAnsi="Times New Roman" w:eastAsia="宋体" w:cs="Times New Roman"/>
                <w:sz w:val="21"/>
                <w:szCs w:val="21"/>
                <w:highlight w:val="none"/>
              </w:rPr>
              <w:t xml:space="preserve">是   </w:t>
            </w:r>
            <w:r>
              <w:rPr>
                <w:rFonts w:hint="eastAsia" w:ascii="Times New Roman" w:hAnsi="Times New Roman"/>
                <w:sz w:val="18"/>
                <w:szCs w:val="18"/>
                <w:lang w:eastAsia="zh-CN"/>
              </w:rPr>
              <w:t>□</w:t>
            </w:r>
            <w:r>
              <w:rPr>
                <w:rFonts w:hint="default" w:ascii="Times New Roman" w:hAnsi="Times New Roman" w:eastAsia="宋体"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6" w:type="dxa"/>
            <w:vMerge w:val="continue"/>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p>
        </w:tc>
        <w:tc>
          <w:tcPr>
            <w:tcW w:w="285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green"/>
              </w:rPr>
            </w:pPr>
            <w:r>
              <w:rPr>
                <w:rFonts w:hint="default" w:ascii="Times New Roman" w:hAnsi="Times New Roman" w:eastAsia="宋体" w:cs="Times New Roman"/>
                <w:sz w:val="21"/>
                <w:szCs w:val="21"/>
                <w:highlight w:val="green"/>
              </w:rPr>
              <w:t>地形和数据分辨率/m</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green"/>
                <w:lang w:val="en-US" w:eastAsia="zh-CN"/>
              </w:rPr>
            </w:pPr>
            <w:r>
              <w:rPr>
                <w:rFonts w:hint="eastAsia" w:cs="Times New Roman"/>
                <w:sz w:val="21"/>
                <w:szCs w:val="21"/>
                <w:highlight w:val="green"/>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6" w:type="dxa"/>
            <w:vMerge w:val="restart"/>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是否考虑岸线熏烟</w:t>
            </w:r>
          </w:p>
        </w:tc>
        <w:tc>
          <w:tcPr>
            <w:tcW w:w="285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考虑岸线熏烟</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eastAsia" w:ascii="Times New Roman" w:hAnsi="Times New Roman"/>
                <w:sz w:val="18"/>
                <w:szCs w:val="18"/>
                <w:lang w:eastAsia="zh-CN"/>
              </w:rPr>
              <w:t>□</w:t>
            </w:r>
            <w:r>
              <w:rPr>
                <w:rFonts w:hint="default" w:ascii="Times New Roman" w:hAnsi="Times New Roman" w:eastAsia="宋体" w:cs="Times New Roman"/>
                <w:sz w:val="21"/>
                <w:szCs w:val="21"/>
                <w:highlight w:val="none"/>
              </w:rPr>
              <w:t xml:space="preserve">是  </w:t>
            </w:r>
            <w:r>
              <w:rPr>
                <w:rFonts w:hint="eastAsia" w:ascii="Times New Roman" w:hAnsi="Times New Roman"/>
                <w:sz w:val="18"/>
                <w:szCs w:val="18"/>
                <w:lang w:eastAsia="zh-CN"/>
              </w:rPr>
              <w:sym w:font="Wingdings 2" w:char="0052"/>
            </w:r>
            <w:r>
              <w:rPr>
                <w:rFonts w:hint="default" w:ascii="Times New Roman" w:hAnsi="Times New Roman" w:eastAsia="宋体"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6" w:type="dxa"/>
            <w:vMerge w:val="continue"/>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p>
        </w:tc>
        <w:tc>
          <w:tcPr>
            <w:tcW w:w="285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岸线距离/km</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6" w:type="dxa"/>
            <w:vMerge w:val="continue"/>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p>
        </w:tc>
        <w:tc>
          <w:tcPr>
            <w:tcW w:w="2850"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岸线方向/°</w:t>
            </w:r>
          </w:p>
        </w:tc>
        <w:tc>
          <w:tcPr>
            <w:tcW w:w="2852" w:type="dxa"/>
            <w:vAlign w:val="center"/>
          </w:tcPr>
          <w:p>
            <w:pPr>
              <w:pStyle w:val="30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w:t>
            </w:r>
          </w:p>
        </w:tc>
      </w:tr>
    </w:tbl>
    <w:p>
      <w:pPr>
        <w:pStyle w:val="146"/>
        <w:adjustRightInd w:val="0"/>
        <w:snapToGrid w:val="0"/>
        <w:spacing w:line="240" w:lineRule="auto"/>
        <w:ind w:firstLine="0"/>
        <w:jc w:val="center"/>
        <w:rPr>
          <w:rFonts w:hint="default" w:ascii="Times New Roman" w:hAnsi="Times New Roman" w:cs="Times New Roman"/>
          <w:spacing w:val="0"/>
          <w:kern w:val="2"/>
          <w:sz w:val="21"/>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表1-7  点源源强参数表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958"/>
        <w:gridCol w:w="996"/>
        <w:gridCol w:w="961"/>
        <w:gridCol w:w="958"/>
        <w:gridCol w:w="958"/>
        <w:gridCol w:w="958"/>
        <w:gridCol w:w="958"/>
        <w:gridCol w:w="958"/>
        <w:gridCol w:w="958"/>
        <w:gridCol w:w="958"/>
        <w:gridCol w:w="958"/>
        <w:gridCol w:w="958"/>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编号</w:t>
            </w:r>
          </w:p>
        </w:tc>
        <w:tc>
          <w:tcPr>
            <w:tcW w:w="3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名称</w:t>
            </w:r>
          </w:p>
        </w:tc>
        <w:tc>
          <w:tcPr>
            <w:tcW w:w="715"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排气筒底部中心坐标 /m</w:t>
            </w:r>
          </w:p>
        </w:tc>
        <w:tc>
          <w:tcPr>
            <w:tcW w:w="3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排气筒底部海拔高度/m</w:t>
            </w:r>
          </w:p>
        </w:tc>
        <w:tc>
          <w:tcPr>
            <w:tcW w:w="3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排气筒高度/m</w:t>
            </w:r>
          </w:p>
        </w:tc>
        <w:tc>
          <w:tcPr>
            <w:tcW w:w="3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排气筒出口内径/m</w:t>
            </w:r>
          </w:p>
        </w:tc>
        <w:tc>
          <w:tcPr>
            <w:tcW w:w="3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烟气流速/（m/s）</w:t>
            </w:r>
          </w:p>
        </w:tc>
        <w:tc>
          <w:tcPr>
            <w:tcW w:w="3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烟气温度/℃</w:t>
            </w:r>
          </w:p>
        </w:tc>
        <w:tc>
          <w:tcPr>
            <w:tcW w:w="3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年排放小时数/h</w:t>
            </w:r>
          </w:p>
        </w:tc>
        <w:tc>
          <w:tcPr>
            <w:tcW w:w="3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排放工况</w:t>
            </w:r>
          </w:p>
        </w:tc>
        <w:tc>
          <w:tcPr>
            <w:tcW w:w="1071" w:type="pct"/>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X</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Y</w:t>
            </w:r>
          </w:p>
        </w:tc>
        <w:tc>
          <w:tcPr>
            <w:tcW w:w="3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颗粒物</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SO</w:t>
            </w:r>
            <w:r>
              <w:rPr>
                <w:rFonts w:hint="default" w:ascii="Times New Roman" w:hAnsi="Times New Roman" w:cs="Times New Roman"/>
                <w:b/>
                <w:bCs/>
                <w:highlight w:val="none"/>
                <w:vertAlign w:val="subscript"/>
              </w:rPr>
              <w:t>2</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NO</w:t>
            </w:r>
            <w:r>
              <w:rPr>
                <w:rFonts w:hint="default" w:ascii="Times New Roman" w:hAnsi="Times New Roman" w:cs="Times New Roman"/>
                <w:b/>
                <w:bCs/>
                <w:highlight w:val="none"/>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沼气发电机排气筒</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118.9372</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39.8726</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96</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8</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0.12</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19.47</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150</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2920</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正常</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0.00226</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0.00154</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0.0363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饲料加工废气排气筒</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118.9384</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39.8707</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90</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22.10</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常温</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2400</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正常</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0.0052</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eastAsia="zh-CN"/>
              </w:rPr>
            </w:pPr>
            <w:r>
              <w:rPr>
                <w:rFonts w:hint="eastAsia" w:cs="Times New Roman"/>
                <w:highlight w:val="none"/>
                <w:lang w:val="en-US" w:eastAsia="zh-CN"/>
              </w:rPr>
              <w:t>沼</w:t>
            </w:r>
            <w:r>
              <w:rPr>
                <w:rFonts w:hint="default" w:ascii="Times New Roman" w:hAnsi="Times New Roman" w:cs="Times New Roman"/>
                <w:highlight w:val="none"/>
                <w:lang w:eastAsia="zh-CN"/>
              </w:rPr>
              <w:t>气热水炉排气筒</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118.9387</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39.8706</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91</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8</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0.3</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11.52</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150</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4800</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eastAsia="zh-CN"/>
              </w:rPr>
            </w:pPr>
            <w:r>
              <w:rPr>
                <w:rFonts w:hint="default" w:ascii="Times New Roman" w:hAnsi="Times New Roman" w:cs="Times New Roman"/>
                <w:highlight w:val="none"/>
                <w:lang w:eastAsia="zh-CN"/>
              </w:rPr>
              <w:t>正常</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0.0125</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0.0083</w:t>
            </w:r>
          </w:p>
        </w:tc>
        <w:tc>
          <w:tcPr>
            <w:tcW w:w="35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0.079</w:t>
            </w:r>
          </w:p>
        </w:tc>
      </w:tr>
    </w:tbl>
    <w:p>
      <w:pPr>
        <w:pStyle w:val="146"/>
        <w:adjustRightInd w:val="0"/>
        <w:snapToGrid w:val="0"/>
        <w:spacing w:line="240" w:lineRule="auto"/>
        <w:ind w:firstLine="0"/>
        <w:jc w:val="left"/>
        <w:rPr>
          <w:rFonts w:hint="default" w:ascii="Times New Roman" w:hAnsi="Times New Roman" w:cs="Times New Roman"/>
          <w:spacing w:val="0"/>
          <w:kern w:val="2"/>
          <w:sz w:val="21"/>
          <w:szCs w:val="21"/>
          <w:highlight w:val="none"/>
        </w:rPr>
      </w:pPr>
      <w:r>
        <w:rPr>
          <w:rFonts w:hint="default" w:ascii="Times New Roman" w:hAnsi="Times New Roman" w:cs="Times New Roman"/>
          <w:spacing w:val="0"/>
          <w:kern w:val="2"/>
          <w:sz w:val="18"/>
          <w:szCs w:val="18"/>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表1-8  面源源强参数表</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886"/>
        <w:gridCol w:w="996"/>
        <w:gridCol w:w="899"/>
        <w:gridCol w:w="878"/>
        <w:gridCol w:w="886"/>
        <w:gridCol w:w="886"/>
        <w:gridCol w:w="886"/>
        <w:gridCol w:w="886"/>
        <w:gridCol w:w="888"/>
        <w:gridCol w:w="888"/>
        <w:gridCol w:w="1115"/>
        <w:gridCol w:w="1187"/>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编号</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名称</w:t>
            </w:r>
          </w:p>
        </w:tc>
        <w:tc>
          <w:tcPr>
            <w:tcW w:w="704"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面源起点坐标/m</w:t>
            </w:r>
          </w:p>
        </w:tc>
        <w:tc>
          <w:tcPr>
            <w:tcW w:w="326"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面源海拔高度/m</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面源长度/m</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面源宽度/m</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与正北向夹角/ °</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面源有效排放高度/m</w:t>
            </w:r>
          </w:p>
        </w:tc>
        <w:tc>
          <w:tcPr>
            <w:tcW w:w="330"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年排放小时数/h</w:t>
            </w:r>
          </w:p>
        </w:tc>
        <w:tc>
          <w:tcPr>
            <w:tcW w:w="330"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排放工况</w:t>
            </w:r>
          </w:p>
        </w:tc>
        <w:tc>
          <w:tcPr>
            <w:tcW w:w="1331" w:type="pct"/>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X</w:t>
            </w:r>
          </w:p>
        </w:tc>
        <w:tc>
          <w:tcPr>
            <w:tcW w:w="33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Y</w:t>
            </w:r>
          </w:p>
        </w:tc>
        <w:tc>
          <w:tcPr>
            <w:tcW w:w="32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Cs w:val="21"/>
                <w:highlight w:val="none"/>
              </w:rPr>
            </w:pPr>
          </w:p>
        </w:tc>
        <w:tc>
          <w:tcPr>
            <w:tcW w:w="32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Cs w:val="21"/>
                <w:highlight w:val="none"/>
              </w:rPr>
            </w:pPr>
          </w:p>
        </w:tc>
        <w:tc>
          <w:tcPr>
            <w:tcW w:w="32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Cs w:val="21"/>
                <w:highlight w:val="none"/>
              </w:rPr>
            </w:pPr>
          </w:p>
        </w:tc>
        <w:tc>
          <w:tcPr>
            <w:tcW w:w="32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Cs w:val="21"/>
                <w:highlight w:val="none"/>
              </w:rPr>
            </w:pPr>
          </w:p>
        </w:tc>
        <w:tc>
          <w:tcPr>
            <w:tcW w:w="32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Cs w:val="21"/>
                <w:highlight w:val="none"/>
              </w:rPr>
            </w:pPr>
          </w:p>
        </w:tc>
        <w:tc>
          <w:tcPr>
            <w:tcW w:w="33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Cs w:val="21"/>
                <w:highlight w:val="none"/>
              </w:rPr>
            </w:pPr>
          </w:p>
        </w:tc>
        <w:tc>
          <w:tcPr>
            <w:tcW w:w="33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Cs w:val="21"/>
                <w:highlight w:val="none"/>
              </w:rPr>
            </w:pPr>
          </w:p>
        </w:tc>
        <w:tc>
          <w:tcPr>
            <w:tcW w:w="41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b/>
                <w:bCs/>
                <w:highlight w:val="none"/>
                <w:lang w:eastAsia="zh-CN"/>
              </w:rPr>
            </w:pPr>
            <w:r>
              <w:rPr>
                <w:rFonts w:hint="default" w:ascii="Times New Roman" w:hAnsi="Times New Roman" w:cs="Times New Roman"/>
                <w:b/>
                <w:bCs/>
                <w:highlight w:val="none"/>
                <w:lang w:eastAsia="zh-CN"/>
              </w:rPr>
              <w:t>颗粒物</w:t>
            </w:r>
          </w:p>
        </w:tc>
        <w:tc>
          <w:tcPr>
            <w:tcW w:w="44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NH</w:t>
            </w:r>
            <w:r>
              <w:rPr>
                <w:rFonts w:hint="default" w:ascii="Times New Roman" w:hAnsi="Times New Roman" w:cs="Times New Roman"/>
                <w:b/>
                <w:bCs/>
                <w:highlight w:val="none"/>
                <w:vertAlign w:val="subscript"/>
              </w:rPr>
              <w:t>3</w:t>
            </w:r>
          </w:p>
        </w:tc>
        <w:tc>
          <w:tcPr>
            <w:tcW w:w="475" w:type="pct"/>
            <w:tcBorders>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H</w:t>
            </w:r>
            <w:r>
              <w:rPr>
                <w:rFonts w:hint="default" w:ascii="Times New Roman" w:hAnsi="Times New Roman" w:cs="Times New Roman"/>
                <w:b/>
                <w:bCs/>
                <w:highlight w:val="none"/>
                <w:vertAlign w:val="subscript"/>
              </w:rPr>
              <w:t>2</w:t>
            </w:r>
            <w:r>
              <w:rPr>
                <w:rFonts w:hint="default" w:ascii="Times New Roman" w:hAnsi="Times New Roman" w:cs="Times New Roman"/>
                <w:b/>
                <w:bCs/>
                <w:highlight w:val="non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恶臭产生区域</w:t>
            </w:r>
          </w:p>
        </w:tc>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118.9363</w:t>
            </w:r>
          </w:p>
        </w:tc>
        <w:tc>
          <w:tcPr>
            <w:tcW w:w="33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39.8713</w:t>
            </w:r>
          </w:p>
        </w:tc>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96</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350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300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w:t>
            </w:r>
          </w:p>
        </w:tc>
        <w:tc>
          <w:tcPr>
            <w:tcW w:w="33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8760</w:t>
            </w:r>
          </w:p>
        </w:tc>
        <w:tc>
          <w:tcPr>
            <w:tcW w:w="33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正常</w:t>
            </w:r>
          </w:p>
        </w:tc>
        <w:tc>
          <w:tcPr>
            <w:tcW w:w="41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w:t>
            </w:r>
          </w:p>
        </w:tc>
        <w:tc>
          <w:tcPr>
            <w:tcW w:w="44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0.53135</w:t>
            </w:r>
          </w:p>
        </w:tc>
        <w:tc>
          <w:tcPr>
            <w:tcW w:w="47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0.07489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饲料加工车间</w:t>
            </w:r>
          </w:p>
        </w:tc>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lang w:val="en-US" w:eastAsia="zh-CN"/>
              </w:rPr>
              <w:t>118.9384</w:t>
            </w:r>
          </w:p>
        </w:tc>
        <w:tc>
          <w:tcPr>
            <w:tcW w:w="33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lang w:val="en-US" w:eastAsia="zh-CN"/>
              </w:rPr>
              <w:t>39.8707</w:t>
            </w:r>
          </w:p>
        </w:tc>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90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80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w:t>
            </w:r>
          </w:p>
        </w:tc>
        <w:tc>
          <w:tcPr>
            <w:tcW w:w="33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2400</w:t>
            </w:r>
          </w:p>
        </w:tc>
        <w:tc>
          <w:tcPr>
            <w:tcW w:w="33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正常</w:t>
            </w:r>
          </w:p>
        </w:tc>
        <w:tc>
          <w:tcPr>
            <w:tcW w:w="41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0.0028</w:t>
            </w:r>
          </w:p>
        </w:tc>
        <w:tc>
          <w:tcPr>
            <w:tcW w:w="44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w:t>
            </w:r>
          </w:p>
        </w:tc>
        <w:tc>
          <w:tcPr>
            <w:tcW w:w="47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w:t>
            </w:r>
          </w:p>
        </w:tc>
      </w:tr>
    </w:tbl>
    <w:p>
      <w:pPr>
        <w:pStyle w:val="146"/>
        <w:adjustRightInd w:val="0"/>
        <w:snapToGrid w:val="0"/>
        <w:spacing w:line="240" w:lineRule="auto"/>
        <w:ind w:firstLine="0"/>
        <w:jc w:val="center"/>
        <w:rPr>
          <w:rFonts w:hint="default" w:ascii="Times New Roman" w:hAnsi="Times New Roman" w:cs="Times New Roman"/>
          <w:spacing w:val="0"/>
          <w:kern w:val="2"/>
          <w:sz w:val="21"/>
          <w:szCs w:val="21"/>
          <w:highlight w:val="none"/>
        </w:rPr>
      </w:pPr>
    </w:p>
    <w:p>
      <w:pPr>
        <w:pStyle w:val="146"/>
        <w:adjustRightInd w:val="0"/>
        <w:snapToGrid w:val="0"/>
        <w:spacing w:line="240" w:lineRule="auto"/>
        <w:ind w:firstLine="0"/>
        <w:jc w:val="center"/>
        <w:rPr>
          <w:rFonts w:hint="default" w:ascii="Times New Roman" w:hAnsi="Times New Roman" w:cs="Times New Roman"/>
          <w:spacing w:val="0"/>
          <w:kern w:val="2"/>
          <w:sz w:val="21"/>
          <w:szCs w:val="21"/>
          <w:highlight w:val="none"/>
        </w:rPr>
      </w:pPr>
    </w:p>
    <w:p>
      <w:pPr>
        <w:pStyle w:val="146"/>
        <w:adjustRightInd w:val="0"/>
        <w:snapToGrid w:val="0"/>
        <w:spacing w:line="240" w:lineRule="auto"/>
        <w:ind w:firstLine="0"/>
        <w:jc w:val="center"/>
        <w:rPr>
          <w:rFonts w:hint="default" w:ascii="Times New Roman" w:hAnsi="Times New Roman" w:cs="Times New Roman"/>
          <w:spacing w:val="0"/>
          <w:kern w:val="2"/>
          <w:sz w:val="21"/>
          <w:szCs w:val="21"/>
          <w:highlight w:val="none"/>
        </w:rPr>
      </w:pPr>
    </w:p>
    <w:p>
      <w:pPr>
        <w:pStyle w:val="146"/>
        <w:adjustRightInd w:val="0"/>
        <w:snapToGrid w:val="0"/>
        <w:spacing w:line="240" w:lineRule="auto"/>
        <w:ind w:firstLine="0"/>
        <w:jc w:val="center"/>
        <w:rPr>
          <w:rFonts w:hint="default" w:ascii="Times New Roman" w:hAnsi="Times New Roman" w:cs="Times New Roman"/>
          <w:spacing w:val="0"/>
          <w:kern w:val="2"/>
          <w:sz w:val="21"/>
          <w:szCs w:val="21"/>
          <w:highlight w:val="none"/>
        </w:rPr>
      </w:pPr>
    </w:p>
    <w:p>
      <w:pPr>
        <w:pStyle w:val="146"/>
        <w:adjustRightInd w:val="0"/>
        <w:snapToGrid w:val="0"/>
        <w:spacing w:line="240" w:lineRule="auto"/>
        <w:ind w:firstLine="0"/>
        <w:jc w:val="center"/>
        <w:rPr>
          <w:rFonts w:hint="default" w:ascii="Times New Roman" w:hAnsi="Times New Roman" w:cs="Times New Roman"/>
          <w:spacing w:val="0"/>
          <w:kern w:val="2"/>
          <w:sz w:val="21"/>
          <w:szCs w:val="21"/>
          <w:highlight w:val="none"/>
        </w:rPr>
      </w:pPr>
    </w:p>
    <w:p>
      <w:pPr>
        <w:pStyle w:val="146"/>
        <w:adjustRightInd w:val="0"/>
        <w:snapToGrid w:val="0"/>
        <w:spacing w:line="240" w:lineRule="auto"/>
        <w:ind w:firstLine="0"/>
        <w:jc w:val="center"/>
        <w:rPr>
          <w:rFonts w:hint="default" w:ascii="Times New Roman" w:hAnsi="Times New Roman" w:cs="Times New Roman"/>
          <w:spacing w:val="0"/>
          <w:kern w:val="2"/>
          <w:sz w:val="21"/>
          <w:szCs w:val="21"/>
          <w:highlight w:val="none"/>
        </w:rPr>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表1-9  大气环境影响评价工作等级判定</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污染源</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污染物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最大落地浓度</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Pmax(%)</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D10%/m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restart"/>
            <w:tcBorders>
              <w:top w:val="single" w:color="auto" w:sz="4" w:space="0"/>
              <w:left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沼气发电机排气筒</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颗粒物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0.114</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0.025</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continue"/>
            <w:tcBorders>
              <w:left w:val="single" w:color="auto" w:sz="4" w:space="0"/>
              <w:right w:val="single" w:color="auto" w:sz="4" w:space="0"/>
            </w:tcBorders>
            <w:vAlign w:val="center"/>
          </w:tcPr>
          <w:p>
            <w:pPr>
              <w:pStyle w:val="309"/>
              <w:rPr>
                <w:rFonts w:hint="default" w:ascii="Times New Roman" w:hAnsi="Times New Roman" w:cs="Times New Roman"/>
                <w:highlight w:val="none"/>
              </w:rPr>
            </w:pP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二氧化硫</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0.778</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0.156</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continue"/>
            <w:tcBorders>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氮氧化物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1.587</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0</w:t>
            </w:r>
            <w:r>
              <w:rPr>
                <w:rFonts w:hint="default" w:ascii="Times New Roman" w:hAnsi="Times New Roman" w:cs="Times New Roman"/>
                <w:highlight w:val="none"/>
                <w:lang w:val="en-US" w:eastAsia="zh-CN"/>
              </w:rPr>
              <w:t>.79</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tcBorders>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饲料加工废气排气筒</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颗粒物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0.134</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0.015</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restart"/>
            <w:tcBorders>
              <w:left w:val="single" w:color="auto" w:sz="4" w:space="0"/>
              <w:right w:val="single" w:color="auto" w:sz="4" w:space="0"/>
            </w:tcBorders>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rPr>
              <w:t>沼气</w:t>
            </w:r>
            <w:r>
              <w:rPr>
                <w:rFonts w:hint="default" w:ascii="Times New Roman" w:hAnsi="Times New Roman" w:cs="Times New Roman"/>
                <w:highlight w:val="none"/>
                <w:lang w:eastAsia="zh-CN"/>
              </w:rPr>
              <w:t>热水炉排气筒</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颗粒物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0.562</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0.125</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continue"/>
            <w:tcBorders>
              <w:left w:val="single" w:color="auto" w:sz="4" w:space="0"/>
              <w:right w:val="single" w:color="auto" w:sz="4" w:space="0"/>
            </w:tcBorders>
            <w:vAlign w:val="center"/>
          </w:tcPr>
          <w:p>
            <w:pPr>
              <w:pStyle w:val="309"/>
              <w:rPr>
                <w:rFonts w:hint="default" w:ascii="Times New Roman" w:hAnsi="Times New Roman" w:cs="Times New Roman"/>
                <w:highlight w:val="none"/>
              </w:rPr>
            </w:pP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二氧化硫</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2.451</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0.49</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continue"/>
            <w:tcBorders>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氮氧化物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3.111</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1.56</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restart"/>
            <w:tcBorders>
              <w:top w:val="single" w:color="auto" w:sz="4" w:space="0"/>
              <w:left w:val="single" w:color="auto" w:sz="4" w:space="0"/>
              <w:right w:val="single" w:color="auto" w:sz="4" w:space="0"/>
            </w:tcBorders>
            <w:vAlign w:val="center"/>
          </w:tcPr>
          <w:p>
            <w:pPr>
              <w:pStyle w:val="309"/>
              <w:rPr>
                <w:rFonts w:hint="default" w:ascii="Times New Roman" w:hAnsi="Times New Roman" w:cs="Times New Roman"/>
                <w:highlight w:val="green"/>
              </w:rPr>
            </w:pPr>
            <w:r>
              <w:rPr>
                <w:rFonts w:hint="default" w:ascii="Times New Roman" w:hAnsi="Times New Roman" w:cs="Times New Roman"/>
                <w:highlight w:val="green"/>
              </w:rPr>
              <w:t>恶臭产生区域</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green"/>
              </w:rPr>
            </w:pPr>
            <w:r>
              <w:rPr>
                <w:rFonts w:hint="default" w:ascii="Times New Roman" w:hAnsi="Times New Roman" w:cs="Times New Roman"/>
                <w:highlight w:val="green"/>
              </w:rPr>
              <w:t>氨</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1.661</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0.831</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continue"/>
            <w:tcBorders>
              <w:left w:val="single" w:color="auto" w:sz="4" w:space="0"/>
              <w:right w:val="single" w:color="auto" w:sz="4" w:space="0"/>
            </w:tcBorders>
            <w:vAlign w:val="center"/>
          </w:tcPr>
          <w:p>
            <w:pPr>
              <w:pStyle w:val="309"/>
              <w:rPr>
                <w:rFonts w:hint="default" w:ascii="Times New Roman" w:hAnsi="Times New Roman" w:cs="Times New Roman"/>
                <w:highlight w:val="green"/>
              </w:rPr>
            </w:pP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green"/>
              </w:rPr>
            </w:pPr>
            <w:r>
              <w:rPr>
                <w:rFonts w:hint="default" w:ascii="Times New Roman" w:hAnsi="Times New Roman" w:cs="Times New Roman"/>
                <w:highlight w:val="green"/>
              </w:rPr>
              <w:t>硫化氢</w:t>
            </w:r>
          </w:p>
        </w:tc>
        <w:tc>
          <w:tcPr>
            <w:tcW w:w="1704" w:type="dxa"/>
            <w:tcBorders>
              <w:top w:val="single" w:color="auto" w:sz="4" w:space="0"/>
              <w:left w:val="single" w:color="auto" w:sz="4" w:space="0"/>
              <w:bottom w:val="single" w:color="auto" w:sz="4" w:space="0"/>
              <w:right w:val="single" w:color="auto" w:sz="4" w:space="0"/>
            </w:tcBorders>
          </w:tcPr>
          <w:p>
            <w:pPr>
              <w:pStyle w:val="309"/>
              <w:rPr>
                <w:rFonts w:hint="default" w:ascii="Times New Roman" w:hAnsi="Times New Roman" w:cs="Times New Roman"/>
                <w:highlight w:val="none"/>
              </w:rPr>
            </w:pPr>
            <w:r>
              <w:rPr>
                <w:rFonts w:hint="default" w:ascii="Times New Roman" w:hAnsi="Times New Roman" w:cs="Times New Roman"/>
                <w:highlight w:val="none"/>
              </w:rPr>
              <w:t>0.054</w:t>
            </w:r>
          </w:p>
        </w:tc>
        <w:tc>
          <w:tcPr>
            <w:tcW w:w="1705" w:type="dxa"/>
            <w:tcBorders>
              <w:top w:val="single" w:color="auto" w:sz="4" w:space="0"/>
              <w:left w:val="single" w:color="auto" w:sz="4" w:space="0"/>
              <w:bottom w:val="single" w:color="auto" w:sz="4" w:space="0"/>
              <w:right w:val="single" w:color="auto" w:sz="4" w:space="0"/>
            </w:tcBorders>
          </w:tcPr>
          <w:p>
            <w:pPr>
              <w:pStyle w:val="309"/>
              <w:rPr>
                <w:rFonts w:hint="default" w:ascii="Times New Roman" w:hAnsi="Times New Roman" w:cs="Times New Roman"/>
                <w:highlight w:val="none"/>
              </w:rPr>
            </w:pPr>
            <w:r>
              <w:rPr>
                <w:rFonts w:hint="default" w:ascii="Times New Roman" w:hAnsi="Times New Roman" w:cs="Times New Roman"/>
                <w:highlight w:val="none"/>
              </w:rPr>
              <w:t>0.54</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tcBorders>
              <w:left w:val="single" w:color="auto" w:sz="4" w:space="0"/>
              <w:right w:val="single" w:color="auto" w:sz="4" w:space="0"/>
            </w:tcBorders>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饲料加工车间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颗粒物</w:t>
            </w:r>
          </w:p>
        </w:tc>
        <w:tc>
          <w:tcPr>
            <w:tcW w:w="1704" w:type="dxa"/>
            <w:tcBorders>
              <w:top w:val="single" w:color="auto" w:sz="4" w:space="0"/>
              <w:left w:val="single" w:color="auto" w:sz="4" w:space="0"/>
              <w:bottom w:val="single" w:color="auto" w:sz="4" w:space="0"/>
              <w:right w:val="single" w:color="auto" w:sz="4" w:space="0"/>
            </w:tcBorders>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0.937</w:t>
            </w:r>
          </w:p>
        </w:tc>
        <w:tc>
          <w:tcPr>
            <w:tcW w:w="1705" w:type="dxa"/>
            <w:tcBorders>
              <w:top w:val="single" w:color="auto" w:sz="4" w:space="0"/>
              <w:left w:val="single" w:color="auto" w:sz="4" w:space="0"/>
              <w:bottom w:val="single" w:color="auto" w:sz="4" w:space="0"/>
              <w:right w:val="single" w:color="auto" w:sz="4" w:space="0"/>
            </w:tcBorders>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0.104</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评价工作级别确定综合以上分析，根据《环境影响评价技术导则·大气环境》(HJ2.2-2008)对评价工作级别的确定原则，本项目大气环境影响评价工作级别为三级。</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snapToGrid w:val="0"/>
          <w:kern w:val="0"/>
          <w:sz w:val="24"/>
          <w:szCs w:val="24"/>
          <w:highlight w:val="none"/>
        </w:rPr>
      </w:pPr>
      <w:r>
        <w:rPr>
          <w:rFonts w:hint="default" w:ascii="Times New Roman" w:hAnsi="Times New Roman" w:eastAsia="宋体" w:cs="Times New Roman"/>
          <w:b/>
          <w:snapToGrid w:val="0"/>
          <w:kern w:val="0"/>
          <w:sz w:val="24"/>
          <w:szCs w:val="24"/>
          <w:highlight w:val="none"/>
        </w:rPr>
        <w:t>（2）地表水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snapToGrid w:val="0"/>
          <w:kern w:val="0"/>
          <w:sz w:val="24"/>
          <w:szCs w:val="24"/>
          <w:highlight w:val="none"/>
        </w:rPr>
      </w:pPr>
      <w:r>
        <w:rPr>
          <w:rFonts w:hint="default" w:ascii="Times New Roman" w:hAnsi="Times New Roman" w:eastAsia="宋体" w:cs="Times New Roman"/>
          <w:sz w:val="24"/>
          <w:szCs w:val="24"/>
          <w:highlight w:val="none"/>
        </w:rPr>
        <w:t>项目废水处理后全部用作液体肥料</w:t>
      </w:r>
      <w:r>
        <w:rPr>
          <w:rFonts w:hint="default" w:ascii="Times New Roman" w:hAnsi="Times New Roman" w:eastAsia="宋体" w:cs="Times New Roman"/>
          <w:snapToGrid w:val="0"/>
          <w:kern w:val="0"/>
          <w:sz w:val="24"/>
          <w:szCs w:val="24"/>
          <w:highlight w:val="none"/>
        </w:rPr>
        <w:t>，不直接排入地表水域。</w:t>
      </w:r>
      <w:r>
        <w:rPr>
          <w:rFonts w:hint="default" w:ascii="Times New Roman" w:hAnsi="Times New Roman" w:eastAsia="宋体" w:cs="Times New Roman"/>
          <w:sz w:val="24"/>
          <w:szCs w:val="24"/>
          <w:highlight w:val="none"/>
          <w:lang w:val="zh-CN"/>
        </w:rPr>
        <w:t>根据地表水环境影响评价技术导则要求：废水采用间接排放方式的建设项目地表水评价等级为三级B。</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snapToGrid w:val="0"/>
          <w:kern w:val="0"/>
          <w:sz w:val="24"/>
          <w:szCs w:val="24"/>
          <w:highlight w:val="none"/>
        </w:rPr>
      </w:pPr>
      <w:r>
        <w:rPr>
          <w:rFonts w:hint="default" w:ascii="Times New Roman" w:hAnsi="Times New Roman" w:eastAsia="宋体" w:cs="Times New Roman"/>
          <w:b/>
          <w:snapToGrid w:val="0"/>
          <w:kern w:val="0"/>
          <w:sz w:val="24"/>
          <w:szCs w:val="24"/>
          <w:highlight w:val="none"/>
        </w:rPr>
        <w:t>（3）地下水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环境影响评价技术导则地下水环境》（HJ610-2016）地下水评价等级依据项目类别和地下水环境敏感程度进行划分。项目为养猪场，依据导则附录A，确定本项目类别为Ⅲ类；根据导则地下水环境敏感程度分级表，评价范围内居民饮用水地下水井为</w:t>
      </w:r>
      <w:r>
        <w:rPr>
          <w:rFonts w:hint="default" w:ascii="Times New Roman" w:hAnsi="Times New Roman" w:eastAsia="宋体" w:cs="Times New Roman"/>
          <w:b/>
          <w:bCs/>
          <w:sz w:val="24"/>
          <w:szCs w:val="24"/>
          <w:highlight w:val="none"/>
        </w:rPr>
        <w:t>分散</w:t>
      </w:r>
      <w:r>
        <w:rPr>
          <w:rFonts w:hint="default" w:ascii="Times New Roman" w:hAnsi="Times New Roman" w:eastAsia="宋体" w:cs="Times New Roman"/>
          <w:sz w:val="24"/>
          <w:szCs w:val="24"/>
          <w:highlight w:val="none"/>
        </w:rPr>
        <w:t>居民饮用水源，地下水环境敏感程度为</w:t>
      </w:r>
      <w:r>
        <w:rPr>
          <w:rFonts w:hint="default" w:ascii="Times New Roman" w:hAnsi="Times New Roman" w:eastAsia="宋体" w:cs="Times New Roman"/>
          <w:b/>
          <w:bCs/>
          <w:sz w:val="24"/>
          <w:szCs w:val="24"/>
          <w:highlight w:val="none"/>
        </w:rPr>
        <w:t>较敏感</w:t>
      </w:r>
      <w:r>
        <w:rPr>
          <w:rFonts w:hint="default" w:ascii="Times New Roman" w:hAnsi="Times New Roman" w:eastAsia="宋体" w:cs="Times New Roman"/>
          <w:sz w:val="24"/>
          <w:szCs w:val="24"/>
          <w:highlight w:val="none"/>
        </w:rPr>
        <w:t>；因此根据导则中表 2 评价工作等级分级表可知，本项目地下水评价工作等级为三级。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地下水环境敏感程度分级原则见表1-10。</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表1-10  地下水环境敏感程度分级表</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敏感程度</w:t>
            </w:r>
          </w:p>
        </w:tc>
        <w:tc>
          <w:tcPr>
            <w:tcW w:w="7237"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敏感</w:t>
            </w:r>
          </w:p>
        </w:tc>
        <w:tc>
          <w:tcPr>
            <w:tcW w:w="7237"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较敏感</w:t>
            </w:r>
          </w:p>
        </w:tc>
        <w:tc>
          <w:tcPr>
            <w:tcW w:w="7237"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集中式饮用水水源（包括已建成的在用、备用、应急水源，在建和规划的饮用水水源）准保护区以外的补给径流区；未划定准保护区的集中式饮用水水源，其保护区以外的补给径流区；</w:t>
            </w:r>
            <w:r>
              <w:rPr>
                <w:rFonts w:hint="default" w:ascii="Times New Roman" w:hAnsi="Times New Roman" w:cs="Times New Roman"/>
                <w:b/>
                <w:bCs/>
                <w:szCs w:val="21"/>
                <w:highlight w:val="none"/>
              </w:rPr>
              <w:t>分散式饮用水水源地</w:t>
            </w:r>
            <w:r>
              <w:rPr>
                <w:rFonts w:hint="default" w:ascii="Times New Roman" w:hAnsi="Times New Roman" w:cs="Times New Roman"/>
                <w:szCs w:val="21"/>
                <w:highlight w:val="none"/>
              </w:rPr>
              <w:t>；特殊地下水资源（如热水、矿泉水、温泉等）保护区以外的分布区等其它未列入上述敏感分级的环境敏感区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不敏感</w:t>
            </w:r>
          </w:p>
        </w:tc>
        <w:tc>
          <w:tcPr>
            <w:tcW w:w="7237"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上述地区之外的其它地区</w:t>
            </w:r>
          </w:p>
        </w:tc>
      </w:tr>
    </w:tbl>
    <w:p>
      <w:pPr>
        <w:adjustRightInd w:val="0"/>
        <w:snapToGrid w:val="0"/>
        <w:ind w:firstLine="480"/>
        <w:rPr>
          <w:rFonts w:hint="default" w:ascii="Times New Roman" w:hAnsi="Times New Roman" w:cs="Times New Roman"/>
          <w:highlight w:val="none"/>
        </w:rPr>
      </w:pPr>
    </w:p>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地下水环境影响评价工作等级分级表见表1-11。</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表1-11 地下水评价工作等级分级表</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项目类别</w:t>
            </w:r>
          </w:p>
        </w:tc>
        <w:tc>
          <w:tcPr>
            <w:tcW w:w="2130"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Ⅰ类建设项目</w:t>
            </w:r>
          </w:p>
        </w:tc>
        <w:tc>
          <w:tcPr>
            <w:tcW w:w="2131"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Ⅱ类建设项目</w:t>
            </w:r>
          </w:p>
        </w:tc>
        <w:tc>
          <w:tcPr>
            <w:tcW w:w="2131"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b/>
                <w:bCs/>
                <w:szCs w:val="21"/>
                <w:highlight w:val="none"/>
              </w:rPr>
              <w:t>Ⅲ类建设项目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敏感</w:t>
            </w:r>
          </w:p>
        </w:tc>
        <w:tc>
          <w:tcPr>
            <w:tcW w:w="2130"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w:t>
            </w:r>
          </w:p>
        </w:tc>
        <w:tc>
          <w:tcPr>
            <w:tcW w:w="2131"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w:t>
            </w:r>
          </w:p>
        </w:tc>
        <w:tc>
          <w:tcPr>
            <w:tcW w:w="2131"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b/>
                <w:bCs/>
                <w:szCs w:val="21"/>
                <w:highlight w:val="none"/>
              </w:rPr>
              <w:t>较敏感</w:t>
            </w:r>
          </w:p>
        </w:tc>
        <w:tc>
          <w:tcPr>
            <w:tcW w:w="2130"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w:t>
            </w:r>
          </w:p>
        </w:tc>
        <w:tc>
          <w:tcPr>
            <w:tcW w:w="2131"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w:t>
            </w:r>
          </w:p>
        </w:tc>
        <w:tc>
          <w:tcPr>
            <w:tcW w:w="2131"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iCs/>
                <w:szCs w:val="21"/>
                <w:highlight w:val="none"/>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不敏感</w:t>
            </w:r>
          </w:p>
        </w:tc>
        <w:tc>
          <w:tcPr>
            <w:tcW w:w="2130"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w:t>
            </w:r>
          </w:p>
        </w:tc>
        <w:tc>
          <w:tcPr>
            <w:tcW w:w="2131"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三</w:t>
            </w:r>
          </w:p>
        </w:tc>
        <w:tc>
          <w:tcPr>
            <w:tcW w:w="2131"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三</w:t>
            </w:r>
          </w:p>
        </w:tc>
      </w:tr>
    </w:tbl>
    <w:p>
      <w:pPr>
        <w:keepNext w:val="0"/>
        <w:keepLines w:val="0"/>
        <w:pageBreakBefore w:val="0"/>
        <w:widowControl w:val="0"/>
        <w:kinsoku/>
        <w:wordWrap/>
        <w:overflowPunct/>
        <w:topLinePunct w:val="0"/>
        <w:autoSpaceDE/>
        <w:autoSpaceDN/>
        <w:bidi w:val="0"/>
        <w:adjustRightInd w:val="0"/>
        <w:snapToGrid w:val="0"/>
        <w:spacing w:before="144" w:beforeLines="50" w:line="360" w:lineRule="auto"/>
        <w:ind w:firstLine="480" w:firstLineChars="200"/>
        <w:textAlignment w:val="auto"/>
        <w:rPr>
          <w:rFonts w:hint="default" w:ascii="Times New Roman" w:hAnsi="Times New Roman" w:cs="Times New Roman"/>
          <w:sz w:val="24"/>
          <w:szCs w:val="24"/>
          <w:highlight w:val="none"/>
          <w:lang w:val="zh-CN"/>
        </w:rPr>
      </w:pPr>
      <w:r>
        <w:rPr>
          <w:rFonts w:hint="default" w:ascii="Times New Roman" w:hAnsi="Times New Roman" w:cs="Times New Roman"/>
          <w:sz w:val="24"/>
          <w:szCs w:val="24"/>
          <w:highlight w:val="none"/>
        </w:rPr>
        <w:t>本项目为</w:t>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 3 \* ROMAN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III</w:t>
      </w:r>
      <w:r>
        <w:rPr>
          <w:rFonts w:hint="default" w:ascii="Times New Roman" w:hAnsi="Times New Roman" w:cs="Times New Roman"/>
          <w:sz w:val="24"/>
          <w:szCs w:val="24"/>
          <w:highlight w:val="none"/>
        </w:rPr>
        <w:fldChar w:fldCharType="end"/>
      </w:r>
      <w:r>
        <w:rPr>
          <w:rFonts w:hint="default" w:ascii="Times New Roman" w:hAnsi="Times New Roman" w:cs="Times New Roman"/>
          <w:sz w:val="24"/>
          <w:szCs w:val="24"/>
          <w:highlight w:val="none"/>
        </w:rPr>
        <w:t>类建设项目，环境敏感程度为较敏感。</w:t>
      </w:r>
      <w:r>
        <w:rPr>
          <w:rFonts w:hint="default" w:ascii="Times New Roman" w:hAnsi="Times New Roman" w:cs="Times New Roman"/>
          <w:sz w:val="24"/>
          <w:szCs w:val="24"/>
          <w:highlight w:val="none"/>
          <w:lang w:val="zh-CN"/>
        </w:rPr>
        <w:t>因此，可确定本项目地下水环境影响评价等级为三级。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（4）声环境影响评价等级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根据《秦皇岛市生态环境保护“十三五”规划》，项目位于农村，适用《声环境质量标准》（GB3096-2008）规定的 1 类功能区标准；项目建成运营后敏感目标噪声增高量均低于 3 dB(A)，评价等级定为二级。</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表1-12 声环境影响评价等级划分依据</w:t>
      </w:r>
    </w:p>
    <w:tbl>
      <w:tblPr>
        <w:tblStyle w:val="80"/>
        <w:tblW w:w="852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8"/>
        <w:gridCol w:w="2811"/>
        <w:gridCol w:w="2949"/>
        <w:gridCol w:w="194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dxa"/>
            <w:vMerge w:val="restart"/>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评价等级</w:t>
            </w:r>
          </w:p>
        </w:tc>
        <w:tc>
          <w:tcPr>
            <w:tcW w:w="7700" w:type="dxa"/>
            <w:gridSpan w:val="3"/>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划分依据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dxa"/>
            <w:vMerge w:val="continue"/>
            <w:vAlign w:val="center"/>
          </w:tcPr>
          <w:p>
            <w:pPr>
              <w:adjustRightInd w:val="0"/>
              <w:snapToGrid w:val="0"/>
              <w:jc w:val="center"/>
              <w:rPr>
                <w:rFonts w:hint="default" w:ascii="Times New Roman" w:hAnsi="Times New Roman" w:cs="Times New Roman"/>
                <w:b/>
                <w:bCs/>
                <w:szCs w:val="21"/>
                <w:highlight w:val="none"/>
              </w:rPr>
            </w:pPr>
          </w:p>
        </w:tc>
        <w:tc>
          <w:tcPr>
            <w:tcW w:w="2811"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建设项目所在区域的声环境功能区类别</w:t>
            </w:r>
          </w:p>
        </w:tc>
        <w:tc>
          <w:tcPr>
            <w:tcW w:w="2949"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建设项目建设前后所在区域的声环境质量变化程度</w:t>
            </w:r>
          </w:p>
        </w:tc>
        <w:tc>
          <w:tcPr>
            <w:tcW w:w="1940"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受建设项目影响人口的数量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dxa"/>
            <w:tcBorders>
              <w:bottom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一级</w:t>
            </w:r>
          </w:p>
        </w:tc>
        <w:tc>
          <w:tcPr>
            <w:tcW w:w="2811" w:type="dxa"/>
            <w:tcBorders>
              <w:bottom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GB3096规定的0类区，或对噪声有特别限制要求的保护区等敏感目标</w:t>
            </w:r>
          </w:p>
        </w:tc>
        <w:tc>
          <w:tcPr>
            <w:tcW w:w="2949" w:type="dxa"/>
            <w:tcBorders>
              <w:bottom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建设项目建设前后评价范围内敏感目标噪声级增高量5dB(A)以上(不含5dB(A))</w:t>
            </w:r>
          </w:p>
        </w:tc>
        <w:tc>
          <w:tcPr>
            <w:tcW w:w="1940" w:type="dxa"/>
            <w:tcBorders>
              <w:bottom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受噪声影响人口数量显著增多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dxa"/>
            <w:tcBorders>
              <w:top w:val="single" w:color="auto" w:sz="6" w:space="0"/>
              <w:bottom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二级</w:t>
            </w:r>
          </w:p>
        </w:tc>
        <w:tc>
          <w:tcPr>
            <w:tcW w:w="2811" w:type="dxa"/>
            <w:tcBorders>
              <w:top w:val="single" w:color="auto" w:sz="6" w:space="0"/>
              <w:bottom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b/>
                <w:bCs/>
                <w:szCs w:val="21"/>
                <w:highlight w:val="none"/>
              </w:rPr>
              <w:t>GB3096规定的1类、2类区</w:t>
            </w:r>
          </w:p>
        </w:tc>
        <w:tc>
          <w:tcPr>
            <w:tcW w:w="2949" w:type="dxa"/>
            <w:tcBorders>
              <w:top w:val="single" w:color="auto" w:sz="6" w:space="0"/>
              <w:bottom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建设项目建设前后评价范围内敏感目标噪声级增高量3 dB(A)-5dB(A)以上(含5dB(A))</w:t>
            </w:r>
          </w:p>
        </w:tc>
        <w:tc>
          <w:tcPr>
            <w:tcW w:w="1940" w:type="dxa"/>
            <w:tcBorders>
              <w:top w:val="single" w:color="auto" w:sz="6" w:space="0"/>
              <w:bottom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受噪声影响人口数量增加较多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dxa"/>
            <w:tcBorders>
              <w:top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三级</w:t>
            </w:r>
          </w:p>
        </w:tc>
        <w:tc>
          <w:tcPr>
            <w:tcW w:w="2811" w:type="dxa"/>
            <w:tcBorders>
              <w:top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GB3096规定的3类、4类区</w:t>
            </w:r>
          </w:p>
        </w:tc>
        <w:tc>
          <w:tcPr>
            <w:tcW w:w="2949" w:type="dxa"/>
            <w:tcBorders>
              <w:top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建设项目建设前后评价范围内敏感目标噪声级增高量3 dB(A)以下(不含3dB(A))</w:t>
            </w:r>
          </w:p>
        </w:tc>
        <w:tc>
          <w:tcPr>
            <w:tcW w:w="1940" w:type="dxa"/>
            <w:tcBorders>
              <w:top w:val="single" w:color="auto" w:sz="6"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受噪声影响人口数量变化不大</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项目声环境评价等级确定见表1-13。</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表1-13  声环境影响评价等级确定表</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626"/>
        <w:gridCol w:w="3963"/>
        <w:gridCol w:w="193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要素</w:t>
            </w:r>
          </w:p>
        </w:tc>
        <w:tc>
          <w:tcPr>
            <w:tcW w:w="396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项目情况</w:t>
            </w:r>
          </w:p>
        </w:tc>
        <w:tc>
          <w:tcPr>
            <w:tcW w:w="19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评价等级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声环境功能区类别</w:t>
            </w:r>
          </w:p>
        </w:tc>
        <w:tc>
          <w:tcPr>
            <w:tcW w:w="396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项目所在地属GB3096规定2类区</w:t>
            </w:r>
          </w:p>
        </w:tc>
        <w:tc>
          <w:tcPr>
            <w:tcW w:w="1933"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声环境质量变化程度</w:t>
            </w:r>
          </w:p>
        </w:tc>
        <w:tc>
          <w:tcPr>
            <w:tcW w:w="396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建设项目建设前后评价范围内敏感目标噪声级增高量3 dB(A)以下</w:t>
            </w:r>
          </w:p>
        </w:tc>
        <w:tc>
          <w:tcPr>
            <w:tcW w:w="1933"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7" w:hRule="atLeast"/>
        </w:trPr>
        <w:tc>
          <w:tcPr>
            <w:tcW w:w="26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受影响人口的数量</w:t>
            </w:r>
          </w:p>
        </w:tc>
        <w:tc>
          <w:tcPr>
            <w:tcW w:w="396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受噪声影响人口数量变化不大</w:t>
            </w:r>
          </w:p>
        </w:tc>
        <w:tc>
          <w:tcPr>
            <w:tcW w:w="1933"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before="144" w:beforeLines="50"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因此，确定本项目声环境影响评价等级为二级。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（5）生态环境评价等级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黑体" w:cs="Times New Roman"/>
          <w:sz w:val="24"/>
          <w:highlight w:val="none"/>
          <w:lang w:val="en-US" w:eastAsia="zh-CN"/>
        </w:rPr>
      </w:pPr>
      <w:r>
        <w:rPr>
          <w:rFonts w:hint="default" w:ascii="Times New Roman" w:hAnsi="Times New Roman" w:cs="Times New Roman"/>
          <w:sz w:val="24"/>
          <w:szCs w:val="24"/>
          <w:highlight w:val="none"/>
        </w:rPr>
        <w:t>本项目占地面积140460 m</w:t>
      </w:r>
      <w:r>
        <w:rPr>
          <w:rFonts w:hint="default" w:ascii="Times New Roman" w:hAnsi="Times New Roman" w:cs="Times New Roman"/>
          <w:sz w:val="24"/>
          <w:szCs w:val="24"/>
          <w:highlight w:val="none"/>
          <w:vertAlign w:val="superscript"/>
        </w:rPr>
        <w:t>2</w:t>
      </w:r>
      <w:r>
        <w:rPr>
          <w:rFonts w:hint="default" w:ascii="Times New Roman" w:hAnsi="Times New Roman" w:cs="Times New Roman"/>
          <w:sz w:val="24"/>
          <w:szCs w:val="24"/>
          <w:highlight w:val="none"/>
        </w:rPr>
        <w:t>，项目不在特殊及重要生态敏感区内，因此。根据《环境影响评价技术导则生态影响》（HJ19-2011）规定，本项目属于一般区域，并且其占地面积≤2km</w:t>
      </w:r>
      <w:r>
        <w:rPr>
          <w:rFonts w:hint="default" w:ascii="Times New Roman" w:hAnsi="Times New Roman" w:cs="Times New Roman"/>
          <w:sz w:val="24"/>
          <w:szCs w:val="24"/>
          <w:highlight w:val="none"/>
          <w:vertAlign w:val="superscript"/>
        </w:rPr>
        <w:t>2</w:t>
      </w:r>
      <w:r>
        <w:rPr>
          <w:rFonts w:hint="default" w:ascii="Times New Roman" w:hAnsi="Times New Roman" w:cs="Times New Roman"/>
          <w:sz w:val="24"/>
          <w:szCs w:val="24"/>
          <w:highlight w:val="none"/>
        </w:rPr>
        <w:t>，故生态评价等级定为三级。</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表1-14 生态环境影响评价工作等级划分</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影响区域生态敏感性</w:t>
            </w:r>
          </w:p>
        </w:tc>
        <w:tc>
          <w:tcPr>
            <w:tcW w:w="6392" w:type="dxa"/>
            <w:gridSpan w:val="3"/>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工程占地（水域）范围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Merge w:val="continue"/>
            <w:shd w:val="clear" w:color="auto" w:fill="auto"/>
            <w:vAlign w:val="center"/>
          </w:tcPr>
          <w:p>
            <w:pPr>
              <w:jc w:val="center"/>
              <w:rPr>
                <w:rFonts w:hint="default" w:ascii="Times New Roman" w:hAnsi="Times New Roman" w:cs="Times New Roman"/>
                <w:b/>
                <w:bCs/>
                <w:szCs w:val="21"/>
                <w:highlight w:val="none"/>
              </w:rPr>
            </w:pPr>
          </w:p>
        </w:tc>
        <w:tc>
          <w:tcPr>
            <w:tcW w:w="2130"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面积≥ 20km</w:t>
            </w:r>
            <w:r>
              <w:rPr>
                <w:rFonts w:hint="default" w:ascii="Times New Roman" w:hAnsi="Times New Roman" w:cs="Times New Roman"/>
                <w:b/>
                <w:bCs/>
                <w:szCs w:val="21"/>
                <w:highlight w:val="none"/>
                <w:vertAlign w:val="superscript"/>
              </w:rPr>
              <w:t>2</w:t>
            </w:r>
            <w:r>
              <w:rPr>
                <w:rFonts w:hint="default" w:ascii="Times New Roman" w:hAnsi="Times New Roman" w:cs="Times New Roman"/>
                <w:b/>
                <w:bCs/>
                <w:szCs w:val="21"/>
                <w:highlight w:val="none"/>
              </w:rPr>
              <w:t>或长度≥100km</w:t>
            </w:r>
          </w:p>
        </w:tc>
        <w:tc>
          <w:tcPr>
            <w:tcW w:w="2131"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面积 2km</w:t>
            </w:r>
            <w:r>
              <w:rPr>
                <w:rFonts w:hint="default" w:ascii="Times New Roman" w:hAnsi="Times New Roman" w:cs="Times New Roman"/>
                <w:b/>
                <w:bCs/>
                <w:szCs w:val="21"/>
                <w:highlight w:val="none"/>
                <w:vertAlign w:val="superscript"/>
              </w:rPr>
              <w:t>2</w:t>
            </w:r>
            <w:r>
              <w:rPr>
                <w:rFonts w:hint="default" w:ascii="Times New Roman" w:hAnsi="Times New Roman" w:cs="Times New Roman"/>
                <w:b/>
                <w:bCs/>
                <w:szCs w:val="21"/>
                <w:highlight w:val="none"/>
              </w:rPr>
              <w:t>-20km</w:t>
            </w:r>
            <w:r>
              <w:rPr>
                <w:rFonts w:hint="default" w:ascii="Times New Roman" w:hAnsi="Times New Roman" w:cs="Times New Roman"/>
                <w:b/>
                <w:bCs/>
                <w:szCs w:val="21"/>
                <w:highlight w:val="none"/>
                <w:vertAlign w:val="superscript"/>
              </w:rPr>
              <w:t>2</w:t>
            </w:r>
            <w:r>
              <w:rPr>
                <w:rFonts w:hint="default" w:ascii="Times New Roman" w:hAnsi="Times New Roman" w:cs="Times New Roman"/>
                <w:b/>
                <w:bCs/>
                <w:szCs w:val="21"/>
                <w:highlight w:val="none"/>
              </w:rPr>
              <w:t xml:space="preserve"> 或长度50km-100km</w:t>
            </w:r>
          </w:p>
        </w:tc>
        <w:tc>
          <w:tcPr>
            <w:tcW w:w="2131"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面积≤2km</w:t>
            </w:r>
            <w:r>
              <w:rPr>
                <w:rFonts w:hint="default" w:ascii="Times New Roman" w:hAnsi="Times New Roman" w:cs="Times New Roman"/>
                <w:b/>
                <w:bCs/>
                <w:szCs w:val="21"/>
                <w:highlight w:val="none"/>
                <w:vertAlign w:val="superscript"/>
              </w:rPr>
              <w:t>2</w:t>
            </w:r>
            <w:r>
              <w:rPr>
                <w:rFonts w:hint="default" w:ascii="Times New Roman" w:hAnsi="Times New Roman" w:cs="Times New Roman"/>
                <w:b/>
                <w:bCs/>
                <w:szCs w:val="21"/>
                <w:highlight w:val="none"/>
              </w:rPr>
              <w:t xml:space="preserve"> 或长度≤50km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特殊生态敏感区</w:t>
            </w:r>
          </w:p>
        </w:tc>
        <w:tc>
          <w:tcPr>
            <w:tcW w:w="213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一级</w:t>
            </w:r>
          </w:p>
        </w:tc>
        <w:tc>
          <w:tcPr>
            <w:tcW w:w="213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一级</w:t>
            </w:r>
          </w:p>
        </w:tc>
        <w:tc>
          <w:tcPr>
            <w:tcW w:w="213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重要生态敏感区</w:t>
            </w:r>
          </w:p>
        </w:tc>
        <w:tc>
          <w:tcPr>
            <w:tcW w:w="213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一级</w:t>
            </w:r>
          </w:p>
        </w:tc>
        <w:tc>
          <w:tcPr>
            <w:tcW w:w="213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二级</w:t>
            </w:r>
          </w:p>
        </w:tc>
        <w:tc>
          <w:tcPr>
            <w:tcW w:w="2131"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szCs w:val="21"/>
                <w:highlight w:val="none"/>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b/>
                <w:bCs/>
                <w:szCs w:val="21"/>
                <w:highlight w:val="none"/>
              </w:rPr>
              <w:t>一般区域</w:t>
            </w:r>
          </w:p>
        </w:tc>
        <w:tc>
          <w:tcPr>
            <w:tcW w:w="213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二级</w:t>
            </w:r>
          </w:p>
        </w:tc>
        <w:tc>
          <w:tcPr>
            <w:tcW w:w="213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三级</w:t>
            </w:r>
          </w:p>
        </w:tc>
        <w:tc>
          <w:tcPr>
            <w:tcW w:w="2131"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b/>
                <w:bCs/>
                <w:szCs w:val="21"/>
                <w:highlight w:val="none"/>
              </w:rPr>
              <w:t>三级</w:t>
            </w:r>
          </w:p>
        </w:tc>
      </w:tr>
    </w:tbl>
    <w:p>
      <w:pPr>
        <w:keepNext w:val="0"/>
        <w:keepLines w:val="0"/>
        <w:pageBreakBefore w:val="0"/>
        <w:widowControl w:val="0"/>
        <w:kinsoku/>
        <w:wordWrap/>
        <w:overflowPunct/>
        <w:topLinePunct w:val="0"/>
        <w:autoSpaceDE/>
        <w:autoSpaceDN/>
        <w:bidi w:val="0"/>
        <w:adjustRightInd/>
        <w:snapToGrid/>
        <w:spacing w:before="144" w:beforeLines="50"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根据评价工作等级要求，考虑本项目所在区域的地形、地理特征，评价范围为场址及周边 500m 区域内。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（6）环境风险评价等级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根据《建设项目环境风险评价技术导则》（HJ/T169-2018）附录C计算Q值。当存在的危险物质为多品种时，则按下计算物质总量与临界量的比值（Q）。</w:t>
      </w:r>
    </w:p>
    <w:p>
      <w:pPr>
        <w:adjustRightInd w:val="0"/>
        <w:snapToGrid w:val="0"/>
        <w:spacing w:line="360" w:lineRule="auto"/>
        <w:ind w:firstLine="480" w:firstLineChars="20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drawing>
          <wp:inline distT="0" distB="0" distL="0" distR="0">
            <wp:extent cx="1699260" cy="426720"/>
            <wp:effectExtent l="0" t="0" r="0" b="0"/>
            <wp:docPr id="2" name="图片 2" descr="1551143386(1)"/>
            <wp:cNvGraphicFramePr/>
            <a:graphic xmlns:a="http://schemas.openxmlformats.org/drawingml/2006/main">
              <a:graphicData uri="http://schemas.openxmlformats.org/drawingml/2006/picture">
                <pic:pic xmlns:pic="http://schemas.openxmlformats.org/drawingml/2006/picture">
                  <pic:nvPicPr>
                    <pic:cNvPr id="2" name="图片 2" descr="1551143386(1)"/>
                    <pic:cNvPicPr/>
                  </pic:nvPicPr>
                  <pic:blipFill>
                    <a:blip r:embed="rId8">
                      <a:extLst>
                        <a:ext uri="{28A0092B-C50C-407E-A947-70E740481C1C}">
                          <a14:useLocalDpi xmlns:a14="http://schemas.microsoft.com/office/drawing/2010/main" val="0"/>
                        </a:ext>
                      </a:extLst>
                    </a:blip>
                    <a:srcRect/>
                    <a:stretch>
                      <a:fillRect/>
                    </a:stretch>
                  </pic:blipFill>
                  <pic:spPr>
                    <a:xfrm>
                      <a:off x="0" y="0"/>
                      <a:ext cx="1699260" cy="4267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式中：q1，q2,</w:t>
      </w:r>
      <w:r>
        <w:rPr>
          <w:rFonts w:hint="default" w:ascii="Times New Roman" w:hAnsi="Times New Roman" w:cs="Times New Roman"/>
          <w:sz w:val="24"/>
          <w:szCs w:val="24"/>
          <w:highlight w:val="none"/>
        </w:rPr>
        <w:t xml:space="preserve"> </w:t>
      </w:r>
      <w:r>
        <w:rPr>
          <w:rFonts w:hint="default" w:ascii="Times New Roman" w:hAnsi="Times New Roman" w:cs="Times New Roman"/>
          <w:kern w:val="0"/>
          <w:sz w:val="24"/>
          <w:szCs w:val="24"/>
          <w:highlight w:val="none"/>
        </w:rPr>
        <w:t>…,qn ——每种危险物质的最大存在量，t；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 xml:space="preserve">      Q1，Q2,</w:t>
      </w:r>
      <w:r>
        <w:rPr>
          <w:rFonts w:hint="default" w:ascii="Times New Roman" w:hAnsi="Times New Roman" w:cs="Times New Roman"/>
          <w:sz w:val="24"/>
          <w:szCs w:val="24"/>
          <w:highlight w:val="none"/>
        </w:rPr>
        <w:t xml:space="preserve"> </w:t>
      </w:r>
      <w:r>
        <w:rPr>
          <w:rFonts w:hint="default" w:ascii="Times New Roman" w:hAnsi="Times New Roman" w:cs="Times New Roman"/>
          <w:kern w:val="0"/>
          <w:sz w:val="24"/>
          <w:szCs w:val="24"/>
          <w:highlight w:val="none"/>
        </w:rPr>
        <w:t>…,Qn ——每种危险物质的临界量，t；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当Q＜1时，该项目环境风险潜势为Ⅰ。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当Q≥1时，将Q值划分为：（1）1≤Q＜10；（2）10≤Q＜100；（3）Q≥100。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经计算，本项目危险物质Q值计算结果见下表：</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表1-15  项目主要危险品贮存量及Q值计算结果表</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涉及危险物质</w:t>
            </w:r>
          </w:p>
        </w:tc>
        <w:tc>
          <w:tcPr>
            <w:tcW w:w="213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最大储存量t</w:t>
            </w:r>
          </w:p>
        </w:tc>
        <w:tc>
          <w:tcPr>
            <w:tcW w:w="213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临界量t</w:t>
            </w:r>
          </w:p>
        </w:tc>
        <w:tc>
          <w:tcPr>
            <w:tcW w:w="213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Q值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甲烷</w:t>
            </w:r>
          </w:p>
        </w:tc>
        <w:tc>
          <w:tcPr>
            <w:tcW w:w="213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86.79</w:t>
            </w:r>
          </w:p>
        </w:tc>
        <w:tc>
          <w:tcPr>
            <w:tcW w:w="213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500</w:t>
            </w:r>
          </w:p>
        </w:tc>
        <w:tc>
          <w:tcPr>
            <w:tcW w:w="213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0.17</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kern w:val="0"/>
          <w:sz w:val="24"/>
          <w:highlight w:val="none"/>
        </w:rPr>
        <w:t>由上表可知，本项目危险物质Q值小于1，风险潜势为Ⅰ。</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napToGrid w:val="0"/>
          <w:kern w:val="0"/>
          <w:sz w:val="24"/>
          <w:highlight w:val="none"/>
        </w:rPr>
        <w:t>根据《建设项目环境风险评价技术导则》（HJ 169-2018），确定环境风险评价等级为简单分析。</w:t>
      </w:r>
      <w:r>
        <w:rPr>
          <w:rFonts w:hint="default" w:ascii="Times New Roman" w:hAnsi="Times New Roman" w:eastAsia="宋体" w:cs="Times New Roman"/>
          <w:sz w:val="24"/>
          <w:highlight w:val="none"/>
        </w:rPr>
        <w:t>划分依据见表1-15。</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表1-15  环境风险评价工作等级划分表</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728"/>
        <w:gridCol w:w="1657"/>
        <w:gridCol w:w="1659"/>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97" w:hRule="atLeast"/>
        </w:trPr>
        <w:tc>
          <w:tcPr>
            <w:tcW w:w="1728"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环境风险潜势</w:t>
            </w:r>
          </w:p>
        </w:tc>
        <w:tc>
          <w:tcPr>
            <w:tcW w:w="1657"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Ⅳ、Ⅳ+</w:t>
            </w:r>
          </w:p>
        </w:tc>
        <w:tc>
          <w:tcPr>
            <w:tcW w:w="1659" w:type="dxa"/>
            <w:tcBorders>
              <w:bottom w:val="single" w:color="auto" w:sz="4" w:space="0"/>
            </w:tcBorders>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Ⅲ</w:t>
            </w:r>
          </w:p>
        </w:tc>
        <w:tc>
          <w:tcPr>
            <w:tcW w:w="1659" w:type="dxa"/>
            <w:tcBorders>
              <w:bottom w:val="single" w:color="auto" w:sz="4" w:space="0"/>
            </w:tcBorders>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Ⅱ</w:t>
            </w:r>
          </w:p>
        </w:tc>
        <w:tc>
          <w:tcPr>
            <w:tcW w:w="1659" w:type="dxa"/>
            <w:tcBorders>
              <w:bottom w:val="single" w:color="auto" w:sz="4" w:space="0"/>
            </w:tcBorders>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728"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评价工作等级</w:t>
            </w:r>
          </w:p>
        </w:tc>
        <w:tc>
          <w:tcPr>
            <w:tcW w:w="1657"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w:t>
            </w:r>
          </w:p>
        </w:tc>
        <w:tc>
          <w:tcPr>
            <w:tcW w:w="1659"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w:t>
            </w:r>
          </w:p>
        </w:tc>
        <w:tc>
          <w:tcPr>
            <w:tcW w:w="1659"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三</w:t>
            </w:r>
          </w:p>
        </w:tc>
        <w:tc>
          <w:tcPr>
            <w:tcW w:w="1659"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62" w:type="dxa"/>
            <w:gridSpan w:val="5"/>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val="0"/>
        <w:snapToGrid w:val="0"/>
        <w:spacing w:before="144" w:beforeLines="50"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（7）土壤环境评价等级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根据《环境影响评价技术导则 土壤环境》（试行）（HJ964-2018）土壤环境影响评价等级划分原则，本项目评价工作等级划分依据建设项目行业分类和土壤环境敏感程度分级进行判定：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按照导则附录A土壤环境影响评价行业分类表，本项目属于“环境和公共设施管理业”中的“一般工业固体废物处置及综合利用”，属于Ⅲ类项目。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地下水环境敏感程度分级原则见表1-16。</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表1-16 土壤环境敏感程度分级表</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敏感程度</w:t>
            </w:r>
          </w:p>
        </w:tc>
        <w:tc>
          <w:tcPr>
            <w:tcW w:w="7237"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b/>
                <w:bCs/>
                <w:szCs w:val="21"/>
                <w:highlight w:val="none"/>
              </w:rPr>
              <w:t>敏感</w:t>
            </w:r>
          </w:p>
        </w:tc>
        <w:tc>
          <w:tcPr>
            <w:tcW w:w="7237"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建设项目周边存在耕地、园地、牧草地、饮用水水源地或居民区、学校、医院、疗养院、养老院等土壤环境敏感目标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较敏感</w:t>
            </w:r>
          </w:p>
        </w:tc>
        <w:tc>
          <w:tcPr>
            <w:tcW w:w="7237"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5"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不敏感</w:t>
            </w:r>
          </w:p>
        </w:tc>
        <w:tc>
          <w:tcPr>
            <w:tcW w:w="7237"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其他情况</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土壤环境影响评价工作等级分级表见表1-17。</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lang w:val="en-US" w:eastAsia="zh-CN"/>
        </w:rPr>
        <w:t>表1-17  土壤评价工作等级分级表</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711"/>
        <w:gridCol w:w="711"/>
        <w:gridCol w:w="724"/>
        <w:gridCol w:w="711"/>
        <w:gridCol w:w="719"/>
        <w:gridCol w:w="712"/>
        <w:gridCol w:w="709"/>
        <w:gridCol w:w="709"/>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1" w:type="dxa"/>
            <w:vMerge w:val="restart"/>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敏感程度</w:t>
            </w:r>
          </w:p>
        </w:tc>
        <w:tc>
          <w:tcPr>
            <w:tcW w:w="2146" w:type="dxa"/>
            <w:gridSpan w:val="3"/>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Ⅰ类建设项目</w:t>
            </w:r>
          </w:p>
        </w:tc>
        <w:tc>
          <w:tcPr>
            <w:tcW w:w="2142" w:type="dxa"/>
            <w:gridSpan w:val="3"/>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Ⅱ类建设项目</w:t>
            </w:r>
          </w:p>
        </w:tc>
        <w:tc>
          <w:tcPr>
            <w:tcW w:w="2103" w:type="dxa"/>
            <w:gridSpan w:val="3"/>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Ⅲ类建设项目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1" w:type="dxa"/>
            <w:vMerge w:val="continue"/>
            <w:vAlign w:val="center"/>
          </w:tcPr>
          <w:p>
            <w:pPr>
              <w:adjustRightInd w:val="0"/>
              <w:snapToGrid w:val="0"/>
              <w:spacing w:line="360" w:lineRule="auto"/>
              <w:ind w:firstLine="482"/>
              <w:jc w:val="center"/>
              <w:rPr>
                <w:rFonts w:hint="default" w:ascii="Times New Roman" w:hAnsi="Times New Roman" w:eastAsia="宋体" w:cs="Times New Roman"/>
                <w:sz w:val="21"/>
                <w:szCs w:val="21"/>
                <w:highlight w:val="none"/>
              </w:rPr>
            </w:pP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大</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中</w:t>
            </w:r>
          </w:p>
        </w:tc>
        <w:tc>
          <w:tcPr>
            <w:tcW w:w="724"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小</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大</w:t>
            </w:r>
          </w:p>
        </w:tc>
        <w:tc>
          <w:tcPr>
            <w:tcW w:w="71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中</w:t>
            </w:r>
          </w:p>
        </w:tc>
        <w:tc>
          <w:tcPr>
            <w:tcW w:w="71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小</w:t>
            </w:r>
          </w:p>
        </w:tc>
        <w:tc>
          <w:tcPr>
            <w:tcW w:w="70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大</w:t>
            </w:r>
          </w:p>
        </w:tc>
        <w:tc>
          <w:tcPr>
            <w:tcW w:w="70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中</w:t>
            </w:r>
          </w:p>
        </w:tc>
        <w:tc>
          <w:tcPr>
            <w:tcW w:w="68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敏感</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一级</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一级</w:t>
            </w:r>
          </w:p>
        </w:tc>
        <w:tc>
          <w:tcPr>
            <w:tcW w:w="724"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一级</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c>
          <w:tcPr>
            <w:tcW w:w="71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c>
          <w:tcPr>
            <w:tcW w:w="71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c>
          <w:tcPr>
            <w:tcW w:w="70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w:t>
            </w:r>
          </w:p>
        </w:tc>
        <w:tc>
          <w:tcPr>
            <w:tcW w:w="70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三级</w:t>
            </w:r>
          </w:p>
        </w:tc>
        <w:tc>
          <w:tcPr>
            <w:tcW w:w="68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较敏感</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一级</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一级</w:t>
            </w:r>
          </w:p>
        </w:tc>
        <w:tc>
          <w:tcPr>
            <w:tcW w:w="724"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c>
          <w:tcPr>
            <w:tcW w:w="71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c>
          <w:tcPr>
            <w:tcW w:w="71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w:t>
            </w:r>
          </w:p>
        </w:tc>
        <w:tc>
          <w:tcPr>
            <w:tcW w:w="70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w:t>
            </w:r>
          </w:p>
        </w:tc>
        <w:tc>
          <w:tcPr>
            <w:tcW w:w="70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w:t>
            </w:r>
          </w:p>
        </w:tc>
        <w:tc>
          <w:tcPr>
            <w:tcW w:w="685" w:type="dxa"/>
            <w:vAlign w:val="center"/>
          </w:tcPr>
          <w:p>
            <w:pPr>
              <w:adjustRightInd w:val="0"/>
              <w:snapToGrid w:val="0"/>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不敏感</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一级</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c>
          <w:tcPr>
            <w:tcW w:w="724"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c>
          <w:tcPr>
            <w:tcW w:w="71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c>
          <w:tcPr>
            <w:tcW w:w="71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w:t>
            </w:r>
          </w:p>
        </w:tc>
        <w:tc>
          <w:tcPr>
            <w:tcW w:w="71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w:t>
            </w:r>
          </w:p>
        </w:tc>
        <w:tc>
          <w:tcPr>
            <w:tcW w:w="709"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w:t>
            </w:r>
          </w:p>
        </w:tc>
        <w:tc>
          <w:tcPr>
            <w:tcW w:w="709" w:type="dxa"/>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685" w:type="dxa"/>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44" w:beforeLines="50"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项目占地为14.06公顷，属于中型（5~50hm</w:t>
      </w:r>
      <w:r>
        <w:rPr>
          <w:rFonts w:hint="default" w:ascii="Times New Roman" w:hAnsi="Times New Roman" w:cs="Times New Roman"/>
          <w:sz w:val="24"/>
          <w:szCs w:val="24"/>
          <w:highlight w:val="none"/>
          <w:vertAlign w:val="superscript"/>
        </w:rPr>
        <w:t>2</w:t>
      </w:r>
      <w:r>
        <w:rPr>
          <w:rFonts w:hint="default" w:ascii="Times New Roman" w:hAnsi="Times New Roman" w:cs="Times New Roman"/>
          <w:sz w:val="24"/>
          <w:szCs w:val="24"/>
          <w:highlight w:val="none"/>
        </w:rPr>
        <w:t>），本项目周边为耕地，本项目为Ⅲ类建设项目—小型—敏感，评价级别为</w:t>
      </w:r>
      <w:r>
        <w:rPr>
          <w:rFonts w:hint="default" w:ascii="Times New Roman" w:hAnsi="Times New Roman" w:cs="Times New Roman"/>
          <w:b/>
          <w:bCs/>
          <w:sz w:val="24"/>
          <w:szCs w:val="24"/>
          <w:highlight w:val="none"/>
          <w:lang w:val="en-US" w:eastAsia="zh-CN"/>
        </w:rPr>
        <w:t>三</w:t>
      </w:r>
      <w:r>
        <w:rPr>
          <w:rFonts w:hint="default" w:ascii="Times New Roman" w:hAnsi="Times New Roman" w:cs="Times New Roman"/>
          <w:b/>
          <w:bCs/>
          <w:sz w:val="24"/>
          <w:szCs w:val="24"/>
          <w:highlight w:val="none"/>
        </w:rPr>
        <w:t>级</w:t>
      </w:r>
      <w:r>
        <w:rPr>
          <w:rFonts w:hint="default" w:ascii="Times New Roman" w:hAnsi="Times New Roman" w:cs="Times New Roman"/>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highlight w:val="none"/>
        </w:rPr>
        <w:t>综上分析，本项目各环境要素环境影响评价等级见表1-18。</w: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表1-18  环境影响评价等级的划分</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6086"/>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环境要素</w:t>
            </w:r>
          </w:p>
        </w:tc>
        <w:tc>
          <w:tcPr>
            <w:tcW w:w="3571"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划分依据</w:t>
            </w:r>
          </w:p>
        </w:tc>
        <w:tc>
          <w:tcPr>
            <w:tcW w:w="650"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环境空气</w:t>
            </w:r>
          </w:p>
        </w:tc>
        <w:tc>
          <w:tcPr>
            <w:tcW w:w="3571" w:type="pct"/>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w:t>
            </w:r>
            <w:r>
              <w:rPr>
                <w:rFonts w:hint="default" w:ascii="Times New Roman" w:hAnsi="Times New Roman" w:eastAsia="宋体" w:cs="Times New Roman"/>
                <w:sz w:val="21"/>
                <w:szCs w:val="21"/>
                <w:highlight w:val="none"/>
                <w:vertAlign w:val="subscript"/>
              </w:rPr>
              <w:t>imax</w:t>
            </w:r>
            <w:r>
              <w:rPr>
                <w:rFonts w:hint="default" w:ascii="Times New Roman" w:hAnsi="Times New Roman" w:eastAsia="宋体" w:cs="Times New Roman"/>
                <w:sz w:val="21"/>
                <w:szCs w:val="21"/>
                <w:highlight w:val="none"/>
              </w:rPr>
              <w:t>=0.831%，P</w:t>
            </w:r>
            <w:r>
              <w:rPr>
                <w:rFonts w:hint="default" w:ascii="Times New Roman" w:hAnsi="Times New Roman" w:eastAsia="宋体" w:cs="Times New Roman"/>
                <w:sz w:val="21"/>
                <w:szCs w:val="21"/>
                <w:highlight w:val="none"/>
                <w:vertAlign w:val="subscript"/>
              </w:rPr>
              <w:t>ima</w:t>
            </w:r>
            <w:r>
              <w:rPr>
                <w:rFonts w:hint="default" w:ascii="Times New Roman" w:hAnsi="Times New Roman" w:eastAsia="宋体" w:cs="Times New Roman"/>
                <w:sz w:val="21"/>
                <w:szCs w:val="21"/>
                <w:highlight w:val="none"/>
              </w:rPr>
              <w:t>＜1%</w:t>
            </w:r>
          </w:p>
        </w:tc>
        <w:tc>
          <w:tcPr>
            <w:tcW w:w="650"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地表水</w:t>
            </w:r>
          </w:p>
        </w:tc>
        <w:tc>
          <w:tcPr>
            <w:tcW w:w="3571"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napToGrid w:val="0"/>
                <w:sz w:val="21"/>
                <w:szCs w:val="21"/>
                <w:highlight w:val="none"/>
              </w:rPr>
              <w:t>废水不外排</w:t>
            </w:r>
          </w:p>
        </w:tc>
        <w:tc>
          <w:tcPr>
            <w:tcW w:w="650"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地下水</w:t>
            </w:r>
          </w:p>
        </w:tc>
        <w:tc>
          <w:tcPr>
            <w:tcW w:w="3571"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napToGrid w:val="0"/>
                <w:sz w:val="21"/>
                <w:szCs w:val="21"/>
                <w:highlight w:val="none"/>
              </w:rPr>
              <w:t xml:space="preserve"> </w:t>
            </w:r>
            <w:r>
              <w:rPr>
                <w:rFonts w:hint="default" w:ascii="Times New Roman" w:hAnsi="Times New Roman" w:eastAsia="宋体" w:cs="Times New Roman"/>
                <w:snapToGrid w:val="0"/>
                <w:sz w:val="21"/>
                <w:szCs w:val="21"/>
                <w:highlight w:val="none"/>
              </w:rPr>
              <w:fldChar w:fldCharType="begin"/>
            </w:r>
            <w:r>
              <w:rPr>
                <w:rFonts w:hint="default" w:ascii="Times New Roman" w:hAnsi="Times New Roman" w:eastAsia="宋体" w:cs="Times New Roman"/>
                <w:snapToGrid w:val="0"/>
                <w:sz w:val="21"/>
                <w:szCs w:val="21"/>
                <w:highlight w:val="none"/>
              </w:rPr>
              <w:instrText xml:space="preserve"> = 3 \* ROMAN </w:instrText>
            </w:r>
            <w:r>
              <w:rPr>
                <w:rFonts w:hint="default" w:ascii="Times New Roman" w:hAnsi="Times New Roman" w:eastAsia="宋体" w:cs="Times New Roman"/>
                <w:snapToGrid w:val="0"/>
                <w:sz w:val="21"/>
                <w:szCs w:val="21"/>
                <w:highlight w:val="none"/>
              </w:rPr>
              <w:fldChar w:fldCharType="separate"/>
            </w:r>
            <w:r>
              <w:rPr>
                <w:rFonts w:hint="default" w:ascii="Times New Roman" w:hAnsi="Times New Roman" w:eastAsia="宋体" w:cs="Times New Roman"/>
                <w:snapToGrid w:val="0"/>
                <w:sz w:val="21"/>
                <w:szCs w:val="21"/>
                <w:highlight w:val="none"/>
              </w:rPr>
              <w:t>III</w:t>
            </w:r>
            <w:r>
              <w:rPr>
                <w:rFonts w:hint="default" w:ascii="Times New Roman" w:hAnsi="Times New Roman" w:eastAsia="宋体" w:cs="Times New Roman"/>
                <w:snapToGrid w:val="0"/>
                <w:sz w:val="21"/>
                <w:szCs w:val="21"/>
                <w:highlight w:val="none"/>
              </w:rPr>
              <w:fldChar w:fldCharType="end"/>
            </w:r>
            <w:r>
              <w:rPr>
                <w:rFonts w:hint="default" w:ascii="Times New Roman" w:hAnsi="Times New Roman" w:eastAsia="宋体" w:cs="Times New Roman"/>
                <w:snapToGrid w:val="0"/>
                <w:sz w:val="21"/>
                <w:szCs w:val="21"/>
                <w:highlight w:val="none"/>
              </w:rPr>
              <w:t>类建设项目，环境敏感程度为较敏感</w:t>
            </w:r>
          </w:p>
        </w:tc>
        <w:tc>
          <w:tcPr>
            <w:tcW w:w="650"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声环境</w:t>
            </w:r>
          </w:p>
        </w:tc>
        <w:tc>
          <w:tcPr>
            <w:tcW w:w="3571"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napToGrid w:val="0"/>
                <w:sz w:val="21"/>
                <w:szCs w:val="21"/>
                <w:highlight w:val="none"/>
              </w:rPr>
              <w:t>1类声环境功能区，项目建成前后敏感</w:t>
            </w:r>
            <w:r>
              <w:rPr>
                <w:rFonts w:hint="default" w:ascii="Times New Roman" w:hAnsi="Times New Roman" w:eastAsia="宋体" w:cs="Times New Roman"/>
                <w:sz w:val="21"/>
                <w:szCs w:val="21"/>
                <w:highlight w:val="none"/>
              </w:rPr>
              <w:t>目标噪声级增高量较低，</w:t>
            </w:r>
            <w:r>
              <w:rPr>
                <w:rFonts w:hint="default" w:ascii="Times New Roman" w:hAnsi="Times New Roman" w:eastAsia="宋体" w:cs="Times New Roman"/>
                <w:snapToGrid w:val="0"/>
                <w:sz w:val="21"/>
                <w:szCs w:val="21"/>
                <w:highlight w:val="none"/>
              </w:rPr>
              <w:t>受影响人口变化不大</w:t>
            </w:r>
          </w:p>
        </w:tc>
        <w:tc>
          <w:tcPr>
            <w:tcW w:w="650"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生态环境</w:t>
            </w:r>
          </w:p>
        </w:tc>
        <w:tc>
          <w:tcPr>
            <w:tcW w:w="3571" w:type="pct"/>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iCs/>
                <w:sz w:val="21"/>
                <w:szCs w:val="21"/>
                <w:highlight w:val="none"/>
              </w:rPr>
              <w:t>面积≤2km</w:t>
            </w:r>
            <w:r>
              <w:rPr>
                <w:rFonts w:hint="default" w:ascii="Times New Roman" w:hAnsi="Times New Roman" w:eastAsia="宋体" w:cs="Times New Roman"/>
                <w:iCs/>
                <w:sz w:val="21"/>
                <w:szCs w:val="21"/>
                <w:highlight w:val="none"/>
                <w:vertAlign w:val="superscript"/>
              </w:rPr>
              <w:t>2</w:t>
            </w:r>
            <w:r>
              <w:rPr>
                <w:rFonts w:hint="default" w:ascii="Times New Roman" w:hAnsi="Times New Roman" w:eastAsia="宋体" w:cs="Times New Roman"/>
                <w:iCs/>
                <w:sz w:val="21"/>
                <w:szCs w:val="21"/>
                <w:highlight w:val="none"/>
              </w:rPr>
              <w:t>，一般区域</w:t>
            </w:r>
          </w:p>
        </w:tc>
        <w:tc>
          <w:tcPr>
            <w:tcW w:w="650"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环境风险</w:t>
            </w:r>
          </w:p>
        </w:tc>
        <w:tc>
          <w:tcPr>
            <w:tcW w:w="3571"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z w:val="21"/>
                <w:szCs w:val="21"/>
                <w:highlight w:val="none"/>
              </w:rPr>
              <w:t>Q值小于1，风险潜势为Ⅰ</w:t>
            </w:r>
          </w:p>
        </w:tc>
        <w:tc>
          <w:tcPr>
            <w:tcW w:w="650"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土壤环境</w:t>
            </w:r>
          </w:p>
        </w:tc>
        <w:tc>
          <w:tcPr>
            <w:tcW w:w="3571"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napToGrid w:val="0"/>
                <w:sz w:val="21"/>
                <w:szCs w:val="21"/>
                <w:highlight w:val="none"/>
              </w:rPr>
              <w:t>Ⅲ</w:t>
            </w:r>
            <w:r>
              <w:rPr>
                <w:rFonts w:hint="default" w:ascii="Times New Roman" w:hAnsi="Times New Roman" w:eastAsia="宋体" w:cs="Times New Roman"/>
                <w:sz w:val="21"/>
                <w:szCs w:val="21"/>
                <w:highlight w:val="none"/>
              </w:rPr>
              <w:t>类建设项目——中型—敏感</w:t>
            </w:r>
          </w:p>
        </w:tc>
        <w:tc>
          <w:tcPr>
            <w:tcW w:w="650" w:type="pct"/>
            <w:vAlign w:val="center"/>
          </w:tcPr>
          <w:p>
            <w:pPr>
              <w:pStyle w:val="37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eastAsia" w:cs="Times New Roman"/>
                <w:b/>
                <w:bCs/>
                <w:sz w:val="21"/>
                <w:szCs w:val="21"/>
                <w:highlight w:val="none"/>
                <w:lang w:val="en-US" w:eastAsia="zh-CN"/>
              </w:rPr>
              <w:t>三</w:t>
            </w:r>
            <w:r>
              <w:rPr>
                <w:rFonts w:hint="default" w:ascii="Times New Roman" w:hAnsi="Times New Roman" w:eastAsia="宋体" w:cs="Times New Roman"/>
                <w:b/>
                <w:bCs/>
                <w:sz w:val="21"/>
                <w:szCs w:val="21"/>
                <w:highlight w:val="none"/>
              </w:rPr>
              <w:t>级</w:t>
            </w:r>
          </w:p>
        </w:tc>
      </w:tr>
    </w:tbl>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1.3.2评价重点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bookmarkStart w:id="29" w:name="_Toc521334359"/>
      <w:bookmarkStart w:id="30" w:name="_Toc356998701"/>
      <w:r>
        <w:rPr>
          <w:rFonts w:hint="default" w:ascii="Times New Roman" w:hAnsi="Times New Roman" w:eastAsia="宋体" w:cs="Times New Roman"/>
          <w:sz w:val="24"/>
          <w:szCs w:val="24"/>
          <w:highlight w:val="none"/>
        </w:rPr>
        <w:t>评价</w:t>
      </w:r>
      <w:r>
        <w:rPr>
          <w:rFonts w:hint="eastAsia" w:ascii="Times New Roman" w:hAnsi="Times New Roman" w:cs="Times New Roman"/>
          <w:sz w:val="24"/>
          <w:szCs w:val="24"/>
          <w:highlight w:val="none"/>
          <w:lang w:val="en-US" w:eastAsia="zh-CN"/>
        </w:rPr>
        <w:t>重点为</w:t>
      </w:r>
      <w:r>
        <w:rPr>
          <w:rFonts w:hint="default" w:ascii="Times New Roman" w:hAnsi="Times New Roman" w:eastAsia="宋体" w:cs="Times New Roman"/>
          <w:sz w:val="24"/>
          <w:szCs w:val="24"/>
          <w:highlight w:val="none"/>
        </w:rPr>
        <w:t>政策符合性、选址可行性分析，工程分析，环境现状调查与评价，环境影响预测与评价，环境保护措施及其可行性论证，环境管理与</w:t>
      </w:r>
      <w:r>
        <w:rPr>
          <w:rFonts w:hint="eastAsia" w:ascii="Times New Roman" w:hAnsi="Times New Roman" w:cs="Times New Roman"/>
          <w:sz w:val="24"/>
          <w:szCs w:val="24"/>
          <w:highlight w:val="none"/>
          <w:lang w:val="en-US" w:eastAsia="zh-CN"/>
        </w:rPr>
        <w:t>监测</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重点关注</w:t>
      </w:r>
      <w:r>
        <w:rPr>
          <w:rFonts w:hint="default" w:ascii="Times New Roman" w:hAnsi="Times New Roman" w:eastAsia="宋体" w:cs="Times New Roman"/>
          <w:sz w:val="24"/>
          <w:szCs w:val="24"/>
          <w:highlight w:val="none"/>
        </w:rPr>
        <w:t>养殖场</w:t>
      </w:r>
      <w:r>
        <w:rPr>
          <w:rFonts w:hint="eastAsia" w:ascii="Times New Roman" w:hAnsi="Times New Roman" w:cs="Times New Roman"/>
          <w:sz w:val="24"/>
          <w:szCs w:val="24"/>
          <w:highlight w:val="none"/>
          <w:lang w:val="en-US" w:eastAsia="zh-CN"/>
        </w:rPr>
        <w:t>废水、</w:t>
      </w:r>
      <w:r>
        <w:rPr>
          <w:rFonts w:hint="default" w:ascii="Times New Roman" w:hAnsi="Times New Roman" w:eastAsia="宋体" w:cs="Times New Roman"/>
          <w:sz w:val="24"/>
          <w:szCs w:val="24"/>
          <w:highlight w:val="none"/>
        </w:rPr>
        <w:t>固废的处置合理性及可行性分析。</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31" w:name="_Toc32587"/>
      <w:r>
        <w:rPr>
          <w:rFonts w:hint="default" w:ascii="Times New Roman" w:hAnsi="Times New Roman" w:eastAsia="黑体" w:cs="Times New Roman"/>
          <w:bCs/>
          <w:sz w:val="30"/>
          <w:szCs w:val="30"/>
          <w:highlight w:val="none"/>
        </w:rPr>
        <w:t>1.4评价范围</w:t>
      </w:r>
      <w:bookmarkEnd w:id="29"/>
      <w:bookmarkEnd w:id="30"/>
      <w:r>
        <w:rPr>
          <w:rFonts w:hint="default" w:ascii="Times New Roman" w:hAnsi="Times New Roman" w:eastAsia="黑体" w:cs="Times New Roman"/>
          <w:bCs/>
          <w:sz w:val="30"/>
          <w:szCs w:val="30"/>
          <w:highlight w:val="none"/>
        </w:rPr>
        <w:t>及环境保护目标</w:t>
      </w:r>
      <w:bookmarkEnd w:id="31"/>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1.4.1评价范围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根据评价工作等级、项目排污特征及环境特征确定环境影响评价范围。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（1）环境空气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根据评价等级、主导风向及影响程度，评价范围为边长5km的矩形区域。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（2）地下水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根据地下水环境影响评价导则，评价等级为三级时，地下水调查评价范围不大于6km</w:t>
      </w:r>
      <w:r>
        <w:rPr>
          <w:rFonts w:hint="default" w:ascii="Times New Roman" w:hAnsi="Times New Roman" w:cs="Times New Roman"/>
          <w:sz w:val="24"/>
          <w:highlight w:val="none"/>
          <w:vertAlign w:val="superscript"/>
        </w:rPr>
        <w:t>2</w:t>
      </w:r>
      <w:r>
        <w:rPr>
          <w:rFonts w:hint="default" w:ascii="Times New Roman" w:hAnsi="Times New Roman" w:cs="Times New Roman"/>
          <w:sz w:val="24"/>
          <w:highlight w:val="none"/>
        </w:rPr>
        <w:t>，本项目评价范围为上游、两侧外扩1km，下游外扩2km，调查评价区面积6k</w:t>
      </w:r>
      <w:r>
        <w:rPr>
          <w:rFonts w:hint="default" w:ascii="Times New Roman" w:hAnsi="Times New Roman" w:cs="Times New Roman"/>
          <w:bCs/>
          <w:sz w:val="24"/>
          <w:highlight w:val="none"/>
        </w:rPr>
        <w:t>m</w:t>
      </w:r>
      <w:r>
        <w:rPr>
          <w:rFonts w:hint="default" w:ascii="Times New Roman" w:hAnsi="Times New Roman" w:cs="Times New Roman"/>
          <w:bCs/>
          <w:sz w:val="24"/>
          <w:highlight w:val="none"/>
          <w:vertAlign w:val="superscript"/>
        </w:rPr>
        <w:t>2</w:t>
      </w:r>
      <w:r>
        <w:rPr>
          <w:rFonts w:hint="default" w:ascii="Times New Roman" w:hAnsi="Times New Roman" w:cs="Times New Roman"/>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（3）声环境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声环境影响评价范围为厂界外200m范围。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（4）生态环境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生态环境评价范围为企业</w:t>
      </w:r>
      <w:r>
        <w:rPr>
          <w:rFonts w:hint="default" w:ascii="Times New Roman" w:hAnsi="Times New Roman" w:cs="Times New Roman"/>
          <w:snapToGrid w:val="0"/>
          <w:kern w:val="0"/>
          <w:sz w:val="24"/>
          <w:szCs w:val="24"/>
          <w:highlight w:val="none"/>
          <w:lang w:val="en-US" w:eastAsia="zh-CN"/>
        </w:rPr>
        <w:t>周边200</w:t>
      </w:r>
      <w:r>
        <w:rPr>
          <w:rFonts w:hint="default" w:ascii="Times New Roman" w:hAnsi="Times New Roman" w:cs="Times New Roman"/>
          <w:snapToGrid w:val="0"/>
          <w:kern w:val="0"/>
          <w:sz w:val="24"/>
          <w:szCs w:val="24"/>
          <w:highlight w:val="none"/>
        </w:rPr>
        <w:t>范围。</w:t>
      </w:r>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napToGrid w:val="0"/>
          <w:spacing w:val="0"/>
          <w:sz w:val="24"/>
          <w:szCs w:val="24"/>
          <w:highlight w:val="none"/>
          <w:lang w:val="en-US" w:eastAsia="zh-CN"/>
        </w:rPr>
      </w:pPr>
      <w:r>
        <w:rPr>
          <w:rFonts w:hint="eastAsia" w:ascii="Times New Roman" w:hAnsi="Times New Roman" w:cs="Times New Roman"/>
          <w:snapToGrid w:val="0"/>
          <w:spacing w:val="0"/>
          <w:sz w:val="24"/>
          <w:szCs w:val="24"/>
          <w:highlight w:val="none"/>
          <w:lang w:val="en-US" w:eastAsia="zh-CN"/>
        </w:rPr>
        <w:t>（5）土壤环境</w:t>
      </w:r>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pacing w:val="0"/>
          <w:sz w:val="24"/>
          <w:szCs w:val="24"/>
          <w:highlight w:val="none"/>
          <w:lang w:val="en-US" w:eastAsia="zh-CN"/>
        </w:rPr>
      </w:pPr>
      <w:r>
        <w:rPr>
          <w:rFonts w:hint="eastAsia" w:ascii="Times New Roman" w:hAnsi="Times New Roman" w:cs="Times New Roman"/>
          <w:snapToGrid w:val="0"/>
          <w:spacing w:val="0"/>
          <w:sz w:val="24"/>
          <w:szCs w:val="24"/>
          <w:highlight w:val="none"/>
          <w:lang w:val="en-US" w:eastAsia="zh-CN"/>
        </w:rPr>
        <w:t>土壤环境的评价范围为项目占地范围内及厂界周边</w:t>
      </w:r>
      <w:r>
        <w:rPr>
          <w:rFonts w:hint="eastAsia" w:cs="Times New Roman"/>
          <w:snapToGrid w:val="0"/>
          <w:spacing w:val="0"/>
          <w:sz w:val="24"/>
          <w:szCs w:val="24"/>
          <w:highlight w:val="none"/>
          <w:lang w:val="en-US" w:eastAsia="zh-CN"/>
        </w:rPr>
        <w:t>20</w:t>
      </w:r>
      <w:r>
        <w:rPr>
          <w:rFonts w:hint="eastAsia" w:ascii="Times New Roman" w:hAnsi="Times New Roman" w:cs="Times New Roman"/>
          <w:snapToGrid w:val="0"/>
          <w:spacing w:val="0"/>
          <w:sz w:val="24"/>
          <w:szCs w:val="24"/>
          <w:highlight w:val="none"/>
          <w:lang w:val="en-US" w:eastAsia="zh-CN"/>
        </w:rPr>
        <w:t>0m的范围。</w:t>
      </w:r>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pacing w:val="0"/>
          <w:sz w:val="24"/>
          <w:szCs w:val="24"/>
          <w:highlight w:val="none"/>
        </w:rPr>
      </w:pPr>
      <w:r>
        <w:rPr>
          <w:rFonts w:hint="default" w:ascii="Times New Roman" w:hAnsi="Times New Roman" w:cs="Times New Roman"/>
          <w:snapToGrid w:val="0"/>
          <w:spacing w:val="0"/>
          <w:sz w:val="24"/>
          <w:szCs w:val="24"/>
          <w:highlight w:val="none"/>
        </w:rPr>
        <w:t>项目各环境要素评价等级和范围见表1-19所示。</w: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表1-19  评价范围一览表</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112"/>
        <w:gridCol w:w="1564"/>
        <w:gridCol w:w="989"/>
        <w:gridCol w:w="1499"/>
        <w:gridCol w:w="1071"/>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14"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环境要素</w:t>
            </w:r>
          </w:p>
        </w:tc>
        <w:tc>
          <w:tcPr>
            <w:tcW w:w="652" w:type="pct"/>
            <w:tcMar>
              <w:left w:w="28" w:type="dxa"/>
              <w:right w:w="28" w:type="dxa"/>
            </w:tcMar>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环境空气</w:t>
            </w:r>
          </w:p>
        </w:tc>
        <w:tc>
          <w:tcPr>
            <w:tcW w:w="917"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地下水环境</w:t>
            </w:r>
          </w:p>
        </w:tc>
        <w:tc>
          <w:tcPr>
            <w:tcW w:w="580"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声环境</w:t>
            </w:r>
          </w:p>
        </w:tc>
        <w:tc>
          <w:tcPr>
            <w:tcW w:w="879"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生态环境</w:t>
            </w:r>
          </w:p>
        </w:tc>
        <w:tc>
          <w:tcPr>
            <w:tcW w:w="628" w:type="pct"/>
            <w:tcMar>
              <w:left w:w="28" w:type="dxa"/>
              <w:right w:w="28" w:type="dxa"/>
            </w:tcMar>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环境风险</w:t>
            </w:r>
          </w:p>
        </w:tc>
        <w:tc>
          <w:tcPr>
            <w:tcW w:w="626"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评价等级</w:t>
            </w:r>
          </w:p>
        </w:tc>
        <w:tc>
          <w:tcPr>
            <w:tcW w:w="652" w:type="pct"/>
            <w:tcMar>
              <w:left w:w="28" w:type="dxa"/>
              <w:right w:w="28" w:type="dxa"/>
            </w:tcMar>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三级</w:t>
            </w:r>
          </w:p>
        </w:tc>
        <w:tc>
          <w:tcPr>
            <w:tcW w:w="917"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三级</w:t>
            </w:r>
          </w:p>
        </w:tc>
        <w:tc>
          <w:tcPr>
            <w:tcW w:w="580"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二级</w:t>
            </w:r>
          </w:p>
        </w:tc>
        <w:tc>
          <w:tcPr>
            <w:tcW w:w="879"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生态影响分析</w:t>
            </w:r>
          </w:p>
        </w:tc>
        <w:tc>
          <w:tcPr>
            <w:tcW w:w="628" w:type="pct"/>
            <w:tcMar>
              <w:left w:w="28" w:type="dxa"/>
              <w:right w:w="28" w:type="dxa"/>
            </w:tcMar>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简要分析</w:t>
            </w:r>
          </w:p>
        </w:tc>
        <w:tc>
          <w:tcPr>
            <w:tcW w:w="626"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评价范围</w:t>
            </w:r>
          </w:p>
        </w:tc>
        <w:tc>
          <w:tcPr>
            <w:tcW w:w="652" w:type="pct"/>
            <w:tcMar>
              <w:left w:w="28" w:type="dxa"/>
              <w:right w:w="28" w:type="dxa"/>
            </w:tcMar>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边长5km矩形区域</w:t>
            </w:r>
          </w:p>
        </w:tc>
        <w:tc>
          <w:tcPr>
            <w:tcW w:w="917"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z w:val="21"/>
                <w:szCs w:val="21"/>
                <w:highlight w:val="none"/>
              </w:rPr>
              <w:t>上游、两侧外扩1km，下游外扩2km</w:t>
            </w:r>
          </w:p>
        </w:tc>
        <w:tc>
          <w:tcPr>
            <w:tcW w:w="580" w:type="pct"/>
            <w:tcMar>
              <w:left w:w="0" w:type="dxa"/>
              <w:right w:w="0" w:type="dxa"/>
            </w:tcMar>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厂界外200m范围</w:t>
            </w:r>
          </w:p>
        </w:tc>
        <w:tc>
          <w:tcPr>
            <w:tcW w:w="879"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z w:val="21"/>
                <w:szCs w:val="21"/>
                <w:highlight w:val="none"/>
              </w:rPr>
            </w:pPr>
            <w:r>
              <w:rPr>
                <w:rFonts w:hint="default" w:ascii="Times New Roman" w:hAnsi="Times New Roman" w:cs="Times New Roman"/>
                <w:snapToGrid w:val="0"/>
                <w:kern w:val="0"/>
                <w:sz w:val="21"/>
                <w:szCs w:val="21"/>
                <w:highlight w:val="none"/>
              </w:rPr>
              <w:t>企业</w:t>
            </w:r>
            <w:r>
              <w:rPr>
                <w:rFonts w:hint="default" w:ascii="Times New Roman" w:hAnsi="Times New Roman" w:cs="Times New Roman"/>
                <w:snapToGrid w:val="0"/>
                <w:kern w:val="0"/>
                <w:sz w:val="21"/>
                <w:szCs w:val="21"/>
                <w:highlight w:val="none"/>
                <w:lang w:val="en-US" w:eastAsia="zh-CN"/>
              </w:rPr>
              <w:t>周边200</w:t>
            </w:r>
            <w:r>
              <w:rPr>
                <w:rFonts w:hint="default" w:ascii="Times New Roman" w:hAnsi="Times New Roman" w:cs="Times New Roman"/>
                <w:snapToGrid w:val="0"/>
                <w:kern w:val="0"/>
                <w:sz w:val="21"/>
                <w:szCs w:val="21"/>
                <w:highlight w:val="none"/>
              </w:rPr>
              <w:t>范围</w:t>
            </w:r>
          </w:p>
        </w:tc>
        <w:tc>
          <w:tcPr>
            <w:tcW w:w="628" w:type="pct"/>
            <w:tcMar>
              <w:left w:w="28" w:type="dxa"/>
              <w:right w:w="28" w:type="dxa"/>
            </w:tcMar>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lang w:eastAsia="zh-CN"/>
              </w:rPr>
            </w:pPr>
            <w:r>
              <w:rPr>
                <w:rFonts w:hint="default" w:ascii="Times New Roman" w:hAnsi="Times New Roman" w:cs="Times New Roman"/>
                <w:snapToGrid w:val="0"/>
                <w:sz w:val="21"/>
                <w:szCs w:val="21"/>
                <w:highlight w:val="none"/>
                <w:lang w:val="en-US" w:eastAsia="zh-CN"/>
              </w:rPr>
              <w:t>/</w:t>
            </w:r>
          </w:p>
        </w:tc>
        <w:tc>
          <w:tcPr>
            <w:tcW w:w="626" w:type="pct"/>
            <w:vAlign w:val="center"/>
          </w:tcPr>
          <w:p>
            <w:pPr>
              <w:pStyle w:val="14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rPr>
            </w:pPr>
            <w:r>
              <w:rPr>
                <w:rFonts w:hint="default" w:ascii="Times New Roman" w:hAnsi="Times New Roman" w:cs="Times New Roman"/>
                <w:snapToGrid w:val="0"/>
                <w:spacing w:val="0"/>
                <w:sz w:val="21"/>
                <w:szCs w:val="21"/>
                <w:highlight w:val="none"/>
              </w:rPr>
              <w:t>厂界外200m</w:t>
            </w:r>
          </w:p>
        </w:tc>
      </w:tr>
    </w:tbl>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32" w:name="_Toc521334362"/>
      <w:r>
        <w:rPr>
          <w:rFonts w:hint="default" w:ascii="Times New Roman" w:hAnsi="Times New Roman" w:eastAsia="黑体" w:cs="Times New Roman"/>
          <w:bCs/>
          <w:sz w:val="28"/>
          <w:szCs w:val="28"/>
          <w:highlight w:val="none"/>
        </w:rPr>
        <w:t>1.4.2环境保护目标</w:t>
      </w:r>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经调查，在评价范围内无重点保护文物、自然保护区，珍稀动、植物和风景旅游区等环境敏感目标。本次评价保护对象为环境空气、声环境及地下水，环境保护目标主要是评价范围内的居民点，其功能为乡村居住地。各环境要素保护目标具体情况见表1-20。</w: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表1-20-1  大气环境保护目标一览表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53"/>
        <w:gridCol w:w="1582"/>
        <w:gridCol w:w="2001"/>
        <w:gridCol w:w="1400"/>
        <w:gridCol w:w="1698"/>
        <w:gridCol w:w="1709"/>
        <w:gridCol w:w="1726"/>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Merge w:val="restar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名称</w:t>
            </w:r>
          </w:p>
        </w:tc>
        <w:tc>
          <w:tcPr>
            <w:tcW w:w="1141" w:type="pct"/>
            <w:gridSpan w:val="2"/>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坐标/m</w:t>
            </w:r>
          </w:p>
        </w:tc>
        <w:tc>
          <w:tcPr>
            <w:tcW w:w="706" w:type="pct"/>
            <w:vMerge w:val="restar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保护对象</w:t>
            </w:r>
          </w:p>
        </w:tc>
        <w:tc>
          <w:tcPr>
            <w:tcW w:w="494" w:type="pct"/>
            <w:vMerge w:val="restar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保护内容</w:t>
            </w:r>
          </w:p>
        </w:tc>
        <w:tc>
          <w:tcPr>
            <w:tcW w:w="599" w:type="pct"/>
            <w:vMerge w:val="restar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环境功能区</w:t>
            </w:r>
          </w:p>
        </w:tc>
        <w:tc>
          <w:tcPr>
            <w:tcW w:w="603" w:type="pct"/>
            <w:vMerge w:val="restar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相对厂址方位</w:t>
            </w:r>
          </w:p>
        </w:tc>
        <w:tc>
          <w:tcPr>
            <w:tcW w:w="607" w:type="pct"/>
            <w:vMerge w:val="restar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相对厂界距离/m</w:t>
            </w:r>
          </w:p>
        </w:tc>
        <w:tc>
          <w:tcPr>
            <w:tcW w:w="599" w:type="pct"/>
            <w:vMerge w:val="restart"/>
            <w:tcBorders>
              <w:top w:val="single" w:color="auto" w:sz="4" w:space="0"/>
              <w:left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i/>
                <w:sz w:val="21"/>
                <w:szCs w:val="21"/>
                <w:highlight w:val="none"/>
              </w:rPr>
            </w:pPr>
            <w:r>
              <w:rPr>
                <w:rFonts w:hint="default" w:ascii="Times New Roman" w:hAnsi="Times New Roman" w:cs="Times New Roman"/>
                <w:i/>
                <w:sz w:val="21"/>
                <w:szCs w:val="21"/>
                <w:highlight w:val="none"/>
              </w:rPr>
              <w:t>X</w:t>
            </w:r>
          </w:p>
        </w:tc>
        <w:tc>
          <w:tcPr>
            <w:tcW w:w="55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i/>
                <w:sz w:val="21"/>
                <w:szCs w:val="21"/>
                <w:highlight w:val="none"/>
              </w:rPr>
            </w:pPr>
            <w:r>
              <w:rPr>
                <w:rFonts w:hint="default" w:ascii="Times New Roman" w:hAnsi="Times New Roman" w:cs="Times New Roman"/>
                <w:i/>
                <w:sz w:val="21"/>
                <w:szCs w:val="21"/>
                <w:highlight w:val="none"/>
              </w:rPr>
              <w:t>Y</w:t>
            </w:r>
          </w:p>
        </w:tc>
        <w:tc>
          <w:tcPr>
            <w:tcW w:w="70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p>
        </w:tc>
        <w:tc>
          <w:tcPr>
            <w:tcW w:w="49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p>
        </w:tc>
        <w:tc>
          <w:tcPr>
            <w:tcW w:w="599"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p>
        </w:tc>
        <w:tc>
          <w:tcPr>
            <w:tcW w:w="60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p>
        </w:tc>
        <w:tc>
          <w:tcPr>
            <w:tcW w:w="60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p>
        </w:tc>
        <w:tc>
          <w:tcPr>
            <w:tcW w:w="599"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665595</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4416166</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杨家港村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930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9</w:t>
            </w:r>
            <w:r>
              <w:rPr>
                <w:rFonts w:hint="default" w:ascii="Times New Roman" w:hAnsi="Times New Roman" w:cs="Times New Roman"/>
                <w:sz w:val="21"/>
                <w:szCs w:val="21"/>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666092</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4416521</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半壁山村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1290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666400</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4416117</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朱庄村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950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636005</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4414694</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马庄子村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660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666731</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4415069</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莫黑石村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770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665887</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4416517</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肖家沟村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520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664839</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4415128</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新一村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810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r>
              <w:rPr>
                <w:rFonts w:hint="default"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8</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664429</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4415452</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石家沟村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1300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664880</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4415584</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孟庄村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yellow"/>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820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22</w:t>
            </w:r>
            <w:r>
              <w:rPr>
                <w:rFonts w:hint="default" w:ascii="Times New Roman" w:hAnsi="Times New Roman" w:cs="Times New Roman"/>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664595</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u w:val="none"/>
                <w:lang w:val="en-US" w:eastAsia="zh-CN" w:bidi="ar"/>
              </w:rPr>
              <w:t>4416089</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红坡子村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NW</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1050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11</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664635</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4413836</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茚家沟</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SW</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1550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12</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664310</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4413429</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青石洼</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SW</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2070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13</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664654</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4413347</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顾家沟</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SW</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1880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14</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664964</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4413287</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大佛寺</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SW</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1800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15</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666252</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4413859</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张家沟</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S</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970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16</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667674</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4414990</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刘黑石</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1600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17</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667075</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4416576</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下寨乡</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NE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1700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18</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667504</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4416874</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下寨村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NE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2200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19</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667398</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4416283</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贾村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NE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1720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20</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664074</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4416466</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饮马河村</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NW</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2000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21</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663924</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4414675</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常家沟</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SW</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1740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22</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668030</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4414365</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小蔡家坟</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居民</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SE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1720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23</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666231</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4414448</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刘黑石水库</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地表水体</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Ⅲ类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SE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410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24</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665380</w:t>
            </w:r>
          </w:p>
        </w:tc>
        <w:tc>
          <w:tcPr>
            <w:tcW w:w="5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4414618</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茚家沟水库</w:t>
            </w:r>
          </w:p>
        </w:tc>
        <w:tc>
          <w:tcPr>
            <w:tcW w:w="494"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地表水体</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Ⅲ类</w:t>
            </w:r>
          </w:p>
        </w:tc>
        <w:tc>
          <w:tcPr>
            <w:tcW w:w="603"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WE</w:t>
            </w:r>
          </w:p>
        </w:tc>
        <w:tc>
          <w:tcPr>
            <w:tcW w:w="607"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480</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0" w:type="pct"/>
            <w:gridSpan w:val="8"/>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合计</w:t>
            </w:r>
          </w:p>
        </w:tc>
        <w:tc>
          <w:tcPr>
            <w:tcW w:w="5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10160</w:t>
            </w:r>
          </w:p>
        </w:tc>
      </w:tr>
    </w:tbl>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表1-20-2  地下水环境保护目标一览表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362"/>
        <w:gridCol w:w="2362"/>
        <w:gridCol w:w="2362"/>
        <w:gridCol w:w="2362"/>
        <w:gridCol w:w="2363"/>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36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名称</w:t>
            </w:r>
          </w:p>
        </w:tc>
        <w:tc>
          <w:tcPr>
            <w:tcW w:w="236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保护对象</w:t>
            </w:r>
          </w:p>
        </w:tc>
        <w:tc>
          <w:tcPr>
            <w:tcW w:w="236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保护内容</w:t>
            </w:r>
          </w:p>
        </w:tc>
        <w:tc>
          <w:tcPr>
            <w:tcW w:w="236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环境功能区</w:t>
            </w:r>
          </w:p>
        </w:tc>
        <w:tc>
          <w:tcPr>
            <w:tcW w:w="236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相对厂址方位</w:t>
            </w:r>
          </w:p>
        </w:tc>
        <w:tc>
          <w:tcPr>
            <w:tcW w:w="236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36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1</w:t>
            </w:r>
          </w:p>
        </w:tc>
        <w:tc>
          <w:tcPr>
            <w:tcW w:w="236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区域地下水</w:t>
            </w:r>
          </w:p>
        </w:tc>
        <w:tc>
          <w:tcPr>
            <w:tcW w:w="236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eastAsia" w:ascii="Times New Roman" w:hAnsi="Times New Roman" w:cs="Times New Roman"/>
                <w:highlight w:val="none"/>
                <w:lang w:val="en-US" w:eastAsia="zh-CN"/>
              </w:rPr>
              <w:t>区域地下水</w:t>
            </w:r>
          </w:p>
        </w:tc>
        <w:tc>
          <w:tcPr>
            <w:tcW w:w="236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GB/T14848-2017中Ⅲ类</w:t>
            </w:r>
          </w:p>
        </w:tc>
        <w:tc>
          <w:tcPr>
            <w:tcW w:w="236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厂区及下游</w:t>
            </w:r>
          </w:p>
        </w:tc>
        <w:tc>
          <w:tcPr>
            <w:tcW w:w="236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b w:val="0"/>
                <w:kern w:val="2"/>
                <w:sz w:val="24"/>
                <w:szCs w:val="22"/>
                <w:highlight w:val="none"/>
                <w:vertAlign w:val="baseline"/>
                <w:lang w:val="en-US" w:eastAsia="zh-CN" w:bidi="ar-SA"/>
              </w:rPr>
            </w:pPr>
            <w:r>
              <w:rPr>
                <w:rFonts w:hint="default" w:ascii="Times New Roman" w:hAnsi="Times New Roman" w:cs="Times New Roman"/>
                <w:highlight w:val="none"/>
                <w:lang w:val="en-US" w:eastAsia="zh-CN"/>
              </w:rPr>
              <w:t>/</w:t>
            </w:r>
          </w:p>
        </w:tc>
      </w:tr>
    </w:tbl>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bookmarkStart w:id="33" w:name="_Toc295291708"/>
      <w:bookmarkStart w:id="34" w:name="_Toc206471416"/>
      <w:bookmarkStart w:id="35" w:name="_Toc195586287"/>
      <w:bookmarkStart w:id="36" w:name="_Toc324694086"/>
      <w:bookmarkStart w:id="37" w:name="_Toc281050927"/>
      <w:bookmarkStart w:id="38" w:name="_Toc290052010"/>
      <w:bookmarkStart w:id="39" w:name="_Toc521334371"/>
      <w:bookmarkStart w:id="40" w:name="_Toc521334393"/>
      <w:r>
        <w:rPr>
          <w:rFonts w:hint="default" w:ascii="Times New Roman" w:hAnsi="Times New Roman" w:eastAsia="黑体" w:cs="Times New Roman"/>
          <w:b w:val="0"/>
          <w:kern w:val="2"/>
          <w:sz w:val="24"/>
          <w:szCs w:val="22"/>
          <w:highlight w:val="none"/>
          <w:lang w:val="en-US" w:eastAsia="zh-CN" w:bidi="ar-SA"/>
        </w:rPr>
        <w:t>表1-20-3  土壤环境保护目标一览表</w:t>
      </w:r>
    </w:p>
    <w:tbl>
      <w:tblPr>
        <w:tblStyle w:val="8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2"/>
        <w:gridCol w:w="2832"/>
        <w:gridCol w:w="2832"/>
        <w:gridCol w:w="2833"/>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highlight w:val="none"/>
              </w:rPr>
            </w:pPr>
            <w:r>
              <w:rPr>
                <w:rFonts w:hint="default" w:ascii="Times New Roman" w:hAnsi="Times New Roman" w:cs="Times New Roman"/>
                <w:highlight w:val="none"/>
              </w:rPr>
              <w:t>名称</w:t>
            </w:r>
          </w:p>
        </w:tc>
        <w:tc>
          <w:tcPr>
            <w:tcW w:w="9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highlight w:val="none"/>
              </w:rPr>
            </w:pPr>
            <w:r>
              <w:rPr>
                <w:rFonts w:hint="default" w:ascii="Times New Roman" w:hAnsi="Times New Roman" w:cs="Times New Roman"/>
                <w:highlight w:val="none"/>
              </w:rPr>
              <w:t>保护对象</w:t>
            </w:r>
          </w:p>
        </w:tc>
        <w:tc>
          <w:tcPr>
            <w:tcW w:w="9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highlight w:val="none"/>
              </w:rPr>
            </w:pPr>
            <w:r>
              <w:rPr>
                <w:rFonts w:hint="default" w:ascii="Times New Roman" w:hAnsi="Times New Roman" w:cs="Times New Roman"/>
                <w:highlight w:val="none"/>
              </w:rPr>
              <w:t>保护内容</w:t>
            </w:r>
          </w:p>
        </w:tc>
        <w:tc>
          <w:tcPr>
            <w:tcW w:w="9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highlight w:val="none"/>
              </w:rPr>
            </w:pPr>
            <w:r>
              <w:rPr>
                <w:rFonts w:hint="default" w:ascii="Times New Roman" w:hAnsi="Times New Roman" w:cs="Times New Roman"/>
                <w:highlight w:val="none"/>
              </w:rPr>
              <w:t>环境功能区</w:t>
            </w:r>
          </w:p>
        </w:tc>
        <w:tc>
          <w:tcPr>
            <w:tcW w:w="1000"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highlight w:val="none"/>
                <w:lang w:eastAsia="zh-CN"/>
              </w:rPr>
            </w:pPr>
            <w:r>
              <w:rPr>
                <w:rFonts w:hint="eastAsia" w:ascii="Times New Roman" w:hAnsi="Times New Roman" w:cs="Times New Roman"/>
                <w:highlight w:val="none"/>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highlight w:val="none"/>
              </w:rPr>
            </w:pPr>
            <w:r>
              <w:rPr>
                <w:rFonts w:hint="default" w:ascii="Times New Roman" w:hAnsi="Times New Roman" w:cs="Times New Roman"/>
                <w:highlight w:val="none"/>
              </w:rPr>
              <w:t>1</w:t>
            </w:r>
          </w:p>
        </w:tc>
        <w:tc>
          <w:tcPr>
            <w:tcW w:w="9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周边及厂区土壤</w:t>
            </w:r>
          </w:p>
        </w:tc>
        <w:tc>
          <w:tcPr>
            <w:tcW w:w="999" w:type="pct"/>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项目占地范围及周边土壤</w:t>
            </w:r>
          </w:p>
        </w:tc>
        <w:tc>
          <w:tcPr>
            <w:tcW w:w="999" w:type="pct"/>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highlight w:val="none"/>
                <w:lang w:eastAsia="zh-CN"/>
              </w:rPr>
            </w:pPr>
            <w:r>
              <w:rPr>
                <w:rFonts w:hint="default" w:ascii="Times New Roman" w:hAnsi="Times New Roman" w:cs="Times New Roman"/>
                <w:snapToGrid w:val="0"/>
                <w:kern w:val="0"/>
                <w:highlight w:val="none"/>
              </w:rPr>
              <w:t>GB</w:t>
            </w:r>
            <w:r>
              <w:rPr>
                <w:rFonts w:hint="eastAsia" w:ascii="Times New Roman" w:hAnsi="Times New Roman" w:cs="Times New Roman"/>
                <w:snapToGrid w:val="0"/>
                <w:kern w:val="0"/>
                <w:highlight w:val="none"/>
                <w:lang w:val="en-US" w:eastAsia="zh-CN"/>
              </w:rPr>
              <w:t>15618-2018</w:t>
            </w:r>
          </w:p>
        </w:tc>
        <w:tc>
          <w:tcPr>
            <w:tcW w:w="1000" w:type="pct"/>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highlight w:val="none"/>
              </w:rPr>
            </w:pPr>
            <w:r>
              <w:rPr>
                <w:rFonts w:hint="eastAsia" w:ascii="Times New Roman" w:hAnsi="Times New Roman" w:cs="Times New Roman"/>
                <w:highlight w:val="none"/>
                <w:lang w:val="en-US" w:eastAsia="zh-CN"/>
              </w:rPr>
              <w:t>占地范围及厂界外200m</w:t>
            </w:r>
          </w:p>
        </w:tc>
      </w:tr>
    </w:tbl>
    <w:p>
      <w:pPr>
        <w:spacing w:before="120" w:beforeLines="50" w:after="120" w:afterLines="50"/>
        <w:jc w:val="left"/>
        <w:outlineLvl w:val="0"/>
        <w:rPr>
          <w:rFonts w:hint="default" w:ascii="Times New Roman" w:hAnsi="Times New Roman" w:eastAsia="黑体" w:cs="Times New Roman"/>
          <w:bCs/>
          <w:sz w:val="32"/>
          <w:szCs w:val="32"/>
          <w:highlight w:val="none"/>
        </w:rPr>
        <w:sectPr>
          <w:pgSz w:w="16838" w:h="11906" w:orient="landscape"/>
          <w:pgMar w:top="1800" w:right="1440" w:bottom="1800" w:left="1440" w:header="708" w:footer="708" w:gutter="0"/>
          <w:pgBorders>
            <w:top w:val="none" w:sz="0" w:space="0"/>
            <w:left w:val="none" w:sz="0" w:space="0"/>
            <w:bottom w:val="none" w:sz="0" w:space="0"/>
            <w:right w:val="none" w:sz="0" w:space="0"/>
          </w:pgBorders>
          <w:pgNumType w:fmt="decimal"/>
          <w:cols w:space="720" w:num="1"/>
          <w:docGrid w:linePitch="286" w:charSpace="0"/>
        </w:sectPr>
      </w:pPr>
    </w:p>
    <w:p>
      <w:pPr>
        <w:spacing w:before="120" w:beforeLines="50" w:after="120" w:afterLines="50"/>
        <w:jc w:val="left"/>
        <w:outlineLvl w:val="0"/>
        <w:rPr>
          <w:rFonts w:hint="default" w:ascii="Times New Roman" w:hAnsi="Times New Roman" w:eastAsia="黑体" w:cs="Times New Roman"/>
          <w:bCs/>
          <w:sz w:val="32"/>
          <w:szCs w:val="32"/>
          <w:highlight w:val="none"/>
        </w:rPr>
      </w:pPr>
      <w:bookmarkStart w:id="41" w:name="_Toc31665"/>
      <w:r>
        <w:rPr>
          <w:rFonts w:hint="default" w:ascii="Times New Roman" w:hAnsi="Times New Roman" w:eastAsia="黑体" w:cs="Times New Roman"/>
          <w:bCs/>
          <w:sz w:val="32"/>
          <w:szCs w:val="32"/>
          <w:highlight w:val="none"/>
        </w:rPr>
        <w:t>2建设项目概况和工程分析</w:t>
      </w:r>
      <w:bookmarkEnd w:id="41"/>
      <w:r>
        <w:rPr>
          <w:rFonts w:hint="default" w:ascii="Times New Roman" w:hAnsi="Times New Roman" w:eastAsia="黑体" w:cs="Times New Roman"/>
          <w:bCs/>
          <w:sz w:val="32"/>
          <w:szCs w:val="32"/>
          <w:highlight w:val="none"/>
        </w:rPr>
        <w:t xml:space="preserve"> </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42" w:name="_Toc4429"/>
      <w:r>
        <w:rPr>
          <w:rFonts w:hint="default" w:ascii="Times New Roman" w:hAnsi="Times New Roman" w:eastAsia="黑体" w:cs="Times New Roman"/>
          <w:bCs/>
          <w:sz w:val="30"/>
          <w:szCs w:val="30"/>
          <w:highlight w:val="none"/>
        </w:rPr>
        <w:t>2.1基本概况</w:t>
      </w:r>
      <w:bookmarkEnd w:id="42"/>
      <w:r>
        <w:rPr>
          <w:rFonts w:hint="default" w:ascii="Times New Roman" w:hAnsi="Times New Roman" w:eastAsia="黑体" w:cs="Times New Roman"/>
          <w:bCs/>
          <w:sz w:val="30"/>
          <w:szCs w:val="30"/>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（1）项目名称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国飞农业产业园项目。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（2）建设单位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秦皇岛市国飞农业科技发展有限公司。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（3）选址及用地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项目位于秦皇岛市卢龙县朱庄子村南。项目中心地理位置坐标为北纬39°52′10.72″，东经118°56′24.35″。项目西侧、东侧及南侧均为农田，北侧为乡村道路。项目占地面积</w:t>
      </w:r>
      <w:r>
        <w:rPr>
          <w:rFonts w:hint="eastAsia" w:ascii="Times New Roman" w:hAnsi="Times New Roman" w:cs="Times New Roman"/>
          <w:sz w:val="24"/>
          <w:szCs w:val="24"/>
          <w:highlight w:val="none"/>
          <w:lang w:val="en-US" w:eastAsia="zh-CN"/>
        </w:rPr>
        <w:t>113467.66</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 xml:space="preserve">，为租用朱庄子村土地，用地类型为养殖用地，用地不属于基本农田。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（4）建设性质：新建。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（5）建设内容及规模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建设生猪养殖场1座，总占地面积</w:t>
      </w:r>
      <w:r>
        <w:rPr>
          <w:rFonts w:hint="eastAsia" w:ascii="Times New Roman" w:hAnsi="Times New Roman" w:cs="Times New Roman"/>
          <w:sz w:val="24"/>
          <w:szCs w:val="24"/>
          <w:highlight w:val="none"/>
          <w:lang w:val="en-US" w:eastAsia="zh-CN"/>
        </w:rPr>
        <w:t>113467.66</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，总建筑面积</w:t>
      </w:r>
      <w:r>
        <w:rPr>
          <w:rFonts w:hint="eastAsia" w:ascii="Times New Roman" w:hAnsi="Times New Roman" w:cs="Times New Roman"/>
          <w:sz w:val="24"/>
          <w:szCs w:val="24"/>
          <w:highlight w:val="none"/>
          <w:lang w:eastAsia="zh-CN"/>
        </w:rPr>
        <w:t>43094</w:t>
      </w:r>
      <w:r>
        <w:rPr>
          <w:rFonts w:hint="default" w:ascii="Times New Roman" w:hAnsi="Times New Roman" w:eastAsia="宋体" w:cs="Times New Roman"/>
          <w:sz w:val="24"/>
          <w:szCs w:val="24"/>
          <w:highlight w:val="green"/>
        </w:rPr>
        <w:t>m</w:t>
      </w:r>
      <w:r>
        <w:rPr>
          <w:rFonts w:hint="default" w:ascii="Times New Roman" w:hAnsi="Times New Roman" w:eastAsia="宋体" w:cs="Times New Roman"/>
          <w:sz w:val="24"/>
          <w:szCs w:val="24"/>
          <w:highlight w:val="green"/>
          <w:vertAlign w:val="superscript"/>
        </w:rPr>
        <w:t>2</w:t>
      </w:r>
      <w:r>
        <w:rPr>
          <w:rFonts w:hint="default" w:ascii="Times New Roman" w:hAnsi="Times New Roman" w:eastAsia="宋体" w:cs="Times New Roman"/>
          <w:sz w:val="24"/>
          <w:szCs w:val="24"/>
          <w:highlight w:val="none"/>
        </w:rPr>
        <w:t>，包括标准化猪舍31栋、</w:t>
      </w:r>
      <w:r>
        <w:rPr>
          <w:rFonts w:hint="eastAsia" w:ascii="Times New Roman" w:hAnsi="Times New Roman" w:cs="Times New Roman"/>
          <w:sz w:val="24"/>
          <w:szCs w:val="24"/>
          <w:highlight w:val="green"/>
          <w:lang w:val="en-US" w:eastAsia="zh-CN"/>
        </w:rPr>
        <w:t>饲料加工存储</w:t>
      </w:r>
      <w:r>
        <w:rPr>
          <w:rFonts w:hint="default" w:ascii="Times New Roman" w:hAnsi="Times New Roman" w:eastAsia="宋体" w:cs="Times New Roman"/>
          <w:sz w:val="24"/>
          <w:szCs w:val="24"/>
          <w:highlight w:val="green"/>
        </w:rPr>
        <w:t>1栋</w:t>
      </w:r>
      <w:r>
        <w:rPr>
          <w:rFonts w:hint="default" w:ascii="Times New Roman" w:hAnsi="Times New Roman" w:eastAsia="宋体" w:cs="Times New Roman"/>
          <w:sz w:val="24"/>
          <w:szCs w:val="24"/>
          <w:highlight w:val="none"/>
        </w:rPr>
        <w:t>、办公</w:t>
      </w:r>
      <w:r>
        <w:rPr>
          <w:rFonts w:hint="eastAsia" w:ascii="Times New Roman" w:hAnsi="Times New Roman" w:cs="Times New Roman"/>
          <w:sz w:val="24"/>
          <w:szCs w:val="24"/>
          <w:highlight w:val="none"/>
          <w:lang w:val="en-US" w:eastAsia="zh-CN"/>
        </w:rPr>
        <w:t>生活区</w:t>
      </w:r>
      <w:r>
        <w:rPr>
          <w:rFonts w:hint="default" w:ascii="Times New Roman" w:hAnsi="Times New Roman" w:eastAsia="宋体" w:cs="Times New Roman"/>
          <w:sz w:val="24"/>
          <w:szCs w:val="24"/>
          <w:highlight w:val="none"/>
        </w:rPr>
        <w:t>，配套建设</w:t>
      </w:r>
      <w:r>
        <w:rPr>
          <w:rFonts w:hint="eastAsia" w:ascii="Times New Roman" w:hAnsi="Times New Roman" w:cs="Times New Roman"/>
          <w:sz w:val="24"/>
          <w:szCs w:val="24"/>
          <w:highlight w:val="none"/>
          <w:lang w:val="en-US" w:eastAsia="zh-CN"/>
        </w:rPr>
        <w:t>粪污无害化处理</w:t>
      </w:r>
      <w:r>
        <w:rPr>
          <w:rFonts w:hint="default" w:ascii="Times New Roman" w:hAnsi="Times New Roman" w:eastAsia="宋体" w:cs="Times New Roman"/>
          <w:sz w:val="24"/>
          <w:szCs w:val="24"/>
          <w:highlight w:val="none"/>
        </w:rPr>
        <w:t xml:space="preserve">设施等。生产规模为年出栏生猪10万头。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（6）猪群结构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本项目由秦皇岛市国飞农业科技发展有限公司引进半月龄仔猪（体重约10kg），经130天左右育肥饲养（体重达到100kg以上），生猪出栏，最大存栏数为40000头生猪，不同龄期生猪混养，滚动出栏，年出栏10万头生猪。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（7）工程投资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项目总投资6亿元，</w:t>
      </w:r>
      <w:r>
        <w:rPr>
          <w:rFonts w:hint="default" w:ascii="Times New Roman" w:hAnsi="Times New Roman" w:eastAsia="宋体" w:cs="Times New Roman"/>
          <w:snapToGrid w:val="0"/>
          <w:kern w:val="0"/>
          <w:sz w:val="24"/>
          <w:szCs w:val="24"/>
          <w:highlight w:val="none"/>
        </w:rPr>
        <w:t>其中环保投资</w:t>
      </w:r>
      <w:r>
        <w:rPr>
          <w:rFonts w:hint="default" w:ascii="Times New Roman" w:hAnsi="Times New Roman" w:eastAsia="宋体" w:cs="Times New Roman"/>
          <w:snapToGrid w:val="0"/>
          <w:kern w:val="0"/>
          <w:sz w:val="24"/>
          <w:szCs w:val="24"/>
          <w:highlight w:val="none"/>
          <w:lang w:val="en-US" w:eastAsia="zh-CN"/>
        </w:rPr>
        <w:t>366.5</w:t>
      </w:r>
      <w:r>
        <w:rPr>
          <w:rFonts w:hint="default" w:ascii="Times New Roman" w:hAnsi="Times New Roman" w:eastAsia="宋体" w:cs="Times New Roman"/>
          <w:snapToGrid w:val="0"/>
          <w:kern w:val="0"/>
          <w:sz w:val="24"/>
          <w:szCs w:val="24"/>
          <w:highlight w:val="none"/>
        </w:rPr>
        <w:t>万元，占项目总投资的0.</w:t>
      </w:r>
      <w:r>
        <w:rPr>
          <w:rFonts w:hint="default" w:ascii="Times New Roman" w:hAnsi="Times New Roman" w:eastAsia="宋体" w:cs="Times New Roman"/>
          <w:snapToGrid w:val="0"/>
          <w:kern w:val="0"/>
          <w:sz w:val="24"/>
          <w:szCs w:val="24"/>
          <w:highlight w:val="none"/>
          <w:lang w:val="en-US" w:eastAsia="zh-CN"/>
        </w:rPr>
        <w:t>61</w:t>
      </w:r>
      <w:r>
        <w:rPr>
          <w:rFonts w:hint="default" w:ascii="Times New Roman" w:hAnsi="Times New Roman" w:eastAsia="宋体" w:cs="Times New Roman"/>
          <w:snapToGrid w:val="0"/>
          <w:kern w:val="0"/>
          <w:sz w:val="24"/>
          <w:szCs w:val="24"/>
          <w:highlight w:val="none"/>
        </w:rPr>
        <w:t>%</w:t>
      </w:r>
      <w:r>
        <w:rPr>
          <w:rFonts w:hint="default" w:ascii="Times New Roman" w:hAnsi="Times New Roman" w:eastAsia="宋体" w:cs="Times New Roman"/>
          <w:sz w:val="24"/>
          <w:szCs w:val="24"/>
          <w:highlight w:val="none"/>
        </w:rPr>
        <w:t>，环保投资主要用于施工期污染防治，营运期粪污无害化处理和其它固体废物处理等。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（8）原辅材料消耗量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项目原辅材料消耗情况见表2-1。 </w:t>
      </w:r>
    </w:p>
    <w:p>
      <w:pPr>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br w:type="page"/>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表2-1 项目原辅材料消耗一览表</w:t>
      </w:r>
    </w:p>
    <w:tbl>
      <w:tblPr>
        <w:tblStyle w:val="8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3"/>
        <w:gridCol w:w="1851"/>
        <w:gridCol w:w="1250"/>
        <w:gridCol w:w="4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3" w:type="dxa"/>
            <w:shd w:val="clear" w:color="auto" w:fill="auto"/>
            <w:vAlign w:val="center"/>
          </w:tcPr>
          <w:p>
            <w:pPr>
              <w:jc w:val="center"/>
              <w:rPr>
                <w:rFonts w:hint="default" w:ascii="Times New Roman" w:hAnsi="Times New Roman" w:cs="Times New Roman"/>
                <w:b/>
                <w:bCs/>
                <w:highlight w:val="none"/>
              </w:rPr>
            </w:pPr>
            <w:r>
              <w:rPr>
                <w:rFonts w:hint="default" w:ascii="Times New Roman" w:hAnsi="Times New Roman" w:cs="Times New Roman"/>
                <w:b/>
                <w:bCs/>
                <w:highlight w:val="none"/>
              </w:rPr>
              <w:t>序号</w:t>
            </w:r>
          </w:p>
        </w:tc>
        <w:tc>
          <w:tcPr>
            <w:tcW w:w="1851" w:type="dxa"/>
            <w:shd w:val="clear" w:color="auto" w:fill="auto"/>
            <w:vAlign w:val="center"/>
          </w:tcPr>
          <w:p>
            <w:pPr>
              <w:jc w:val="center"/>
              <w:rPr>
                <w:rFonts w:hint="default" w:ascii="Times New Roman" w:hAnsi="Times New Roman" w:cs="Times New Roman"/>
                <w:b/>
                <w:bCs/>
                <w:highlight w:val="none"/>
              </w:rPr>
            </w:pPr>
            <w:r>
              <w:rPr>
                <w:rFonts w:hint="default" w:ascii="Times New Roman" w:hAnsi="Times New Roman" w:cs="Times New Roman"/>
                <w:b/>
                <w:bCs/>
                <w:highlight w:val="none"/>
              </w:rPr>
              <w:t>原辅料名称</w:t>
            </w:r>
          </w:p>
        </w:tc>
        <w:tc>
          <w:tcPr>
            <w:tcW w:w="1250" w:type="dxa"/>
            <w:shd w:val="clear" w:color="auto" w:fill="auto"/>
            <w:vAlign w:val="center"/>
          </w:tcPr>
          <w:p>
            <w:pPr>
              <w:jc w:val="center"/>
              <w:rPr>
                <w:rFonts w:hint="default" w:ascii="Times New Roman" w:hAnsi="Times New Roman" w:cs="Times New Roman"/>
                <w:b/>
                <w:bCs/>
                <w:highlight w:val="none"/>
              </w:rPr>
            </w:pPr>
            <w:r>
              <w:rPr>
                <w:rFonts w:hint="default" w:ascii="Times New Roman" w:hAnsi="Times New Roman" w:cs="Times New Roman"/>
                <w:b/>
                <w:bCs/>
                <w:highlight w:val="none"/>
              </w:rPr>
              <w:t>消耗量(t/a)</w:t>
            </w:r>
          </w:p>
        </w:tc>
        <w:tc>
          <w:tcPr>
            <w:tcW w:w="4718" w:type="dxa"/>
            <w:shd w:val="clear" w:color="auto" w:fill="auto"/>
            <w:vAlign w:val="center"/>
          </w:tcPr>
          <w:p>
            <w:pPr>
              <w:jc w:val="center"/>
              <w:rPr>
                <w:rFonts w:hint="default" w:ascii="Times New Roman" w:hAnsi="Times New Roman" w:cs="Times New Roman"/>
                <w:b/>
                <w:bCs/>
                <w:highlight w:val="none"/>
              </w:rPr>
            </w:pPr>
            <w:r>
              <w:rPr>
                <w:rFonts w:hint="default" w:ascii="Times New Roman" w:hAnsi="Times New Roman" w:cs="Times New Roman"/>
                <w:b/>
                <w:bCs/>
                <w:highlight w:val="none"/>
              </w:rPr>
              <w:t>主要成分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3"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1851"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猪饲料</w:t>
            </w:r>
          </w:p>
        </w:tc>
        <w:tc>
          <w:tcPr>
            <w:tcW w:w="1250"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29500</w:t>
            </w:r>
          </w:p>
        </w:tc>
        <w:tc>
          <w:tcPr>
            <w:tcW w:w="4718"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外购，主要包括玉米、</w:t>
            </w:r>
            <w:r>
              <w:rPr>
                <w:rFonts w:hint="default" w:ascii="Times New Roman" w:hAnsi="Times New Roman" w:cs="Times New Roman"/>
                <w:highlight w:val="none"/>
                <w:lang w:eastAsia="zh-CN"/>
              </w:rPr>
              <w:t>麦麸、稻糠、</w:t>
            </w:r>
            <w:r>
              <w:rPr>
                <w:rFonts w:hint="default" w:ascii="Times New Roman" w:hAnsi="Times New Roman" w:cs="Times New Roman"/>
                <w:highlight w:val="none"/>
              </w:rPr>
              <w:t>豆粕等。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3"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2</w:t>
            </w:r>
          </w:p>
        </w:tc>
        <w:tc>
          <w:tcPr>
            <w:tcW w:w="1851"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EM益生菌生物</w:t>
            </w:r>
          </w:p>
          <w:p>
            <w:pPr>
              <w:jc w:val="center"/>
              <w:rPr>
                <w:rFonts w:hint="default" w:ascii="Times New Roman" w:hAnsi="Times New Roman" w:cs="Times New Roman"/>
                <w:highlight w:val="none"/>
              </w:rPr>
            </w:pPr>
            <w:r>
              <w:rPr>
                <w:rFonts w:hint="default" w:ascii="Times New Roman" w:hAnsi="Times New Roman" w:cs="Times New Roman"/>
                <w:highlight w:val="none"/>
              </w:rPr>
              <w:t>除臭液</w:t>
            </w:r>
          </w:p>
        </w:tc>
        <w:tc>
          <w:tcPr>
            <w:tcW w:w="1250"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5.76</w:t>
            </w:r>
          </w:p>
        </w:tc>
        <w:tc>
          <w:tcPr>
            <w:tcW w:w="4718"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EM益生菌生物除臭液主要成分：乳酸菌、水产芽 孢菌、水产酵母菌、光合细菌、硝化细菌等有益微生物；有机酸、氨基酸、消化酶、小分子生物肽等活性成分。有效微生物含量10亿CFU/ml。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3"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3</w:t>
            </w:r>
          </w:p>
        </w:tc>
        <w:tc>
          <w:tcPr>
            <w:tcW w:w="1851"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猪疫苗</w:t>
            </w:r>
          </w:p>
        </w:tc>
        <w:tc>
          <w:tcPr>
            <w:tcW w:w="1250"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0.3</w:t>
            </w:r>
          </w:p>
        </w:tc>
        <w:tc>
          <w:tcPr>
            <w:tcW w:w="4718"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塑料瓶包装。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3" w:type="dxa"/>
            <w:shd w:val="clear" w:color="auto" w:fill="auto"/>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4</w:t>
            </w:r>
          </w:p>
        </w:tc>
        <w:tc>
          <w:tcPr>
            <w:tcW w:w="1851" w:type="dxa"/>
            <w:shd w:val="clear" w:color="auto" w:fill="auto"/>
            <w:vAlign w:val="center"/>
          </w:tcPr>
          <w:p>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次氯酸钠</w:t>
            </w:r>
          </w:p>
        </w:tc>
        <w:tc>
          <w:tcPr>
            <w:tcW w:w="1250" w:type="dxa"/>
            <w:shd w:val="clear" w:color="auto" w:fill="auto"/>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2.0</w:t>
            </w:r>
          </w:p>
        </w:tc>
        <w:tc>
          <w:tcPr>
            <w:tcW w:w="4718" w:type="dxa"/>
            <w:shd w:val="clear" w:color="auto" w:fill="auto"/>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eastAsia="zh-CN"/>
              </w:rPr>
              <w:t>用于猪舍消毒，浓度</w:t>
            </w:r>
            <w:r>
              <w:rPr>
                <w:rFonts w:hint="default" w:ascii="Times New Roman" w:hAnsi="Times New Roman" w:cs="Times New Roman"/>
                <w:highlight w:val="none"/>
                <w:lang w:val="en-US" w:eastAsia="zh-CN"/>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3" w:type="dxa"/>
            <w:shd w:val="clear" w:color="auto" w:fill="auto"/>
            <w:vAlign w:val="center"/>
          </w:tcPr>
          <w:p>
            <w:pPr>
              <w:jc w:val="center"/>
              <w:rPr>
                <w:rFonts w:hint="default" w:ascii="Times New Roman" w:hAnsi="Times New Roman" w:cs="Times New Roman"/>
                <w:highlight w:val="green"/>
                <w:lang w:val="en-US" w:eastAsia="zh-CN"/>
              </w:rPr>
            </w:pPr>
            <w:r>
              <w:rPr>
                <w:rFonts w:hint="eastAsia" w:ascii="Times New Roman" w:hAnsi="Times New Roman" w:cs="Times New Roman"/>
                <w:highlight w:val="green"/>
                <w:lang w:val="en-US" w:eastAsia="zh-CN"/>
              </w:rPr>
              <w:t>5</w:t>
            </w:r>
          </w:p>
        </w:tc>
        <w:tc>
          <w:tcPr>
            <w:tcW w:w="1851" w:type="dxa"/>
            <w:shd w:val="clear" w:color="auto" w:fill="auto"/>
            <w:vAlign w:val="center"/>
          </w:tcPr>
          <w:p>
            <w:pPr>
              <w:jc w:val="center"/>
              <w:rPr>
                <w:rFonts w:hint="default" w:ascii="Times New Roman" w:hAnsi="Times New Roman" w:cs="Times New Roman"/>
                <w:highlight w:val="green"/>
                <w:lang w:val="en-US" w:eastAsia="zh-CN"/>
              </w:rPr>
            </w:pPr>
            <w:r>
              <w:rPr>
                <w:rFonts w:hint="eastAsia" w:ascii="Times New Roman" w:hAnsi="Times New Roman" w:cs="Times New Roman"/>
                <w:highlight w:val="green"/>
                <w:lang w:val="en-US" w:eastAsia="zh-CN"/>
              </w:rPr>
              <w:t>水</w:t>
            </w:r>
          </w:p>
        </w:tc>
        <w:tc>
          <w:tcPr>
            <w:tcW w:w="1250" w:type="dxa"/>
            <w:shd w:val="clear" w:color="auto" w:fill="auto"/>
            <w:vAlign w:val="center"/>
          </w:tcPr>
          <w:p>
            <w:pPr>
              <w:jc w:val="center"/>
              <w:rPr>
                <w:rFonts w:hint="default" w:ascii="Times New Roman" w:hAnsi="Times New Roman" w:cs="Times New Roman"/>
                <w:highlight w:val="green"/>
                <w:lang w:val="en-US" w:eastAsia="zh-CN"/>
              </w:rPr>
            </w:pPr>
            <w:r>
              <w:rPr>
                <w:rFonts w:hint="eastAsia" w:ascii="Times New Roman" w:hAnsi="Times New Roman" w:cs="Times New Roman"/>
                <w:sz w:val="21"/>
                <w:szCs w:val="21"/>
                <w:highlight w:val="none"/>
                <w:lang w:val="en-US" w:eastAsia="zh-CN"/>
              </w:rPr>
              <w:t>76693.5</w:t>
            </w:r>
          </w:p>
        </w:tc>
        <w:tc>
          <w:tcPr>
            <w:tcW w:w="4718" w:type="dxa"/>
            <w:shd w:val="clear" w:color="auto" w:fill="auto"/>
            <w:vAlign w:val="center"/>
          </w:tcPr>
          <w:p>
            <w:pPr>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before="144" w:beforeLines="50"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（9）劳动定员与工作制度 </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项目劳动定员</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0人</w:t>
      </w:r>
      <w:r>
        <w:rPr>
          <w:rFonts w:hint="default" w:ascii="Times New Roman" w:hAnsi="Times New Roman" w:eastAsia="宋体" w:cs="Times New Roman"/>
          <w:sz w:val="24"/>
          <w:szCs w:val="24"/>
          <w:highlight w:val="none"/>
          <w:lang w:val="en-US" w:eastAsia="zh-CN"/>
        </w:rPr>
        <w:t>，24小时制</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 xml:space="preserve">年工作365天。 </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（10）建设进度 </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项目建设期限为2020年4月至2023年12月。 </w: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表2-2 项目基本情况表</w:t>
      </w:r>
    </w:p>
    <w:tbl>
      <w:tblPr>
        <w:tblStyle w:val="80"/>
        <w:tblpPr w:leftFromText="180" w:rightFromText="180" w:vertAnchor="text" w:horzAnchor="page" w:tblpXSpec="center" w:tblpY="111"/>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1150"/>
        <w:gridCol w:w="4598"/>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shd w:val="clear" w:color="auto" w:fill="auto"/>
            <w:vAlign w:val="center"/>
          </w:tcPr>
          <w:p>
            <w:pPr>
              <w:adjustRightInd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1150" w:type="dxa"/>
            <w:shd w:val="clear" w:color="auto" w:fill="auto"/>
            <w:vAlign w:val="center"/>
          </w:tcPr>
          <w:p>
            <w:pPr>
              <w:adjustRightInd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项目名称</w:t>
            </w:r>
          </w:p>
        </w:tc>
        <w:tc>
          <w:tcPr>
            <w:tcW w:w="4598" w:type="dxa"/>
            <w:shd w:val="clear" w:color="auto" w:fill="auto"/>
            <w:vAlign w:val="center"/>
          </w:tcPr>
          <w:p>
            <w:pPr>
              <w:adjustRightInd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内容</w:t>
            </w:r>
          </w:p>
        </w:tc>
        <w:tc>
          <w:tcPr>
            <w:tcW w:w="2131" w:type="dxa"/>
            <w:shd w:val="clear" w:color="auto" w:fill="auto"/>
            <w:vAlign w:val="center"/>
          </w:tcPr>
          <w:p>
            <w:pPr>
              <w:adjustRightInd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150"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项目名称</w:t>
            </w:r>
          </w:p>
        </w:tc>
        <w:tc>
          <w:tcPr>
            <w:tcW w:w="4598"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国飞农业产业园项目</w:t>
            </w:r>
          </w:p>
        </w:tc>
        <w:tc>
          <w:tcPr>
            <w:tcW w:w="2131" w:type="dxa"/>
            <w:shd w:val="clear" w:color="auto" w:fill="auto"/>
            <w:vAlign w:val="center"/>
          </w:tcPr>
          <w:p>
            <w:pPr>
              <w:adjustRightIn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150"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建设性质</w:t>
            </w:r>
          </w:p>
        </w:tc>
        <w:tc>
          <w:tcPr>
            <w:tcW w:w="4598"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新建</w:t>
            </w:r>
          </w:p>
        </w:tc>
        <w:tc>
          <w:tcPr>
            <w:tcW w:w="2131" w:type="dxa"/>
            <w:shd w:val="clear" w:color="auto" w:fill="auto"/>
            <w:vAlign w:val="center"/>
          </w:tcPr>
          <w:p>
            <w:pPr>
              <w:adjustRightIn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150"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建设地址</w:t>
            </w:r>
          </w:p>
        </w:tc>
        <w:tc>
          <w:tcPr>
            <w:tcW w:w="4598"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秦皇岛市卢龙县朱庄子村南</w:t>
            </w:r>
          </w:p>
        </w:tc>
        <w:tc>
          <w:tcPr>
            <w:tcW w:w="2131" w:type="dxa"/>
            <w:shd w:val="clear" w:color="auto" w:fill="auto"/>
            <w:vAlign w:val="center"/>
          </w:tcPr>
          <w:p>
            <w:pPr>
              <w:adjustRightIn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w:t>
            </w:r>
          </w:p>
        </w:tc>
        <w:tc>
          <w:tcPr>
            <w:tcW w:w="1150"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建设单位</w:t>
            </w:r>
          </w:p>
        </w:tc>
        <w:tc>
          <w:tcPr>
            <w:tcW w:w="4598"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秦皇岛市国飞农业科技发展有限公司</w:t>
            </w:r>
          </w:p>
        </w:tc>
        <w:tc>
          <w:tcPr>
            <w:tcW w:w="2131"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联系人：刘国飞</w:t>
            </w:r>
          </w:p>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电话：13513348999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150"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用地面积</w:t>
            </w:r>
          </w:p>
        </w:tc>
        <w:tc>
          <w:tcPr>
            <w:tcW w:w="4598"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总占地面积</w:t>
            </w:r>
            <w:r>
              <w:rPr>
                <w:rFonts w:hint="eastAsia" w:ascii="Times New Roman" w:hAnsi="Times New Roman" w:cs="Times New Roman"/>
                <w:sz w:val="21"/>
                <w:szCs w:val="21"/>
                <w:highlight w:val="green"/>
                <w:lang w:val="en-US" w:eastAsia="zh-CN"/>
              </w:rPr>
              <w:t>113467.66</w:t>
            </w:r>
            <w:r>
              <w:rPr>
                <w:rFonts w:hint="default" w:ascii="Times New Roman" w:hAnsi="Times New Roman" w:eastAsia="宋体" w:cs="Times New Roman"/>
                <w:sz w:val="21"/>
                <w:szCs w:val="21"/>
                <w:highlight w:val="green"/>
              </w:rPr>
              <w:t>m</w:t>
            </w:r>
            <w:r>
              <w:rPr>
                <w:rFonts w:hint="default" w:ascii="Times New Roman" w:hAnsi="Times New Roman" w:eastAsia="宋体" w:cs="Times New Roman"/>
                <w:sz w:val="21"/>
                <w:szCs w:val="21"/>
                <w:highlight w:val="green"/>
                <w:vertAlign w:val="superscript"/>
              </w:rPr>
              <w:t>2</w:t>
            </w:r>
          </w:p>
        </w:tc>
        <w:tc>
          <w:tcPr>
            <w:tcW w:w="2131"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租用的农用地（现状为耕地）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150"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建设规模</w:t>
            </w:r>
          </w:p>
        </w:tc>
        <w:tc>
          <w:tcPr>
            <w:tcW w:w="4598"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建设生猪养殖场1座，包括标准化猪舍31栋、饲料加工存储1栋、办公室1座，配套建设沼气设施等。生产规模为年出栏生猪10万头。</w:t>
            </w:r>
          </w:p>
        </w:tc>
        <w:tc>
          <w:tcPr>
            <w:tcW w:w="2131" w:type="dxa"/>
            <w:shd w:val="clear" w:color="auto" w:fill="auto"/>
            <w:vAlign w:val="center"/>
          </w:tcPr>
          <w:p>
            <w:pPr>
              <w:adjustRightInd w:val="0"/>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1150"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总投资</w:t>
            </w:r>
          </w:p>
        </w:tc>
        <w:tc>
          <w:tcPr>
            <w:tcW w:w="4598"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总投资6亿元，环保投资</w:t>
            </w:r>
            <w:r>
              <w:rPr>
                <w:rFonts w:hint="default" w:ascii="Times New Roman" w:hAnsi="Times New Roman" w:cs="Times New Roman"/>
                <w:sz w:val="21"/>
                <w:szCs w:val="21"/>
                <w:highlight w:val="none"/>
                <w:lang w:val="en-US" w:eastAsia="zh-CN"/>
              </w:rPr>
              <w:t>366.5</w:t>
            </w:r>
            <w:r>
              <w:rPr>
                <w:rFonts w:hint="default" w:ascii="Times New Roman" w:hAnsi="Times New Roman" w:eastAsia="宋体" w:cs="Times New Roman"/>
                <w:sz w:val="21"/>
                <w:szCs w:val="21"/>
                <w:highlight w:val="none"/>
              </w:rPr>
              <w:t>万元</w:t>
            </w:r>
          </w:p>
        </w:tc>
        <w:tc>
          <w:tcPr>
            <w:tcW w:w="2131"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环保投资比例0.</w:t>
            </w:r>
            <w:r>
              <w:rPr>
                <w:rFonts w:hint="default" w:ascii="Times New Roman" w:hAnsi="Times New Roman" w:cs="Times New Roman"/>
                <w:sz w:val="21"/>
                <w:szCs w:val="21"/>
                <w:highlight w:val="none"/>
                <w:lang w:val="en-US" w:eastAsia="zh-CN"/>
              </w:rPr>
              <w:t>61</w:t>
            </w:r>
            <w:r>
              <w:rPr>
                <w:rFonts w:hint="default" w:ascii="Times New Roman" w:hAnsi="Times New Roman" w:eastAsia="宋体" w:cs="Times New Roman"/>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1150"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劳动定员</w:t>
            </w:r>
          </w:p>
        </w:tc>
        <w:tc>
          <w:tcPr>
            <w:tcW w:w="4598"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项目劳动定员</w:t>
            </w:r>
            <w:r>
              <w:rPr>
                <w:rFonts w:hint="default" w:ascii="Times New Roman" w:hAnsi="Times New Roman" w:cs="Times New Roman"/>
                <w:sz w:val="21"/>
                <w:szCs w:val="21"/>
                <w:highlight w:val="none"/>
                <w:lang w:val="en-US" w:eastAsia="zh-CN"/>
              </w:rPr>
              <w:t>2</w:t>
            </w:r>
            <w:r>
              <w:rPr>
                <w:rFonts w:hint="default" w:ascii="Times New Roman" w:hAnsi="Times New Roman" w:eastAsia="宋体" w:cs="Times New Roman"/>
                <w:sz w:val="21"/>
                <w:szCs w:val="21"/>
                <w:highlight w:val="none"/>
              </w:rPr>
              <w:t>0人</w:t>
            </w:r>
          </w:p>
        </w:tc>
        <w:tc>
          <w:tcPr>
            <w:tcW w:w="2131" w:type="dxa"/>
            <w:shd w:val="clear" w:color="auto" w:fill="auto"/>
            <w:vAlign w:val="center"/>
          </w:tcPr>
          <w:p>
            <w:pPr>
              <w:adjustRightIn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1150"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工作制度</w:t>
            </w:r>
          </w:p>
        </w:tc>
        <w:tc>
          <w:tcPr>
            <w:tcW w:w="4598" w:type="dxa"/>
            <w:shd w:val="clear" w:color="auto" w:fill="auto"/>
            <w:vAlign w:val="center"/>
          </w:tcPr>
          <w:p>
            <w:pPr>
              <w:adjustRightIn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24小时制，年工作365天</w:t>
            </w:r>
          </w:p>
        </w:tc>
        <w:tc>
          <w:tcPr>
            <w:tcW w:w="2131" w:type="dxa"/>
            <w:shd w:val="clear" w:color="auto" w:fill="auto"/>
            <w:vAlign w:val="center"/>
          </w:tcPr>
          <w:p>
            <w:pPr>
              <w:adjustRightIn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bl>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43" w:name="_Toc4602"/>
      <w:r>
        <w:rPr>
          <w:rFonts w:hint="default" w:ascii="Times New Roman" w:hAnsi="Times New Roman" w:eastAsia="黑体" w:cs="Times New Roman"/>
          <w:bCs/>
          <w:sz w:val="30"/>
          <w:szCs w:val="30"/>
          <w:highlight w:val="none"/>
        </w:rPr>
        <w:t>2.2项目组成</w:t>
      </w:r>
      <w:bookmarkEnd w:id="43"/>
      <w:r>
        <w:rPr>
          <w:rFonts w:hint="default" w:ascii="Times New Roman" w:hAnsi="Times New Roman" w:eastAsia="黑体" w:cs="Times New Roman"/>
          <w:bCs/>
          <w:sz w:val="30"/>
          <w:szCs w:val="30"/>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（1）主体工程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新建标准化猪舍31栋，15m×75m，总建筑面积34875m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（2）辅助工程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本项目使用饲料由</w:t>
      </w:r>
      <w:r>
        <w:rPr>
          <w:rFonts w:hint="default" w:ascii="Times New Roman" w:hAnsi="Times New Roman" w:eastAsia="宋体" w:cs="Times New Roman"/>
          <w:sz w:val="24"/>
          <w:szCs w:val="24"/>
          <w:highlight w:val="none"/>
          <w:lang w:val="en-US" w:eastAsia="zh-CN"/>
        </w:rPr>
        <w:t>企业购进原料，通过简单破碎、混合，加工为不同阶段饲料</w:t>
      </w:r>
      <w:r>
        <w:rPr>
          <w:rFonts w:hint="default" w:ascii="Times New Roman" w:hAnsi="Times New Roman" w:eastAsia="宋体" w:cs="Times New Roman"/>
          <w:sz w:val="24"/>
          <w:szCs w:val="24"/>
          <w:highlight w:val="none"/>
        </w:rPr>
        <w:t>。本项目新建办公室1座、</w:t>
      </w:r>
      <w:r>
        <w:rPr>
          <w:rFonts w:hint="default" w:ascii="Times New Roman" w:hAnsi="Times New Roman" w:eastAsia="宋体" w:cs="Times New Roman"/>
          <w:sz w:val="24"/>
          <w:szCs w:val="24"/>
          <w:highlight w:val="none"/>
          <w:lang w:val="en-US" w:eastAsia="zh-CN"/>
        </w:rPr>
        <w:t>饲料加工储存车间</w:t>
      </w:r>
      <w:r>
        <w:rPr>
          <w:rFonts w:hint="default" w:ascii="Times New Roman" w:hAnsi="Times New Roman" w:eastAsia="宋体" w:cs="Times New Roman"/>
          <w:sz w:val="24"/>
          <w:szCs w:val="24"/>
          <w:highlight w:val="none"/>
        </w:rPr>
        <w:t>1座、</w:t>
      </w:r>
      <w:r>
        <w:rPr>
          <w:rFonts w:hint="eastAsia" w:ascii="Times New Roman" w:hAnsi="Times New Roman" w:cs="Times New Roman"/>
          <w:sz w:val="24"/>
          <w:szCs w:val="24"/>
          <w:highlight w:val="none"/>
          <w:lang w:val="en-US" w:eastAsia="zh-CN"/>
        </w:rPr>
        <w:t>配套</w:t>
      </w:r>
      <w:r>
        <w:rPr>
          <w:rFonts w:hint="default" w:ascii="Times New Roman" w:hAnsi="Times New Roman" w:eastAsia="宋体" w:cs="Times New Roman"/>
          <w:sz w:val="24"/>
          <w:szCs w:val="24"/>
          <w:highlight w:val="none"/>
        </w:rPr>
        <w:t>沼气</w:t>
      </w:r>
      <w:r>
        <w:rPr>
          <w:rFonts w:hint="eastAsia" w:ascii="Times New Roman" w:hAnsi="Times New Roman" w:cs="Times New Roman"/>
          <w:sz w:val="24"/>
          <w:szCs w:val="24"/>
          <w:highlight w:val="none"/>
          <w:lang w:val="en-US" w:eastAsia="zh-CN"/>
        </w:rPr>
        <w:t>利用</w:t>
      </w:r>
      <w:r>
        <w:rPr>
          <w:rFonts w:hint="default" w:ascii="Times New Roman" w:hAnsi="Times New Roman" w:eastAsia="宋体" w:cs="Times New Roman"/>
          <w:sz w:val="24"/>
          <w:szCs w:val="24"/>
          <w:highlight w:val="none"/>
        </w:rPr>
        <w:t xml:space="preserve">工程。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（3）公用工程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供水：水源来自场区水井。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供电：项目年用电量190.98万kWh，接自卢龙县市政供电管网。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供暖：本项目</w:t>
      </w:r>
      <w:r>
        <w:rPr>
          <w:rFonts w:hint="eastAsia" w:ascii="Times New Roman" w:hAnsi="Times New Roman" w:cs="Times New Roman"/>
          <w:sz w:val="24"/>
          <w:szCs w:val="24"/>
          <w:highlight w:val="none"/>
          <w:lang w:val="en-US" w:eastAsia="zh-CN"/>
        </w:rPr>
        <w:t>建设锅炉房一座，设置沼气锅炉和电锅炉各1台，为</w:t>
      </w:r>
      <w:r>
        <w:rPr>
          <w:rFonts w:hint="default" w:ascii="Times New Roman" w:hAnsi="Times New Roman" w:eastAsia="宋体" w:cs="Times New Roman"/>
          <w:sz w:val="24"/>
          <w:szCs w:val="24"/>
          <w:highlight w:val="none"/>
        </w:rPr>
        <w:t xml:space="preserve">冬季办公生活和猪舍取暖，导热介质为水。 </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（4）环保工程</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固体废物：本项目</w:t>
      </w:r>
      <w:r>
        <w:rPr>
          <w:rFonts w:hint="eastAsia" w:ascii="Times New Roman" w:hAnsi="Times New Roman" w:cs="Times New Roman"/>
          <w:sz w:val="24"/>
          <w:szCs w:val="24"/>
          <w:highlight w:val="none"/>
          <w:lang w:val="en-US" w:eastAsia="zh-CN"/>
        </w:rPr>
        <w:t>采用干清粪工艺，粪便经刮粪机收集进储粪池，</w:t>
      </w:r>
      <w:r>
        <w:rPr>
          <w:rFonts w:hint="default" w:ascii="Times New Roman" w:hAnsi="Times New Roman" w:cs="Times New Roman"/>
          <w:sz w:val="24"/>
          <w:szCs w:val="24"/>
          <w:highlight w:val="none"/>
          <w:lang w:eastAsia="zh-CN"/>
        </w:rPr>
        <w:t>经干湿分离机处理后</w:t>
      </w:r>
      <w:r>
        <w:rPr>
          <w:rFonts w:hint="eastAsia" w:ascii="Times New Roman" w:hAnsi="Times New Roman" w:cs="Times New Roman"/>
          <w:sz w:val="24"/>
          <w:szCs w:val="24"/>
          <w:highlight w:val="none"/>
          <w:lang w:val="en-US" w:eastAsia="zh-CN"/>
        </w:rPr>
        <w:t>在储粪池发酵20d左右，腐熟后外运农用；</w:t>
      </w:r>
      <w:r>
        <w:rPr>
          <w:rFonts w:hint="default" w:ascii="Times New Roman" w:hAnsi="Times New Roman" w:eastAsia="宋体" w:cs="Times New Roman"/>
          <w:sz w:val="24"/>
          <w:szCs w:val="24"/>
          <w:highlight w:val="none"/>
        </w:rPr>
        <w:t>病死猪、接种防疫废物等</w:t>
      </w:r>
      <w:r>
        <w:rPr>
          <w:rFonts w:hint="eastAsia" w:ascii="Times New Roman" w:hAnsi="Times New Roman" w:cs="Times New Roman"/>
          <w:sz w:val="24"/>
          <w:szCs w:val="24"/>
          <w:highlight w:val="none"/>
          <w:lang w:val="en-US" w:eastAsia="zh-CN"/>
        </w:rPr>
        <w:t>暂存于</w:t>
      </w:r>
      <w:r>
        <w:rPr>
          <w:rFonts w:hint="eastAsia" w:ascii="Times New Roman" w:hAnsi="Times New Roman" w:cs="Times New Roman"/>
          <w:sz w:val="24"/>
          <w:szCs w:val="24"/>
          <w:highlight w:val="green"/>
          <w:lang w:val="en-US" w:eastAsia="zh-CN"/>
        </w:rPr>
        <w:t>病死猪暂存间</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rPr>
        <w:t>委托有资质单位进行处置</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废离子交换树脂更换后厂界直接回收，不暂存；</w:t>
      </w:r>
      <w:r>
        <w:rPr>
          <w:rFonts w:hint="default" w:ascii="Times New Roman" w:hAnsi="Times New Roman" w:eastAsia="宋体" w:cs="Times New Roman"/>
          <w:sz w:val="24"/>
          <w:szCs w:val="24"/>
          <w:highlight w:val="none"/>
        </w:rPr>
        <w:t>生活垃圾收集后由环卫部门统一处置</w:t>
      </w:r>
      <w:r>
        <w:rPr>
          <w:rFonts w:hint="default" w:ascii="Times New Roman" w:hAnsi="Times New Roman" w:eastAsia="宋体" w:cs="Times New Roman"/>
          <w:sz w:val="24"/>
          <w:szCs w:val="24"/>
          <w:highlight w:val="none"/>
          <w:lang w:eastAsia="zh-CN"/>
        </w:rPr>
        <w:t>；饲料加工废气收集产生的除尘灰收集后回用做饲料，不外排</w:t>
      </w:r>
      <w:r>
        <w:rPr>
          <w:rFonts w:hint="default" w:ascii="Times New Roman" w:hAnsi="Times New Roman" w:eastAsia="宋体" w:cs="Times New Roman"/>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噪声：刮粪机、水泵、风机</w:t>
      </w:r>
      <w:r>
        <w:rPr>
          <w:rFonts w:hint="default" w:ascii="Times New Roman" w:hAnsi="Times New Roman" w:eastAsia="宋体" w:cs="Times New Roman"/>
          <w:sz w:val="24"/>
          <w:szCs w:val="24"/>
          <w:highlight w:val="none"/>
          <w:lang w:eastAsia="zh-CN"/>
        </w:rPr>
        <w:t>、破碎和筛分等</w:t>
      </w:r>
      <w:r>
        <w:rPr>
          <w:rFonts w:hint="eastAsia" w:ascii="Times New Roman" w:hAnsi="Times New Roman" w:cs="Times New Roman"/>
          <w:sz w:val="24"/>
          <w:szCs w:val="24"/>
          <w:highlight w:val="none"/>
          <w:lang w:val="en-US" w:eastAsia="zh-CN"/>
        </w:rPr>
        <w:t>设备</w:t>
      </w:r>
      <w:r>
        <w:rPr>
          <w:rFonts w:hint="default" w:ascii="Times New Roman" w:hAnsi="Times New Roman" w:eastAsia="宋体" w:cs="Times New Roman"/>
          <w:sz w:val="24"/>
          <w:szCs w:val="24"/>
          <w:highlight w:val="none"/>
        </w:rPr>
        <w:t>选用低噪声设备，</w:t>
      </w:r>
      <w:r>
        <w:rPr>
          <w:rFonts w:hint="eastAsia" w:ascii="Times New Roman" w:hAnsi="Times New Roman" w:cs="Times New Roman"/>
          <w:sz w:val="24"/>
          <w:szCs w:val="24"/>
          <w:highlight w:val="none"/>
          <w:lang w:val="en-US" w:eastAsia="zh-CN"/>
        </w:rPr>
        <w:t>设置减振、隔声等措施</w:t>
      </w:r>
      <w:r>
        <w:rPr>
          <w:rFonts w:hint="default" w:ascii="Times New Roman" w:hAnsi="Times New Roman" w:eastAsia="宋体" w:cs="Times New Roman"/>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废气：储粪</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储尿</w:t>
      </w:r>
      <w:r>
        <w:rPr>
          <w:rFonts w:hint="default" w:ascii="Times New Roman" w:hAnsi="Times New Roman" w:eastAsia="宋体" w:cs="Times New Roman"/>
          <w:sz w:val="24"/>
          <w:szCs w:val="24"/>
          <w:highlight w:val="none"/>
        </w:rPr>
        <w:t>池设置活动式盖板，猪舍安装通风设施，厂区绿化，猪舍地面每天冲洗，喷洒SM生物抑菌液除臭</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沼气脱硫处理后用作沼气发电</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做饭或沼气锅炉</w:t>
      </w:r>
      <w:r>
        <w:rPr>
          <w:rFonts w:hint="default" w:ascii="Times New Roman" w:hAnsi="Times New Roman" w:eastAsia="宋体" w:cs="Times New Roman"/>
          <w:sz w:val="24"/>
          <w:szCs w:val="24"/>
          <w:highlight w:val="none"/>
          <w:lang w:eastAsia="zh-CN"/>
        </w:rPr>
        <w:t>，产生的燃烧废气高空排放</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其中沼气锅炉设置低氮燃烧器</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食堂设置油烟净化器对油烟进行净化处理</w:t>
      </w:r>
      <w:r>
        <w:rPr>
          <w:rFonts w:hint="default" w:ascii="Times New Roman" w:hAnsi="Times New Roman" w:eastAsia="宋体" w:cs="Times New Roman"/>
          <w:sz w:val="24"/>
          <w:szCs w:val="24"/>
          <w:highlight w:val="none"/>
          <w:lang w:eastAsia="zh-CN"/>
        </w:rPr>
        <w:t>；饲料加工过程置于密闭车间内，破碎、筛分及落料点设置集气罩对废气收集后，经布袋除尘器处理，废气经</w:t>
      </w:r>
      <w:r>
        <w:rPr>
          <w:rFonts w:hint="default" w:ascii="Times New Roman" w:hAnsi="Times New Roman" w:eastAsia="宋体" w:cs="Times New Roman"/>
          <w:sz w:val="24"/>
          <w:szCs w:val="24"/>
          <w:highlight w:val="none"/>
          <w:lang w:val="en-US" w:eastAsia="zh-CN"/>
        </w:rPr>
        <w:t>15m高排气筒排放</w:t>
      </w:r>
      <w:r>
        <w:rPr>
          <w:rFonts w:hint="default" w:ascii="Times New Roman" w:hAnsi="Times New Roman" w:eastAsia="宋体" w:cs="Times New Roman"/>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废水：养殖废水</w:t>
      </w:r>
      <w:r>
        <w:rPr>
          <w:rFonts w:hint="eastAsia" w:ascii="Times New Roman" w:hAnsi="Times New Roman" w:cs="Times New Roman"/>
          <w:sz w:val="24"/>
          <w:szCs w:val="24"/>
          <w:highlight w:val="none"/>
          <w:lang w:val="en-US" w:eastAsia="zh-CN"/>
        </w:rPr>
        <w:t>黑膜沼气池</w:t>
      </w:r>
      <w:r>
        <w:rPr>
          <w:rFonts w:hint="default" w:ascii="Times New Roman" w:hAnsi="Times New Roman" w:eastAsia="宋体" w:cs="Times New Roman"/>
          <w:sz w:val="24"/>
          <w:szCs w:val="24"/>
          <w:highlight w:val="none"/>
        </w:rPr>
        <w:t>1套，包括</w:t>
      </w:r>
      <w:r>
        <w:rPr>
          <w:rFonts w:hint="default" w:ascii="Times New Roman" w:hAnsi="Times New Roman" w:eastAsia="宋体" w:cs="Times New Roman"/>
          <w:sz w:val="24"/>
          <w:szCs w:val="24"/>
          <w:highlight w:val="none"/>
          <w:lang w:eastAsia="zh-CN"/>
        </w:rPr>
        <w:t>粪污尿液收集池</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 xml:space="preserve">座、黑膜沼气池1座，沼液存储池1座。养殖废水经厌氧消化处理后沼液和沼渣全部用作农肥综合利用。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防渗：猪舍、</w:t>
      </w:r>
      <w:r>
        <w:rPr>
          <w:rFonts w:hint="eastAsia" w:ascii="Times New Roman" w:hAnsi="Times New Roman" w:cs="Times New Roman"/>
          <w:sz w:val="24"/>
          <w:szCs w:val="24"/>
          <w:highlight w:val="none"/>
          <w:lang w:val="en-US" w:eastAsia="zh-CN"/>
        </w:rPr>
        <w:t>黑膜</w:t>
      </w:r>
      <w:r>
        <w:rPr>
          <w:rFonts w:hint="default" w:ascii="Times New Roman" w:hAnsi="Times New Roman" w:eastAsia="宋体" w:cs="Times New Roman"/>
          <w:sz w:val="24"/>
          <w:szCs w:val="24"/>
          <w:highlight w:val="none"/>
        </w:rPr>
        <w:t>沼气池、储粪</w:t>
      </w:r>
      <w:r>
        <w:rPr>
          <w:rFonts w:hint="default" w:ascii="Times New Roman" w:hAnsi="Times New Roman" w:eastAsia="宋体" w:cs="Times New Roman"/>
          <w:sz w:val="24"/>
          <w:szCs w:val="24"/>
          <w:highlight w:val="none"/>
          <w:lang w:eastAsia="zh-CN"/>
        </w:rPr>
        <w:t>储尿</w:t>
      </w:r>
      <w:r>
        <w:rPr>
          <w:rFonts w:hint="default" w:ascii="Times New Roman" w:hAnsi="Times New Roman" w:eastAsia="宋体" w:cs="Times New Roman"/>
          <w:sz w:val="24"/>
          <w:szCs w:val="24"/>
          <w:highlight w:val="none"/>
        </w:rPr>
        <w:t>池、沼液存储池</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干湿分离间</w:t>
      </w:r>
      <w:r>
        <w:rPr>
          <w:rFonts w:hint="default" w:ascii="Times New Roman" w:hAnsi="Times New Roman" w:eastAsia="宋体" w:cs="Times New Roman"/>
          <w:sz w:val="24"/>
          <w:szCs w:val="24"/>
          <w:highlight w:val="none"/>
        </w:rPr>
        <w:t>及污水管道。要求渗透系数小于1.0×10</w:t>
      </w:r>
      <w:r>
        <w:rPr>
          <w:rFonts w:hint="default" w:ascii="Times New Roman" w:hAnsi="Times New Roman" w:eastAsia="宋体" w:cs="Times New Roman"/>
          <w:sz w:val="24"/>
          <w:szCs w:val="24"/>
          <w:highlight w:val="none"/>
          <w:vertAlign w:val="superscript"/>
        </w:rPr>
        <w:t>-7</w:t>
      </w:r>
      <w:r>
        <w:rPr>
          <w:rFonts w:hint="default" w:ascii="Times New Roman" w:hAnsi="Times New Roman" w:eastAsia="宋体" w:cs="Times New Roman"/>
          <w:sz w:val="24"/>
          <w:szCs w:val="24"/>
          <w:highlight w:val="none"/>
        </w:rPr>
        <w:t>cm/s。其中</w:t>
      </w:r>
      <w:r>
        <w:rPr>
          <w:rFonts w:hint="eastAsia" w:ascii="Times New Roman" w:hAnsi="Times New Roman" w:cs="Times New Roman"/>
          <w:sz w:val="24"/>
          <w:szCs w:val="24"/>
          <w:highlight w:val="none"/>
          <w:lang w:val="en-US" w:eastAsia="zh-CN"/>
        </w:rPr>
        <w:t>黑膜</w:t>
      </w:r>
      <w:r>
        <w:rPr>
          <w:rFonts w:hint="default" w:ascii="Times New Roman" w:hAnsi="Times New Roman" w:eastAsia="宋体" w:cs="Times New Roman"/>
          <w:sz w:val="24"/>
          <w:szCs w:val="24"/>
          <w:highlight w:val="none"/>
        </w:rPr>
        <w:t>沼气池、储粪</w:t>
      </w:r>
      <w:r>
        <w:rPr>
          <w:rFonts w:hint="default" w:ascii="Times New Roman" w:hAnsi="Times New Roman" w:eastAsia="宋体" w:cs="Times New Roman"/>
          <w:sz w:val="24"/>
          <w:szCs w:val="24"/>
          <w:highlight w:val="none"/>
          <w:lang w:eastAsia="zh-CN"/>
        </w:rPr>
        <w:t>储尿</w:t>
      </w:r>
      <w:r>
        <w:rPr>
          <w:rFonts w:hint="default" w:ascii="Times New Roman" w:hAnsi="Times New Roman" w:eastAsia="宋体" w:cs="Times New Roman"/>
          <w:sz w:val="24"/>
          <w:szCs w:val="24"/>
          <w:highlight w:val="none"/>
        </w:rPr>
        <w:t>池、沼液存储</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干湿分离间</w:t>
      </w:r>
      <w:r>
        <w:rPr>
          <w:rFonts w:hint="default" w:ascii="Times New Roman" w:hAnsi="Times New Roman" w:eastAsia="宋体" w:cs="Times New Roman"/>
          <w:sz w:val="24"/>
          <w:szCs w:val="24"/>
          <w:highlight w:val="none"/>
        </w:rPr>
        <w:t>池采用粘土夯实+1.</w:t>
      </w:r>
      <w:r>
        <w:rPr>
          <w:rFonts w:hint="eastAsia"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mm高密度聚乙烯膜（HDPE膜）防腐防渗，其他池体及污水沟等采用1.</w:t>
      </w:r>
      <w:r>
        <w:rPr>
          <w:rFonts w:hint="eastAsia"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 xml:space="preserve">mm高密度聚乙烯膜（HDPE膜）+水泥层防腐防渗。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（5）依托工程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项目生活垃圾处理依托卢龙县垃圾填埋场，病死猪处理依托昌黎县军强畜禽无害化处理厂进行无害化处理。 </w:t>
      </w:r>
    </w:p>
    <w:p>
      <w:pPr>
        <w:spacing w:before="120" w:beforeLines="50" w:after="120" w:afterLines="50" w:line="360" w:lineRule="auto"/>
        <w:jc w:val="center"/>
        <w:rPr>
          <w:rFonts w:hint="default" w:ascii="Times New Roman" w:hAnsi="Times New Roman" w:eastAsia="宋体" w:cs="Times New Roman"/>
          <w:bCs/>
          <w:sz w:val="24"/>
          <w:szCs w:val="24"/>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eastAsia="黑体" w:cs="Times New Roman"/>
          <w:b w:val="0"/>
          <w:kern w:val="2"/>
          <w:sz w:val="24"/>
          <w:szCs w:val="22"/>
          <w:highlight w:val="none"/>
          <w:lang w:val="en-US" w:eastAsia="zh-CN" w:bidi="ar-SA"/>
        </w:rPr>
      </w:pPr>
      <w:r>
        <w:rPr>
          <w:rFonts w:hint="eastAsia" w:eastAsia="黑体" w:cs="Times New Roman"/>
          <w:b w:val="0"/>
          <w:kern w:val="2"/>
          <w:sz w:val="24"/>
          <w:szCs w:val="22"/>
          <w:highlight w:val="none"/>
          <w:lang w:val="en-US" w:eastAsia="zh-CN" w:bidi="ar-SA"/>
        </w:rPr>
        <w:t>表2-3 项目主要构建筑物一览表</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0"/>
        <w:gridCol w:w="3363"/>
        <w:gridCol w:w="3363"/>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序号</w:t>
            </w:r>
          </w:p>
        </w:tc>
        <w:tc>
          <w:tcPr>
            <w:tcW w:w="1250" w:type="pct"/>
            <w:vAlign w:val="center"/>
          </w:tcPr>
          <w:p>
            <w:pPr>
              <w:jc w:val="center"/>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名称</w:t>
            </w:r>
          </w:p>
        </w:tc>
        <w:tc>
          <w:tcPr>
            <w:tcW w:w="1250" w:type="pct"/>
            <w:vAlign w:val="center"/>
          </w:tcPr>
          <w:p>
            <w:pPr>
              <w:jc w:val="center"/>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占地面积</w:t>
            </w:r>
          </w:p>
        </w:tc>
        <w:tc>
          <w:tcPr>
            <w:tcW w:w="1250" w:type="pct"/>
            <w:vAlign w:val="center"/>
          </w:tcPr>
          <w:p>
            <w:pPr>
              <w:jc w:val="center"/>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标准化猪舍</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34875m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31栋，单个1125m</w:t>
            </w:r>
            <w:r>
              <w:rPr>
                <w:rFonts w:hint="eastAsia" w:ascii="Times New Roman" w:hAnsi="Times New Roman" w:cs="Times New Roman"/>
                <w:color w:val="auto"/>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办公</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生活区</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125</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default" w:ascii="Times New Roman" w:hAnsi="Times New Roman"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饲料加工存储</w:t>
            </w:r>
          </w:p>
        </w:tc>
        <w:tc>
          <w:tcPr>
            <w:tcW w:w="1250"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12</w:t>
            </w:r>
            <w:r>
              <w:rPr>
                <w:rFonts w:hint="default" w:ascii="Times New Roman" w:hAnsi="Times New Roman" w:cs="Times New Roman"/>
                <w:color w:val="auto"/>
                <w:szCs w:val="21"/>
                <w:highlight w:val="none"/>
              </w:rPr>
              <w:t>00m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vertAlign w:val="baseline"/>
                <w:lang w:val="en-US" w:eastAsia="zh-CN"/>
              </w:rPr>
              <w:t>长</w:t>
            </w:r>
            <w:r>
              <w:rPr>
                <w:rFonts w:hint="eastAsia" w:ascii="Times New Roman" w:hAnsi="Times New Roman" w:cs="Times New Roman"/>
                <w:color w:val="auto"/>
                <w:szCs w:val="21"/>
                <w:highlight w:val="none"/>
                <w:vertAlign w:val="baseline"/>
                <w:lang w:val="en-US" w:eastAsia="zh-CN"/>
              </w:rPr>
              <w:t>48</w:t>
            </w:r>
            <w:r>
              <w:rPr>
                <w:rFonts w:hint="default" w:ascii="Times New Roman" w:hAnsi="Times New Roman" w:cs="Times New Roman"/>
                <w:color w:val="auto"/>
                <w:szCs w:val="21"/>
                <w:highlight w:val="none"/>
                <w:vertAlign w:val="baseline"/>
                <w:lang w:val="en-US" w:eastAsia="zh-CN"/>
              </w:rPr>
              <w:t>m，宽</w:t>
            </w:r>
            <w:r>
              <w:rPr>
                <w:rFonts w:hint="eastAsia" w:ascii="Times New Roman" w:hAnsi="Times New Roman" w:cs="Times New Roman"/>
                <w:color w:val="auto"/>
                <w:szCs w:val="21"/>
                <w:highlight w:val="none"/>
                <w:vertAlign w:val="baseline"/>
                <w:lang w:val="en-US" w:eastAsia="zh-CN"/>
              </w:rPr>
              <w:t>25</w:t>
            </w:r>
            <w:r>
              <w:rPr>
                <w:rFonts w:hint="default" w:ascii="Times New Roman" w:hAnsi="Times New Roman" w:cs="Times New Roman"/>
                <w:color w:val="auto"/>
                <w:szCs w:val="21"/>
                <w:highlight w:val="none"/>
                <w:vertAlign w:val="baseline"/>
                <w:lang w:val="en-US" w:eastAsia="zh-CN"/>
              </w:rPr>
              <w:t>m，高7m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储粪池</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24m³*3</w:t>
            </w:r>
            <w:r>
              <w:rPr>
                <w:rFonts w:hint="eastAsia" w:ascii="Times New Roman" w:hAnsi="Times New Roman" w:cs="Times New Roman"/>
                <w:color w:val="auto"/>
                <w:szCs w:val="21"/>
                <w:highlight w:val="none"/>
                <w:vertAlign w:val="baseline"/>
                <w:lang w:val="en-US" w:eastAsia="zh-CN"/>
              </w:rPr>
              <w:t>（合计72m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vertAlign w:val="baseline"/>
                <w:lang w:val="en-US" w:eastAsia="zh-CN"/>
              </w:rPr>
              <w:t>）</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r>
              <w:rPr>
                <w:rFonts w:hint="eastAsia"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lang w:val="en-US" w:eastAsia="zh-CN"/>
              </w:rPr>
              <w:t>*6</w:t>
            </w:r>
            <w:r>
              <w:rPr>
                <w:rFonts w:hint="eastAsia" w:ascii="Times New Roman" w:hAnsi="Times New Roman" w:cs="Times New Roman"/>
                <w:color w:val="auto"/>
                <w:szCs w:val="21"/>
                <w:highlight w:val="none"/>
                <w:lang w:val="en-US" w:eastAsia="zh-CN"/>
              </w:rPr>
              <w:t>m，深</w:t>
            </w:r>
            <w:r>
              <w:rPr>
                <w:rFonts w:hint="default" w:ascii="Times New Roman" w:hAnsi="Times New Roman" w:cs="Times New Roman"/>
                <w:color w:val="auto"/>
                <w:szCs w:val="21"/>
                <w:highlight w:val="none"/>
                <w:lang w:val="en-US" w:eastAsia="zh-CN"/>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1250" w:type="pct"/>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储尿</w:t>
            </w:r>
            <w:r>
              <w:rPr>
                <w:rFonts w:hint="default" w:ascii="Times New Roman" w:hAnsi="Times New Roman" w:cs="Times New Roman"/>
                <w:color w:val="auto"/>
                <w:szCs w:val="21"/>
                <w:highlight w:val="none"/>
              </w:rPr>
              <w:t>池</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16m³*3</w:t>
            </w:r>
            <w:r>
              <w:rPr>
                <w:rFonts w:hint="eastAsia" w:ascii="Times New Roman" w:hAnsi="Times New Roman" w:cs="Times New Roman"/>
                <w:color w:val="auto"/>
                <w:szCs w:val="21"/>
                <w:highlight w:val="none"/>
                <w:vertAlign w:val="baseline"/>
                <w:lang w:val="en-US" w:eastAsia="zh-CN"/>
              </w:rPr>
              <w:t>（合计48m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vertAlign w:val="baseline"/>
                <w:lang w:val="en-US" w:eastAsia="zh-CN"/>
              </w:rPr>
              <w:t>）</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r>
              <w:rPr>
                <w:rFonts w:hint="eastAsia"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lang w:val="en-US" w:eastAsia="zh-CN"/>
              </w:rPr>
              <w:t>*4</w:t>
            </w:r>
            <w:r>
              <w:rPr>
                <w:rFonts w:hint="eastAsia" w:ascii="Times New Roman" w:hAnsi="Times New Roman" w:cs="Times New Roman"/>
                <w:color w:val="auto"/>
                <w:szCs w:val="21"/>
                <w:highlight w:val="none"/>
                <w:lang w:val="en-US" w:eastAsia="zh-CN"/>
              </w:rPr>
              <w:t>m，深</w:t>
            </w:r>
            <w:r>
              <w:rPr>
                <w:rFonts w:hint="default" w:ascii="Times New Roman" w:hAnsi="Times New Roman" w:cs="Times New Roman"/>
                <w:color w:val="auto"/>
                <w:szCs w:val="21"/>
                <w:highlight w:val="none"/>
                <w:lang w:val="en-US" w:eastAsia="zh-CN"/>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eastAsia="zh-CN"/>
              </w:rPr>
              <w:t>干湿分离</w:t>
            </w:r>
            <w:r>
              <w:rPr>
                <w:rFonts w:hint="eastAsia" w:ascii="Times New Roman" w:hAnsi="Times New Roman" w:cs="Times New Roman"/>
                <w:color w:val="auto"/>
                <w:szCs w:val="21"/>
                <w:highlight w:val="none"/>
                <w:lang w:val="en-US" w:eastAsia="zh-CN"/>
              </w:rPr>
              <w:t>间</w:t>
            </w:r>
          </w:p>
        </w:tc>
        <w:tc>
          <w:tcPr>
            <w:tcW w:w="1250" w:type="pct"/>
            <w:vAlign w:val="center"/>
          </w:tcPr>
          <w:p>
            <w:pPr>
              <w:jc w:val="center"/>
              <w:rPr>
                <w:rFonts w:hint="default" w:ascii="Times New Roman" w:hAnsi="Times New Roman" w:cs="Times New Roman"/>
                <w:color w:val="auto"/>
                <w:szCs w:val="21"/>
                <w:highlight w:val="none"/>
                <w:vertAlign w:val="baseline"/>
                <w:lang w:val="en-US" w:eastAsia="zh-CN"/>
              </w:rPr>
            </w:pPr>
            <w:r>
              <w:rPr>
                <w:rFonts w:hint="eastAsia" w:ascii="Times New Roman" w:hAnsi="Times New Roman" w:cs="Times New Roman"/>
                <w:color w:val="auto"/>
                <w:szCs w:val="21"/>
                <w:highlight w:val="none"/>
                <w:lang w:val="en-US" w:eastAsia="zh-CN"/>
              </w:rPr>
              <w:t>10m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vertAlign w:val="baseline"/>
                <w:lang w:val="en-US" w:eastAsia="zh-CN"/>
              </w:rPr>
              <w:t>*3（合计30m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vertAlign w:val="baseline"/>
                <w:lang w:val="en-US" w:eastAsia="zh-CN"/>
              </w:rPr>
              <w:t>）</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4m*5m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沼气设备间</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0m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default" w:ascii="Times New Roman" w:hAnsi="Times New Roman"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废脱硫剂暂存间</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default" w:ascii="Times New Roman" w:hAnsi="Times New Roman"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病死猪暂存间</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0m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default" w:ascii="Times New Roman" w:hAnsi="Times New Roman"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10</w:t>
            </w:r>
          </w:p>
        </w:tc>
        <w:tc>
          <w:tcPr>
            <w:tcW w:w="1250" w:type="pct"/>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医疗废物暂存间</w:t>
            </w:r>
          </w:p>
        </w:tc>
        <w:tc>
          <w:tcPr>
            <w:tcW w:w="1250" w:type="pct"/>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0m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default" w:ascii="Times New Roman" w:hAnsi="Times New Roman"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11</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锅炉房</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504</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28m*18m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12</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黑膜沼气池</w:t>
            </w:r>
          </w:p>
        </w:tc>
        <w:tc>
          <w:tcPr>
            <w:tcW w:w="1250" w:type="pct"/>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2400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16</w:t>
            </w:r>
            <w:r>
              <w:rPr>
                <w:rFonts w:hint="default" w:ascii="Times New Roman" w:hAnsi="Times New Roman" w:cs="Times New Roman"/>
                <w:color w:val="auto"/>
                <w:szCs w:val="21"/>
                <w:highlight w:val="none"/>
              </w:rPr>
              <w:t>0</w:t>
            </w:r>
            <w:r>
              <w:rPr>
                <w:rFonts w:hint="eastAsia"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ascii="Times New Roman" w:hAnsi="Times New Roman" w:cs="Times New Roman"/>
                <w:color w:val="auto"/>
                <w:szCs w:val="21"/>
                <w:highlight w:val="none"/>
                <w:vertAlign w:val="baseline"/>
                <w:lang w:val="en-US" w:eastAsia="zh-CN"/>
              </w:rPr>
              <w:t>40m*60m*9m</w:t>
            </w:r>
            <w:r>
              <w:rPr>
                <w:rFonts w:hint="eastAsia" w:ascii="Times New Roman" w:hAnsi="Times New Roman" w:cs="Times New Roman"/>
                <w:color w:val="auto"/>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13</w:t>
            </w:r>
          </w:p>
        </w:tc>
        <w:tc>
          <w:tcPr>
            <w:tcW w:w="1250" w:type="pct"/>
            <w:vAlign w:val="center"/>
          </w:tcPr>
          <w:p>
            <w:pPr>
              <w:jc w:val="center"/>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沼液储存池</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2220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eastAsia" w:ascii="Times New Roman" w:hAnsi="Times New Roman" w:eastAsia="宋体" w:cs="Times New Roman"/>
                <w:color w:val="auto"/>
                <w:szCs w:val="21"/>
                <w:highlight w:val="none"/>
                <w:vertAlign w:val="baseline"/>
                <w:lang w:val="en-US" w:eastAsia="zh-CN"/>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000m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ascii="Times New Roman" w:hAnsi="Times New Roman" w:cs="Times New Roman"/>
                <w:color w:val="auto"/>
                <w:szCs w:val="21"/>
                <w:highlight w:val="none"/>
                <w:vertAlign w:val="baseline"/>
                <w:lang w:val="en-US" w:eastAsia="zh-CN"/>
              </w:rPr>
              <w:t>37m*60m*5m</w:t>
            </w:r>
            <w:r>
              <w:rPr>
                <w:rFonts w:hint="eastAsia" w:ascii="Times New Roman" w:hAnsi="Times New Roman" w:cs="Times New Roman"/>
                <w:color w:val="auto"/>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14</w:t>
            </w:r>
          </w:p>
        </w:tc>
        <w:tc>
          <w:tcPr>
            <w:tcW w:w="1250" w:type="pct"/>
            <w:vAlign w:val="center"/>
          </w:tcPr>
          <w:p>
            <w:pPr>
              <w:jc w:val="center"/>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沼气柜</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500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高10m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w:t>
            </w:r>
          </w:p>
        </w:tc>
        <w:tc>
          <w:tcPr>
            <w:tcW w:w="1250" w:type="pct"/>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雨水收集池</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600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1250" w:type="pct"/>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vertAlign w:val="baseline"/>
                <w:lang w:val="en-US" w:eastAsia="zh-CN"/>
              </w:rPr>
              <w:t>30m*20m*2m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eastAsia" w:ascii="Times New Roman" w:hAnsi="Times New Roman" w:cs="Times New Roman"/>
                <w:color w:val="auto"/>
                <w:szCs w:val="21"/>
                <w:highlight w:val="none"/>
                <w:lang w:val="en-US" w:eastAsia="zh-CN"/>
              </w:rPr>
            </w:pPr>
          </w:p>
        </w:tc>
        <w:tc>
          <w:tcPr>
            <w:tcW w:w="1250" w:type="pct"/>
            <w:vAlign w:val="center"/>
          </w:tcPr>
          <w:p>
            <w:pPr>
              <w:jc w:val="center"/>
              <w:rPr>
                <w:rFonts w:hint="eastAsia" w:ascii="Times New Roman" w:hAnsi="Times New Roman" w:cs="Times New Roman"/>
                <w:color w:val="auto"/>
                <w:szCs w:val="21"/>
                <w:highlight w:val="none"/>
                <w:lang w:val="en-US" w:eastAsia="zh-CN"/>
              </w:rPr>
            </w:pPr>
          </w:p>
        </w:tc>
        <w:tc>
          <w:tcPr>
            <w:tcW w:w="1250" w:type="pct"/>
            <w:vAlign w:val="center"/>
          </w:tcPr>
          <w:p>
            <w:pPr>
              <w:jc w:val="center"/>
              <w:rPr>
                <w:rFonts w:hint="eastAsia" w:ascii="Times New Roman" w:hAnsi="Times New Roman" w:cs="Times New Roman"/>
                <w:color w:val="auto"/>
                <w:szCs w:val="21"/>
                <w:highlight w:val="none"/>
                <w:lang w:val="en-US" w:eastAsia="zh-CN"/>
              </w:rPr>
            </w:pPr>
          </w:p>
        </w:tc>
        <w:tc>
          <w:tcPr>
            <w:tcW w:w="1250" w:type="pct"/>
            <w:vAlign w:val="center"/>
          </w:tcPr>
          <w:p>
            <w:pPr>
              <w:jc w:val="center"/>
              <w:rPr>
                <w:rFonts w:hint="eastAsia" w:ascii="Times New Roman" w:hAnsi="Times New Roman" w:cs="Times New Roman"/>
                <w:color w:val="auto"/>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合计</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green"/>
                <w:lang w:val="en-US" w:eastAsia="zh-CN"/>
              </w:rPr>
              <w:t>43094</w:t>
            </w:r>
            <w:r>
              <w:rPr>
                <w:rFonts w:hint="default" w:ascii="Times New Roman" w:hAnsi="Times New Roman" w:cs="Times New Roman"/>
                <w:color w:val="auto"/>
                <w:szCs w:val="21"/>
                <w:highlight w:val="green"/>
              </w:rPr>
              <w:t>m</w:t>
            </w:r>
            <w:r>
              <w:rPr>
                <w:rFonts w:hint="default" w:ascii="Times New Roman" w:hAnsi="Times New Roman" w:cs="Times New Roman"/>
                <w:color w:val="auto"/>
                <w:szCs w:val="21"/>
                <w:highlight w:val="green"/>
                <w:vertAlign w:val="superscript"/>
              </w:rPr>
              <w:t>2</w:t>
            </w:r>
          </w:p>
        </w:tc>
        <w:tc>
          <w:tcPr>
            <w:tcW w:w="125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bl>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表2-3 项目组成一览表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1"/>
        <w:gridCol w:w="1090"/>
        <w:gridCol w:w="2745"/>
        <w:gridCol w:w="5192"/>
        <w:gridCol w:w="3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98" w:type="pct"/>
            <w:shd w:val="clear" w:color="auto" w:fill="auto"/>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工程类别</w:t>
            </w:r>
          </w:p>
        </w:tc>
        <w:tc>
          <w:tcPr>
            <w:tcW w:w="1425" w:type="pct"/>
            <w:gridSpan w:val="2"/>
            <w:shd w:val="clear" w:color="auto" w:fill="auto"/>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工程名称</w:t>
            </w:r>
          </w:p>
        </w:tc>
        <w:tc>
          <w:tcPr>
            <w:tcW w:w="1929" w:type="pct"/>
            <w:shd w:val="clear" w:color="auto" w:fill="auto"/>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规模</w:t>
            </w:r>
          </w:p>
        </w:tc>
        <w:tc>
          <w:tcPr>
            <w:tcW w:w="1247" w:type="pct"/>
            <w:shd w:val="clear" w:color="auto" w:fill="auto"/>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主体工程</w:t>
            </w:r>
          </w:p>
        </w:tc>
        <w:tc>
          <w:tcPr>
            <w:tcW w:w="1425" w:type="pct"/>
            <w:gridSpan w:val="2"/>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标准化猪舍</w:t>
            </w:r>
          </w:p>
        </w:tc>
        <w:tc>
          <w:tcPr>
            <w:tcW w:w="1929"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猪舍31栋，总建筑面积34875m</w:t>
            </w:r>
            <w:r>
              <w:rPr>
                <w:rFonts w:hint="default" w:ascii="Times New Roman" w:hAnsi="Times New Roman" w:cs="Times New Roman"/>
                <w:color w:val="auto"/>
                <w:szCs w:val="21"/>
                <w:highlight w:val="none"/>
                <w:vertAlign w:val="superscript"/>
              </w:rPr>
              <w:t>2</w:t>
            </w:r>
          </w:p>
        </w:tc>
        <w:tc>
          <w:tcPr>
            <w:tcW w:w="1247"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restar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辅助工程</w:t>
            </w:r>
          </w:p>
        </w:tc>
        <w:tc>
          <w:tcPr>
            <w:tcW w:w="1425" w:type="pct"/>
            <w:gridSpan w:val="2"/>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饲料加工存储</w:t>
            </w:r>
          </w:p>
        </w:tc>
        <w:tc>
          <w:tcPr>
            <w:tcW w:w="1929" w:type="pct"/>
            <w:shd w:val="clear" w:color="auto" w:fill="auto"/>
            <w:vAlign w:val="center"/>
          </w:tcPr>
          <w:p>
            <w:pPr>
              <w:jc w:val="center"/>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cs="Times New Roman"/>
                <w:color w:val="auto"/>
                <w:szCs w:val="21"/>
                <w:highlight w:val="none"/>
              </w:rPr>
              <w:t>1座，建筑面积</w:t>
            </w:r>
            <w:r>
              <w:rPr>
                <w:rFonts w:hint="eastAsia" w:ascii="Times New Roman" w:hAnsi="Times New Roman" w:cs="Times New Roman"/>
                <w:color w:val="auto"/>
                <w:szCs w:val="21"/>
                <w:highlight w:val="none"/>
                <w:lang w:val="en-US" w:eastAsia="zh-CN"/>
              </w:rPr>
              <w:t>12</w:t>
            </w:r>
            <w:r>
              <w:rPr>
                <w:rFonts w:hint="default" w:ascii="Times New Roman" w:hAnsi="Times New Roman" w:cs="Times New Roman"/>
                <w:color w:val="auto"/>
                <w:szCs w:val="21"/>
                <w:highlight w:val="none"/>
              </w:rPr>
              <w:t>00m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vertAlign w:val="baseline"/>
                <w:lang w:val="en-US" w:eastAsia="zh-CN"/>
              </w:rPr>
              <w:t>（长</w:t>
            </w:r>
            <w:r>
              <w:rPr>
                <w:rFonts w:hint="eastAsia" w:ascii="Times New Roman" w:hAnsi="Times New Roman" w:cs="Times New Roman"/>
                <w:color w:val="auto"/>
                <w:szCs w:val="21"/>
                <w:highlight w:val="none"/>
                <w:vertAlign w:val="baseline"/>
                <w:lang w:val="en-US" w:eastAsia="zh-CN"/>
              </w:rPr>
              <w:t>48</w:t>
            </w:r>
            <w:r>
              <w:rPr>
                <w:rFonts w:hint="default" w:ascii="Times New Roman" w:hAnsi="Times New Roman" w:cs="Times New Roman"/>
                <w:color w:val="auto"/>
                <w:szCs w:val="21"/>
                <w:highlight w:val="none"/>
                <w:vertAlign w:val="baseline"/>
                <w:lang w:val="en-US" w:eastAsia="zh-CN"/>
              </w:rPr>
              <w:t>m，宽</w:t>
            </w:r>
            <w:r>
              <w:rPr>
                <w:rFonts w:hint="eastAsia" w:ascii="Times New Roman" w:hAnsi="Times New Roman" w:cs="Times New Roman"/>
                <w:color w:val="auto"/>
                <w:szCs w:val="21"/>
                <w:highlight w:val="none"/>
                <w:vertAlign w:val="baseline"/>
                <w:lang w:val="en-US" w:eastAsia="zh-CN"/>
              </w:rPr>
              <w:t>25</w:t>
            </w:r>
            <w:r>
              <w:rPr>
                <w:rFonts w:hint="default" w:ascii="Times New Roman" w:hAnsi="Times New Roman" w:cs="Times New Roman"/>
                <w:color w:val="auto"/>
                <w:szCs w:val="21"/>
                <w:highlight w:val="none"/>
                <w:vertAlign w:val="baseline"/>
                <w:lang w:val="en-US" w:eastAsia="zh-CN"/>
              </w:rPr>
              <w:t>m，高7m），布置玉米破碎设备和饲料存放区</w:t>
            </w:r>
          </w:p>
        </w:tc>
        <w:tc>
          <w:tcPr>
            <w:tcW w:w="1247"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兼做饲料库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1425" w:type="pct"/>
            <w:gridSpan w:val="2"/>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办公</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生活区</w:t>
            </w:r>
          </w:p>
        </w:tc>
        <w:tc>
          <w:tcPr>
            <w:tcW w:w="1929"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1座，建筑面积1</w:t>
            </w:r>
            <w:r>
              <w:rPr>
                <w:rFonts w:hint="default" w:ascii="Times New Roman" w:hAnsi="Times New Roman" w:cs="Times New Roman"/>
                <w:color w:val="auto"/>
                <w:szCs w:val="21"/>
                <w:highlight w:val="none"/>
                <w:lang w:val="en-US" w:eastAsia="zh-CN"/>
              </w:rPr>
              <w:t>125</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1247"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单层建筑</w:t>
            </w:r>
            <w:r>
              <w:rPr>
                <w:rFonts w:hint="eastAsia" w:ascii="Times New Roman" w:hAnsi="Times New Roman" w:cs="Times New Roman"/>
                <w:color w:val="auto"/>
                <w:szCs w:val="21"/>
                <w:highlight w:val="none"/>
                <w:lang w:val="en-US" w:eastAsia="zh-CN"/>
              </w:rPr>
              <w:t>，设有食堂</w:t>
            </w:r>
            <w:r>
              <w:rPr>
                <w:rFonts w:hint="eastAsia" w:ascii="Times New Roman" w:hAnsi="Times New Roman" w:cs="Times New Roman"/>
                <w:color w:val="auto"/>
                <w:szCs w:val="21"/>
                <w:highlight w:val="green"/>
                <w:lang w:val="en-US" w:eastAsia="zh-CN"/>
              </w:rPr>
              <w:t>，技术室和医疗防疫室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1425" w:type="pct"/>
            <w:gridSpan w:val="2"/>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沼气设备间</w:t>
            </w:r>
          </w:p>
        </w:tc>
        <w:tc>
          <w:tcPr>
            <w:tcW w:w="1929"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1座，建筑面积200m</w:t>
            </w:r>
            <w:r>
              <w:rPr>
                <w:rFonts w:hint="default" w:ascii="Times New Roman" w:hAnsi="Times New Roman" w:cs="Times New Roman"/>
                <w:color w:val="auto"/>
                <w:szCs w:val="21"/>
                <w:highlight w:val="none"/>
                <w:vertAlign w:val="superscript"/>
              </w:rPr>
              <w:t>2</w:t>
            </w:r>
          </w:p>
        </w:tc>
        <w:tc>
          <w:tcPr>
            <w:tcW w:w="1247"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设沼气净化，发电等设备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1425" w:type="pct"/>
            <w:gridSpan w:val="2"/>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降温水帘</w:t>
            </w:r>
          </w:p>
        </w:tc>
        <w:tc>
          <w:tcPr>
            <w:tcW w:w="1929"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设置31套夏季降温水帘</w:t>
            </w:r>
          </w:p>
        </w:tc>
        <w:tc>
          <w:tcPr>
            <w:tcW w:w="1247"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配套设置</w:t>
            </w:r>
            <w:r>
              <w:rPr>
                <w:rFonts w:hint="eastAsia" w:ascii="Times New Roman" w:hAnsi="Times New Roman" w:cs="Times New Roman"/>
                <w:color w:val="auto"/>
                <w:szCs w:val="21"/>
                <w:highlight w:val="green"/>
                <w:lang w:val="en-US" w:eastAsia="zh-CN"/>
              </w:rPr>
              <w:t>31个6m³循环水池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restar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储运工程</w:t>
            </w:r>
          </w:p>
        </w:tc>
        <w:tc>
          <w:tcPr>
            <w:tcW w:w="1425" w:type="pct"/>
            <w:gridSpan w:val="2"/>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沼气柜</w:t>
            </w:r>
          </w:p>
        </w:tc>
        <w:tc>
          <w:tcPr>
            <w:tcW w:w="1929" w:type="pct"/>
            <w:shd w:val="clear" w:color="auto" w:fill="auto"/>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1座，容积5000m</w:t>
            </w:r>
            <w:r>
              <w:rPr>
                <w:rFonts w:hint="default" w:ascii="Times New Roman" w:hAnsi="Times New Roman" w:cs="Times New Roman"/>
                <w:color w:val="auto"/>
                <w:szCs w:val="21"/>
                <w:highlight w:val="none"/>
                <w:vertAlign w:val="superscript"/>
              </w:rPr>
              <w:t>3</w:t>
            </w:r>
          </w:p>
        </w:tc>
        <w:tc>
          <w:tcPr>
            <w:tcW w:w="1247" w:type="pct"/>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柔性双层模式，位于沼气池顶部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eastAsia" w:ascii="Times New Roman" w:hAnsi="Times New Roman" w:cs="Times New Roman"/>
                <w:color w:val="auto"/>
                <w:szCs w:val="21"/>
                <w:highlight w:val="none"/>
                <w:lang w:val="en-US" w:eastAsia="zh-CN"/>
              </w:rPr>
            </w:pPr>
          </w:p>
        </w:tc>
        <w:tc>
          <w:tcPr>
            <w:tcW w:w="1425" w:type="pct"/>
            <w:gridSpan w:val="2"/>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沼液储存池</w:t>
            </w:r>
          </w:p>
        </w:tc>
        <w:tc>
          <w:tcPr>
            <w:tcW w:w="1929" w:type="pct"/>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1座，容积1</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000m</w:t>
            </w:r>
            <w:r>
              <w:rPr>
                <w:rFonts w:hint="default" w:ascii="Times New Roman" w:hAnsi="Times New Roman" w:cs="Times New Roman"/>
                <w:color w:val="auto"/>
                <w:szCs w:val="21"/>
                <w:highlight w:val="none"/>
                <w:vertAlign w:val="superscript"/>
              </w:rPr>
              <w:t>3</w:t>
            </w:r>
          </w:p>
        </w:tc>
        <w:tc>
          <w:tcPr>
            <w:tcW w:w="1247" w:type="pct"/>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防腐防渗，地下加盖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restar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公用工程</w:t>
            </w:r>
          </w:p>
        </w:tc>
        <w:tc>
          <w:tcPr>
            <w:tcW w:w="1425" w:type="pct"/>
            <w:gridSpan w:val="2"/>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给水</w:t>
            </w:r>
          </w:p>
        </w:tc>
        <w:tc>
          <w:tcPr>
            <w:tcW w:w="1929"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年用水</w:t>
            </w:r>
            <w:r>
              <w:rPr>
                <w:rFonts w:hint="eastAsia" w:ascii="Times New Roman" w:hAnsi="Times New Roman" w:cs="Times New Roman"/>
                <w:color w:val="auto"/>
                <w:szCs w:val="21"/>
                <w:highlight w:val="green"/>
                <w:lang w:val="en-US" w:eastAsia="zh-CN"/>
              </w:rPr>
              <w:t>量</w:t>
            </w:r>
            <w:r>
              <w:rPr>
                <w:rFonts w:hint="eastAsia" w:ascii="Times New Roman" w:hAnsi="Times New Roman" w:cs="Times New Roman"/>
                <w:sz w:val="21"/>
                <w:szCs w:val="21"/>
                <w:highlight w:val="none"/>
                <w:lang w:val="en-US" w:eastAsia="zh-CN"/>
              </w:rPr>
              <w:t>76693.5</w:t>
            </w:r>
            <w:r>
              <w:rPr>
                <w:rFonts w:hint="eastAsia" w:ascii="Times New Roman" w:hAnsi="Times New Roman" w:cs="Times New Roman"/>
                <w:color w:val="auto"/>
                <w:szCs w:val="21"/>
                <w:highlight w:val="green"/>
                <w:lang w:val="en-US" w:eastAsia="zh-CN"/>
              </w:rPr>
              <w:t>m³</w:t>
            </w:r>
          </w:p>
        </w:tc>
        <w:tc>
          <w:tcPr>
            <w:tcW w:w="1247"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自备井1个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1425" w:type="pct"/>
            <w:gridSpan w:val="2"/>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排水</w:t>
            </w:r>
          </w:p>
        </w:tc>
        <w:tc>
          <w:tcPr>
            <w:tcW w:w="192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lang w:val="en-US" w:eastAsia="zh-CN"/>
              </w:rPr>
            </w:pPr>
            <w:r>
              <w:rPr>
                <w:rFonts w:hint="eastAsia"/>
                <w:lang w:val="en-US" w:eastAsia="zh-CN"/>
              </w:rPr>
              <w:t>猪粪干湿分离液与猪舍冲洗废水、猪尿经地下排水管网汇入黑膜沼气池；</w:t>
            </w: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lang w:val="en-US" w:eastAsia="zh-CN"/>
              </w:rPr>
            </w:pPr>
            <w:r>
              <w:rPr>
                <w:rFonts w:hint="eastAsia"/>
                <w:lang w:val="en-US" w:eastAsia="zh-CN"/>
              </w:rPr>
              <w:t>餐饮污水经隔油池处理后与其他生活污水一并汇入黑膜沼气池；</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lang w:val="en-US" w:eastAsia="zh-CN"/>
              </w:rPr>
            </w:pPr>
            <w:r>
              <w:rPr>
                <w:rFonts w:hint="eastAsia"/>
                <w:lang w:val="en-US" w:eastAsia="zh-CN"/>
              </w:rPr>
              <w:t>黑膜沼气池处理后的沼液由水泵泵入沼液池</w:t>
            </w: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lang w:val="en-US" w:eastAsia="zh-CN"/>
              </w:rPr>
            </w:pPr>
            <w:r>
              <w:rPr>
                <w:rFonts w:hint="eastAsia"/>
                <w:highlight w:val="green"/>
                <w:lang w:val="en-US" w:eastAsia="zh-CN"/>
              </w:rPr>
              <w:t>初期雨水经雨水收集池收集，沉淀后用于厂区绿化</w:t>
            </w:r>
            <w:r>
              <w:rPr>
                <w:rFonts w:hint="eastAsia"/>
                <w:lang w:val="en-US" w:eastAsia="zh-CN"/>
              </w:rPr>
              <w:t>；</w:t>
            </w:r>
          </w:p>
        </w:tc>
        <w:tc>
          <w:tcPr>
            <w:tcW w:w="1247"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1425" w:type="pct"/>
            <w:gridSpan w:val="2"/>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供热</w:t>
            </w:r>
          </w:p>
        </w:tc>
        <w:tc>
          <w:tcPr>
            <w:tcW w:w="192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建设锅炉房，</w:t>
            </w:r>
            <w:r>
              <w:rPr>
                <w:rFonts w:hint="default" w:ascii="Times New Roman" w:hAnsi="Times New Roman" w:cs="Times New Roman"/>
                <w:color w:val="auto"/>
                <w:szCs w:val="21"/>
                <w:highlight w:val="none"/>
              </w:rPr>
              <w:t>设置</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t/h</w:t>
            </w:r>
            <w:r>
              <w:rPr>
                <w:rFonts w:hint="eastAsia" w:ascii="Times New Roman" w:hAnsi="Times New Roman" w:cs="Times New Roman"/>
                <w:color w:val="auto"/>
                <w:szCs w:val="21"/>
                <w:highlight w:val="none"/>
                <w:lang w:val="en-US" w:eastAsia="zh-CN"/>
              </w:rPr>
              <w:t>沼气</w:t>
            </w:r>
            <w:r>
              <w:rPr>
                <w:rFonts w:hint="default" w:ascii="Times New Roman" w:hAnsi="Times New Roman" w:cs="Times New Roman"/>
                <w:color w:val="auto"/>
                <w:szCs w:val="21"/>
                <w:highlight w:val="none"/>
              </w:rPr>
              <w:t>锅炉1套，</w:t>
            </w:r>
            <w:r>
              <w:rPr>
                <w:rFonts w:hint="eastAsia" w:ascii="Times New Roman" w:hAnsi="Times New Roman" w:cs="Times New Roman"/>
                <w:color w:val="auto"/>
                <w:szCs w:val="21"/>
                <w:highlight w:val="none"/>
                <w:lang w:val="en-US" w:eastAsia="zh-CN"/>
              </w:rPr>
              <w:t>6t/a电锅炉1套，</w:t>
            </w:r>
            <w:r>
              <w:rPr>
                <w:rFonts w:hint="default" w:ascii="Times New Roman" w:hAnsi="Times New Roman" w:cs="Times New Roman"/>
                <w:color w:val="auto"/>
                <w:szCs w:val="21"/>
                <w:highlight w:val="none"/>
              </w:rPr>
              <w:t>用于</w:t>
            </w:r>
            <w:r>
              <w:rPr>
                <w:rFonts w:hint="eastAsia" w:ascii="Times New Roman" w:hAnsi="Times New Roman" w:cs="Times New Roman"/>
                <w:color w:val="auto"/>
                <w:szCs w:val="21"/>
                <w:highlight w:val="none"/>
                <w:lang w:val="en-US" w:eastAsia="zh-CN"/>
              </w:rPr>
              <w:t>冬季</w:t>
            </w:r>
            <w:r>
              <w:rPr>
                <w:rFonts w:hint="default" w:ascii="Times New Roman" w:hAnsi="Times New Roman" w:cs="Times New Roman"/>
                <w:color w:val="auto"/>
                <w:szCs w:val="21"/>
                <w:highlight w:val="none"/>
              </w:rPr>
              <w:t>取暖</w:t>
            </w:r>
          </w:p>
        </w:tc>
        <w:tc>
          <w:tcPr>
            <w:tcW w:w="1247"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1425" w:type="pct"/>
            <w:gridSpan w:val="2"/>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供电</w:t>
            </w:r>
          </w:p>
        </w:tc>
        <w:tc>
          <w:tcPr>
            <w:tcW w:w="1929" w:type="pct"/>
            <w:shd w:val="clear" w:color="auto" w:fill="auto"/>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来自市政管网</w:t>
            </w:r>
            <w:r>
              <w:rPr>
                <w:rFonts w:hint="default" w:ascii="Times New Roman" w:hAnsi="Times New Roman" w:cs="Times New Roman"/>
                <w:color w:val="auto"/>
                <w:szCs w:val="21"/>
                <w:highlight w:val="none"/>
                <w:lang w:eastAsia="zh-CN"/>
              </w:rPr>
              <w:t>与自备沼气发电系统（</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00kw</w:t>
            </w:r>
            <w:r>
              <w:rPr>
                <w:rFonts w:hint="default" w:ascii="Times New Roman" w:hAnsi="Times New Roman" w:cs="Times New Roman"/>
                <w:color w:val="auto"/>
                <w:szCs w:val="21"/>
                <w:highlight w:val="none"/>
                <w:lang w:eastAsia="zh-CN"/>
              </w:rPr>
              <w:t>）</w:t>
            </w:r>
          </w:p>
        </w:tc>
        <w:tc>
          <w:tcPr>
            <w:tcW w:w="1247"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restar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环保工程</w:t>
            </w:r>
          </w:p>
        </w:tc>
        <w:tc>
          <w:tcPr>
            <w:tcW w:w="405" w:type="pct"/>
            <w:vMerge w:val="restar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粪便处理</w:t>
            </w:r>
          </w:p>
        </w:tc>
        <w:tc>
          <w:tcPr>
            <w:tcW w:w="1020"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储粪</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储尿</w:t>
            </w:r>
            <w:r>
              <w:rPr>
                <w:rFonts w:hint="default" w:ascii="Times New Roman" w:hAnsi="Times New Roman" w:cs="Times New Roman"/>
                <w:color w:val="auto"/>
                <w:szCs w:val="21"/>
                <w:highlight w:val="none"/>
              </w:rPr>
              <w:t>池</w:t>
            </w:r>
          </w:p>
        </w:tc>
        <w:tc>
          <w:tcPr>
            <w:tcW w:w="1929"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座，</w:t>
            </w:r>
            <w:r>
              <w:rPr>
                <w:rFonts w:hint="default" w:ascii="Times New Roman" w:hAnsi="Times New Roman" w:cs="Times New Roman"/>
                <w:color w:val="auto"/>
                <w:szCs w:val="21"/>
                <w:highlight w:val="none"/>
                <w:lang w:val="en-US" w:eastAsia="zh-CN"/>
              </w:rPr>
              <w:t>每座粪、尿池分离，单个尿池4*4*5m，粪池4*6*5m</w:t>
            </w:r>
          </w:p>
        </w:tc>
        <w:tc>
          <w:tcPr>
            <w:tcW w:w="1247"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储粪池兼做粪便无害化处理池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1020"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干湿分离</w:t>
            </w:r>
            <w:r>
              <w:rPr>
                <w:rFonts w:hint="eastAsia" w:ascii="Times New Roman" w:hAnsi="Times New Roman" w:cs="Times New Roman"/>
                <w:color w:val="auto"/>
                <w:szCs w:val="21"/>
                <w:highlight w:val="none"/>
                <w:lang w:val="en-US" w:eastAsia="zh-CN"/>
              </w:rPr>
              <w:t>间</w:t>
            </w:r>
          </w:p>
        </w:tc>
        <w:tc>
          <w:tcPr>
            <w:tcW w:w="1929"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对应</w:t>
            </w:r>
            <w:r>
              <w:rPr>
                <w:rFonts w:hint="default" w:ascii="Times New Roman" w:hAnsi="Times New Roman" w:cs="Times New Roman"/>
                <w:color w:val="auto"/>
                <w:szCs w:val="21"/>
                <w:highlight w:val="none"/>
                <w:lang w:val="en-US" w:eastAsia="zh-CN"/>
              </w:rPr>
              <w:t>3个储粪池设置3个干湿分离间</w:t>
            </w:r>
            <w:r>
              <w:rPr>
                <w:rFonts w:hint="eastAsia" w:ascii="Times New Roman" w:hAnsi="Times New Roman" w:cs="Times New Roman"/>
                <w:color w:val="auto"/>
                <w:szCs w:val="21"/>
                <w:highlight w:val="none"/>
                <w:lang w:val="en-US" w:eastAsia="zh-CN"/>
              </w:rPr>
              <w:t>，10m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lang w:val="en-US" w:eastAsia="zh-CN"/>
              </w:rPr>
              <w:t>每个，设3个</w:t>
            </w:r>
          </w:p>
        </w:tc>
        <w:tc>
          <w:tcPr>
            <w:tcW w:w="1247"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防腐防渗，加活动盖板，防雨顶棚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养殖废水处理</w:t>
            </w:r>
          </w:p>
        </w:tc>
        <w:tc>
          <w:tcPr>
            <w:tcW w:w="1020" w:type="pct"/>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黑膜沼气池</w:t>
            </w:r>
          </w:p>
        </w:tc>
        <w:tc>
          <w:tcPr>
            <w:tcW w:w="1929" w:type="pct"/>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1座，容积</w:t>
            </w: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000m</w:t>
            </w:r>
            <w:r>
              <w:rPr>
                <w:rFonts w:hint="default" w:ascii="Times New Roman" w:hAnsi="Times New Roman" w:cs="Times New Roman"/>
                <w:color w:val="auto"/>
                <w:szCs w:val="21"/>
                <w:highlight w:val="none"/>
                <w:vertAlign w:val="superscript"/>
              </w:rPr>
              <w:t>3</w:t>
            </w:r>
          </w:p>
        </w:tc>
        <w:tc>
          <w:tcPr>
            <w:tcW w:w="1247" w:type="pct"/>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黏土夯实+1.5mm高密度聚乙烯膜（HDPE膜）防腐防渗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初期雨水</w:t>
            </w:r>
          </w:p>
        </w:tc>
        <w:tc>
          <w:tcPr>
            <w:tcW w:w="1020"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雨水收集池</w:t>
            </w:r>
          </w:p>
        </w:tc>
        <w:tc>
          <w:tcPr>
            <w:tcW w:w="1929"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green"/>
                <w:lang w:val="en-US" w:eastAsia="zh-CN"/>
              </w:rPr>
              <w:t>长30m，宽20m，深2m</w:t>
            </w:r>
          </w:p>
        </w:tc>
        <w:tc>
          <w:tcPr>
            <w:tcW w:w="1247"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兼做事故池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shd w:val="clear" w:color="auto" w:fill="auto"/>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餐饮污水</w:t>
            </w:r>
          </w:p>
        </w:tc>
        <w:tc>
          <w:tcPr>
            <w:tcW w:w="1020" w:type="pct"/>
            <w:shd w:val="clear" w:color="auto" w:fill="auto"/>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隔油池</w:t>
            </w:r>
          </w:p>
        </w:tc>
        <w:tc>
          <w:tcPr>
            <w:tcW w:w="1929" w:type="pct"/>
            <w:shd w:val="clear" w:color="auto" w:fill="auto"/>
            <w:vAlign w:val="center"/>
          </w:tcPr>
          <w:p>
            <w:pPr>
              <w:jc w:val="center"/>
              <w:rPr>
                <w:rFonts w:hint="default" w:ascii="Times New Roman" w:hAnsi="Times New Roman" w:cs="Times New Roman"/>
                <w:color w:val="auto"/>
                <w:szCs w:val="21"/>
                <w:highlight w:val="green"/>
                <w:lang w:val="en-US" w:eastAsia="zh-CN"/>
              </w:rPr>
            </w:pPr>
            <w:r>
              <w:rPr>
                <w:rFonts w:hint="eastAsia" w:ascii="Times New Roman" w:hAnsi="Times New Roman" w:cs="Times New Roman"/>
                <w:color w:val="auto"/>
                <w:szCs w:val="21"/>
                <w:highlight w:val="green"/>
                <w:lang w:val="en-US" w:eastAsia="zh-CN"/>
              </w:rPr>
              <w:t>设置隔油池1个</w:t>
            </w:r>
          </w:p>
        </w:tc>
        <w:tc>
          <w:tcPr>
            <w:tcW w:w="1247" w:type="pct"/>
            <w:shd w:val="clear" w:color="auto" w:fill="auto"/>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用于处理餐饮污水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vMerge w:val="restar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沼气净化及利用</w:t>
            </w:r>
          </w:p>
        </w:tc>
        <w:tc>
          <w:tcPr>
            <w:tcW w:w="1020" w:type="pct"/>
            <w:shd w:val="clear" w:color="auto" w:fill="auto"/>
            <w:vAlign w:val="center"/>
          </w:tcPr>
          <w:p>
            <w:pPr>
              <w:jc w:val="center"/>
              <w:rPr>
                <w:rFonts w:hint="default" w:ascii="Times New Roman" w:hAnsi="Times New Roman" w:eastAsia="宋体" w:cs="Times New Roman"/>
                <w:color w:val="auto"/>
                <w:szCs w:val="21"/>
                <w:highlight w:val="green"/>
                <w:lang w:val="en-US" w:eastAsia="zh-CN"/>
              </w:rPr>
            </w:pPr>
            <w:r>
              <w:rPr>
                <w:rFonts w:hint="eastAsia" w:ascii="Times New Roman" w:hAnsi="Times New Roman" w:cs="Times New Roman"/>
                <w:color w:val="auto"/>
                <w:szCs w:val="21"/>
                <w:highlight w:val="green"/>
                <w:lang w:val="en-US" w:eastAsia="zh-CN"/>
              </w:rPr>
              <w:t>沼气脱水罐</w:t>
            </w:r>
          </w:p>
        </w:tc>
        <w:tc>
          <w:tcPr>
            <w:tcW w:w="1929" w:type="pct"/>
            <w:shd w:val="clear" w:color="auto" w:fill="auto"/>
            <w:vAlign w:val="center"/>
          </w:tcPr>
          <w:p>
            <w:pPr>
              <w:jc w:val="center"/>
              <w:rPr>
                <w:rFonts w:hint="default" w:ascii="Times New Roman" w:hAnsi="Times New Roman" w:cs="Times New Roman"/>
                <w:color w:val="auto"/>
                <w:szCs w:val="21"/>
                <w:highlight w:val="green"/>
                <w:lang w:val="en-US" w:eastAsia="zh-CN"/>
              </w:rPr>
            </w:pPr>
            <w:r>
              <w:rPr>
                <w:rFonts w:hint="eastAsia" w:ascii="Times New Roman" w:hAnsi="Times New Roman" w:cs="Times New Roman"/>
                <w:color w:val="auto"/>
                <w:szCs w:val="21"/>
                <w:highlight w:val="green"/>
                <w:lang w:val="en-US" w:eastAsia="zh-CN"/>
              </w:rPr>
              <w:t>物理法脱水</w:t>
            </w:r>
          </w:p>
        </w:tc>
        <w:tc>
          <w:tcPr>
            <w:tcW w:w="1247"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废水返回黑膜沼气池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1020" w:type="pct"/>
            <w:shd w:val="clear" w:color="auto" w:fill="auto"/>
            <w:vAlign w:val="center"/>
          </w:tcPr>
          <w:p>
            <w:pPr>
              <w:jc w:val="center"/>
              <w:rPr>
                <w:rFonts w:hint="default" w:ascii="Times New Roman" w:hAnsi="Times New Roman" w:cs="Times New Roman"/>
                <w:color w:val="auto"/>
                <w:szCs w:val="21"/>
                <w:highlight w:val="green"/>
              </w:rPr>
            </w:pPr>
            <w:r>
              <w:rPr>
                <w:rFonts w:hint="default" w:ascii="Times New Roman" w:hAnsi="Times New Roman" w:cs="Times New Roman"/>
                <w:color w:val="auto"/>
                <w:szCs w:val="21"/>
                <w:highlight w:val="green"/>
              </w:rPr>
              <w:t>沼气脱硫罐</w:t>
            </w:r>
          </w:p>
        </w:tc>
        <w:tc>
          <w:tcPr>
            <w:tcW w:w="1929" w:type="pct"/>
            <w:shd w:val="clear" w:color="auto" w:fill="auto"/>
            <w:vAlign w:val="center"/>
          </w:tcPr>
          <w:p>
            <w:pPr>
              <w:jc w:val="center"/>
              <w:rPr>
                <w:rFonts w:hint="default" w:ascii="Times New Roman" w:hAnsi="Times New Roman" w:eastAsia="宋体" w:cs="Times New Roman"/>
                <w:color w:val="auto"/>
                <w:szCs w:val="21"/>
                <w:highlight w:val="green"/>
                <w:lang w:val="en-US" w:eastAsia="zh-CN"/>
              </w:rPr>
            </w:pPr>
            <w:r>
              <w:rPr>
                <w:rFonts w:hint="eastAsia" w:ascii="Times New Roman" w:hAnsi="Times New Roman" w:cs="Times New Roman"/>
                <w:color w:val="auto"/>
                <w:szCs w:val="21"/>
                <w:highlight w:val="green"/>
                <w:lang w:val="en-US" w:eastAsia="zh-CN"/>
              </w:rPr>
              <w:t>1套，氧化铁发脱硫</w:t>
            </w:r>
          </w:p>
        </w:tc>
        <w:tc>
          <w:tcPr>
            <w:tcW w:w="1247"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废脱硫剂暂存于废脱硫剂暂存间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1020"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沼气发</w:t>
            </w:r>
            <w:r>
              <w:rPr>
                <w:rFonts w:hint="eastAsia" w:ascii="Times New Roman" w:hAnsi="Times New Roman" w:cs="Times New Roman"/>
                <w:color w:val="auto"/>
                <w:szCs w:val="21"/>
                <w:highlight w:val="none"/>
                <w:lang w:val="en-US" w:eastAsia="zh-CN"/>
              </w:rPr>
              <w:t>电</w:t>
            </w:r>
          </w:p>
        </w:tc>
        <w:tc>
          <w:tcPr>
            <w:tcW w:w="1929" w:type="pct"/>
            <w:shd w:val="clear" w:color="auto" w:fill="auto"/>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1台</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00kw</w:t>
            </w:r>
          </w:p>
        </w:tc>
        <w:tc>
          <w:tcPr>
            <w:tcW w:w="1247"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废气高空排放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1020" w:type="pct"/>
            <w:shd w:val="clear" w:color="auto" w:fill="auto"/>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沼</w:t>
            </w:r>
            <w:r>
              <w:rPr>
                <w:rFonts w:hint="default" w:ascii="Times New Roman" w:hAnsi="Times New Roman" w:cs="Times New Roman"/>
                <w:color w:val="auto"/>
                <w:szCs w:val="21"/>
                <w:highlight w:val="none"/>
                <w:lang w:eastAsia="zh-CN"/>
              </w:rPr>
              <w:t>气锅炉</w:t>
            </w:r>
          </w:p>
        </w:tc>
        <w:tc>
          <w:tcPr>
            <w:tcW w:w="1929" w:type="pct"/>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1台</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t/h，设置超低氮燃烧器</w:t>
            </w:r>
          </w:p>
        </w:tc>
        <w:tc>
          <w:tcPr>
            <w:tcW w:w="1247" w:type="pct"/>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经不低于</w:t>
            </w:r>
            <w:r>
              <w:rPr>
                <w:rFonts w:hint="default" w:ascii="Times New Roman" w:hAnsi="Times New Roman" w:cs="Times New Roman"/>
                <w:color w:val="auto"/>
                <w:szCs w:val="21"/>
                <w:highlight w:val="none"/>
                <w:lang w:val="en-US" w:eastAsia="zh-CN"/>
              </w:rPr>
              <w:t>8m高排气筒排放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食堂油烟</w:t>
            </w:r>
          </w:p>
        </w:tc>
        <w:tc>
          <w:tcPr>
            <w:tcW w:w="1020"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油烟净化器</w:t>
            </w:r>
          </w:p>
        </w:tc>
        <w:tc>
          <w:tcPr>
            <w:tcW w:w="1929"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1台</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净化效率60%</w:t>
            </w:r>
          </w:p>
        </w:tc>
        <w:tc>
          <w:tcPr>
            <w:tcW w:w="1247" w:type="pct"/>
            <w:shd w:val="clear" w:color="auto" w:fill="auto"/>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废气经高于房顶排气筒排放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废脱硫剂</w:t>
            </w:r>
          </w:p>
        </w:tc>
        <w:tc>
          <w:tcPr>
            <w:tcW w:w="1020"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废脱硫剂暂存间</w:t>
            </w:r>
          </w:p>
        </w:tc>
        <w:tc>
          <w:tcPr>
            <w:tcW w:w="1929"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1座，</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0m</w:t>
            </w:r>
            <w:r>
              <w:rPr>
                <w:rFonts w:hint="default" w:ascii="Times New Roman" w:hAnsi="Times New Roman" w:cs="Times New Roman"/>
                <w:color w:val="auto"/>
                <w:szCs w:val="21"/>
                <w:highlight w:val="none"/>
                <w:vertAlign w:val="superscript"/>
              </w:rPr>
              <w:t>3</w:t>
            </w:r>
          </w:p>
        </w:tc>
        <w:tc>
          <w:tcPr>
            <w:tcW w:w="1247"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位于库房内，地面进行防腐防渗处理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病死猪</w:t>
            </w:r>
          </w:p>
        </w:tc>
        <w:tc>
          <w:tcPr>
            <w:tcW w:w="1020"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病死猪暂存间</w:t>
            </w:r>
          </w:p>
        </w:tc>
        <w:tc>
          <w:tcPr>
            <w:tcW w:w="1929"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暂存间面积50m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，按照《病死及病害动物无害化处理技术规范》相关规定进行建设</w:t>
            </w:r>
          </w:p>
        </w:tc>
        <w:tc>
          <w:tcPr>
            <w:tcW w:w="1247"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为冷藏库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防疫、医疗废物</w:t>
            </w:r>
          </w:p>
        </w:tc>
        <w:tc>
          <w:tcPr>
            <w:tcW w:w="1020"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医疗废物暂存间</w:t>
            </w:r>
          </w:p>
        </w:tc>
        <w:tc>
          <w:tcPr>
            <w:tcW w:w="1929" w:type="pct"/>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建筑面积10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1247" w:type="pct"/>
            <w:shd w:val="clear" w:color="auto" w:fill="auto"/>
            <w:vAlign w:val="center"/>
          </w:tcPr>
          <w:p>
            <w:pPr>
              <w:jc w:val="center"/>
              <w:rPr>
                <w:rFonts w:hint="default" w:ascii="Times New Roman" w:hAnsi="Times New Roman" w:cs="Times New Roman"/>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vMerge w:val="restar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除臭</w:t>
            </w:r>
          </w:p>
        </w:tc>
        <w:tc>
          <w:tcPr>
            <w:tcW w:w="1020"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EM益生菌生物除臭液喷洒设备</w:t>
            </w:r>
          </w:p>
        </w:tc>
        <w:tc>
          <w:tcPr>
            <w:tcW w:w="1929" w:type="pct"/>
            <w:shd w:val="clear" w:color="auto" w:fill="auto"/>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若干</w:t>
            </w:r>
          </w:p>
        </w:tc>
        <w:tc>
          <w:tcPr>
            <w:tcW w:w="1247"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vMerge w:val="continue"/>
            <w:shd w:val="clear" w:color="auto" w:fill="auto"/>
            <w:vAlign w:val="center"/>
          </w:tcPr>
          <w:p>
            <w:pPr>
              <w:jc w:val="center"/>
              <w:rPr>
                <w:rFonts w:hint="eastAsia" w:ascii="Times New Roman" w:hAnsi="Times New Roman" w:cs="Times New Roman"/>
                <w:color w:val="auto"/>
                <w:szCs w:val="21"/>
                <w:highlight w:val="none"/>
                <w:lang w:val="en-US" w:eastAsia="zh-CN"/>
              </w:rPr>
            </w:pPr>
          </w:p>
        </w:tc>
        <w:tc>
          <w:tcPr>
            <w:tcW w:w="1020"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场内排水沟加活动顶盖密封</w:t>
            </w:r>
          </w:p>
        </w:tc>
        <w:tc>
          <w:tcPr>
            <w:tcW w:w="1929"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247"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vMerge w:val="continue"/>
            <w:shd w:val="clear" w:color="auto" w:fill="auto"/>
            <w:vAlign w:val="center"/>
          </w:tcPr>
          <w:p>
            <w:pPr>
              <w:jc w:val="center"/>
              <w:rPr>
                <w:rFonts w:hint="default" w:ascii="Times New Roman" w:hAnsi="Times New Roman" w:cs="Times New Roman"/>
                <w:color w:val="auto"/>
                <w:szCs w:val="21"/>
                <w:highlight w:val="none"/>
              </w:rPr>
            </w:pPr>
          </w:p>
        </w:tc>
        <w:tc>
          <w:tcPr>
            <w:tcW w:w="405" w:type="pct"/>
            <w:vMerge w:val="continue"/>
            <w:shd w:val="clear" w:color="auto" w:fill="auto"/>
            <w:vAlign w:val="center"/>
          </w:tcPr>
          <w:p>
            <w:pPr>
              <w:jc w:val="center"/>
              <w:rPr>
                <w:rFonts w:hint="eastAsia" w:ascii="Times New Roman" w:hAnsi="Times New Roman" w:cs="Times New Roman"/>
                <w:color w:val="auto"/>
                <w:szCs w:val="21"/>
                <w:highlight w:val="none"/>
                <w:lang w:val="en-US" w:eastAsia="zh-CN"/>
              </w:rPr>
            </w:pPr>
          </w:p>
        </w:tc>
        <w:tc>
          <w:tcPr>
            <w:tcW w:w="1020"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绿化</w:t>
            </w:r>
          </w:p>
        </w:tc>
        <w:tc>
          <w:tcPr>
            <w:tcW w:w="1929"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绿化面积4209m</w:t>
            </w:r>
            <w:r>
              <w:rPr>
                <w:rFonts w:hint="default" w:ascii="Times New Roman" w:hAnsi="Times New Roman" w:cs="Times New Roman"/>
                <w:color w:val="auto"/>
                <w:szCs w:val="21"/>
                <w:highlight w:val="none"/>
                <w:vertAlign w:val="superscript"/>
              </w:rPr>
              <w:t>2</w:t>
            </w:r>
          </w:p>
        </w:tc>
        <w:tc>
          <w:tcPr>
            <w:tcW w:w="1247" w:type="pct"/>
            <w:shd w:val="clear" w:color="auto" w:fill="auto"/>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8" w:type="pct"/>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依托工程</w:t>
            </w:r>
          </w:p>
        </w:tc>
        <w:tc>
          <w:tcPr>
            <w:tcW w:w="4601" w:type="pct"/>
            <w:gridSpan w:val="4"/>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昌黎县军强畜禽无害化处理厂</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卢龙县垃圾填埋场</w:t>
            </w:r>
          </w:p>
        </w:tc>
      </w:tr>
    </w:tbl>
    <w:p>
      <w:pPr>
        <w:spacing w:before="120" w:beforeLines="50" w:after="120" w:afterLines="50"/>
        <w:jc w:val="left"/>
        <w:outlineLvl w:val="1"/>
        <w:rPr>
          <w:rFonts w:hint="default" w:ascii="Times New Roman" w:hAnsi="Times New Roman" w:eastAsia="黑体" w:cs="Times New Roman"/>
          <w:bCs/>
          <w:sz w:val="30"/>
          <w:szCs w:val="30"/>
          <w:highlight w:val="none"/>
        </w:rPr>
        <w:sectPr>
          <w:pgSz w:w="16838" w:h="11906" w:orient="landscape"/>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44" w:name="_Toc26017"/>
      <w:r>
        <w:rPr>
          <w:rFonts w:hint="default" w:ascii="Times New Roman" w:hAnsi="Times New Roman" w:eastAsia="黑体" w:cs="Times New Roman"/>
          <w:bCs/>
          <w:sz w:val="30"/>
          <w:szCs w:val="30"/>
          <w:highlight w:val="none"/>
        </w:rPr>
        <w:t>2.3主要设备</w:t>
      </w:r>
      <w:bookmarkEnd w:id="4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项目主要饲养设备见表2-4，废水处理设备见表2-5。</w: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表2-4 主要饲养设备</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95"/>
        <w:gridCol w:w="3990"/>
        <w:gridCol w:w="2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12"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序号</w:t>
            </w:r>
          </w:p>
        </w:tc>
        <w:tc>
          <w:tcPr>
            <w:tcW w:w="2341"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设备名称</w:t>
            </w:r>
          </w:p>
        </w:tc>
        <w:tc>
          <w:tcPr>
            <w:tcW w:w="1547"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2341"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节水型饮水器</w:t>
            </w:r>
          </w:p>
        </w:tc>
        <w:tc>
          <w:tcPr>
            <w:tcW w:w="154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1240套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2341"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节水型冲洗装置</w:t>
            </w:r>
          </w:p>
        </w:tc>
        <w:tc>
          <w:tcPr>
            <w:tcW w:w="154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2341"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自动控温设备</w:t>
            </w:r>
          </w:p>
        </w:tc>
        <w:tc>
          <w:tcPr>
            <w:tcW w:w="154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2341"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猪舍通风风扇</w:t>
            </w:r>
          </w:p>
        </w:tc>
        <w:tc>
          <w:tcPr>
            <w:tcW w:w="154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434个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2341"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EM益生菌生物除臭液喷洒设备</w:t>
            </w:r>
          </w:p>
        </w:tc>
        <w:tc>
          <w:tcPr>
            <w:tcW w:w="154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12"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w:t>
            </w:r>
          </w:p>
        </w:tc>
        <w:tc>
          <w:tcPr>
            <w:tcW w:w="2341"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水泵</w:t>
            </w:r>
          </w:p>
        </w:tc>
        <w:tc>
          <w:tcPr>
            <w:tcW w:w="1547"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5台</w:t>
            </w:r>
          </w:p>
        </w:tc>
      </w:tr>
    </w:tbl>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表2-5 其他主要设备一览表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7"/>
        <w:gridCol w:w="1509"/>
        <w:gridCol w:w="2003"/>
        <w:gridCol w:w="2107"/>
        <w:gridCol w:w="970"/>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编号</w:t>
            </w:r>
          </w:p>
        </w:tc>
        <w:tc>
          <w:tcPr>
            <w:tcW w:w="885"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工艺节点</w:t>
            </w:r>
          </w:p>
        </w:tc>
        <w:tc>
          <w:tcPr>
            <w:tcW w:w="1175"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设备名称</w:t>
            </w:r>
          </w:p>
        </w:tc>
        <w:tc>
          <w:tcPr>
            <w:tcW w:w="1236"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规格型号</w:t>
            </w:r>
          </w:p>
        </w:tc>
        <w:tc>
          <w:tcPr>
            <w:tcW w:w="569"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数量</w:t>
            </w:r>
          </w:p>
        </w:tc>
        <w:tc>
          <w:tcPr>
            <w:tcW w:w="695" w:type="pc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885"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预处理系统</w:t>
            </w:r>
          </w:p>
        </w:tc>
        <w:tc>
          <w:tcPr>
            <w:tcW w:w="1175"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eastAsia="zh-CN"/>
              </w:rPr>
              <w:t>干湿分离机</w:t>
            </w:r>
          </w:p>
        </w:tc>
        <w:tc>
          <w:tcPr>
            <w:tcW w:w="1236"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w:t>
            </w:r>
          </w:p>
        </w:tc>
        <w:tc>
          <w:tcPr>
            <w:tcW w:w="569"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3台</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43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3</w:t>
            </w:r>
          </w:p>
        </w:tc>
        <w:tc>
          <w:tcPr>
            <w:tcW w:w="885" w:type="pct"/>
            <w:vMerge w:val="continue"/>
            <w:shd w:val="clear" w:color="auto" w:fill="auto"/>
            <w:vAlign w:val="center"/>
          </w:tcPr>
          <w:p>
            <w:pPr>
              <w:jc w:val="center"/>
              <w:rPr>
                <w:rFonts w:hint="default" w:ascii="Times New Roman" w:hAnsi="Times New Roman" w:cs="Times New Roman"/>
                <w:szCs w:val="21"/>
                <w:highlight w:val="none"/>
              </w:rPr>
            </w:pPr>
          </w:p>
        </w:tc>
        <w:tc>
          <w:tcPr>
            <w:tcW w:w="117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污水泵</w:t>
            </w:r>
          </w:p>
        </w:tc>
        <w:tc>
          <w:tcPr>
            <w:tcW w:w="1236"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56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4台</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4</w:t>
            </w:r>
          </w:p>
        </w:tc>
        <w:tc>
          <w:tcPr>
            <w:tcW w:w="885"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厌氧发酵系统</w:t>
            </w:r>
          </w:p>
        </w:tc>
        <w:tc>
          <w:tcPr>
            <w:tcW w:w="117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黑膜沼气池</w:t>
            </w:r>
          </w:p>
        </w:tc>
        <w:tc>
          <w:tcPr>
            <w:tcW w:w="1236"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40</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60</w:t>
            </w:r>
            <w:r>
              <w:rPr>
                <w:rFonts w:hint="default" w:ascii="Times New Roman" w:hAnsi="Times New Roman" w:cs="Times New Roman"/>
                <w:szCs w:val="21"/>
                <w:highlight w:val="none"/>
              </w:rPr>
              <w:t>×</w:t>
            </w:r>
            <w:r>
              <w:rPr>
                <w:rFonts w:hint="eastAsia" w:ascii="Times New Roman" w:hAnsi="Times New Roman" w:cs="Times New Roman"/>
                <w:szCs w:val="21"/>
                <w:highlight w:val="none"/>
                <w:lang w:val="en-US" w:eastAsia="zh-CN"/>
              </w:rPr>
              <w:t>9</w:t>
            </w:r>
            <w:r>
              <w:rPr>
                <w:rFonts w:hint="default" w:ascii="Times New Roman" w:hAnsi="Times New Roman" w:cs="Times New Roman"/>
                <w:szCs w:val="21"/>
                <w:highlight w:val="none"/>
              </w:rPr>
              <w:t>m</w:t>
            </w:r>
          </w:p>
        </w:tc>
        <w:tc>
          <w:tcPr>
            <w:tcW w:w="56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1座</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2</w:t>
            </w:r>
            <w:r>
              <w:rPr>
                <w:rFonts w:hint="eastAsia" w:ascii="Times New Roman" w:hAnsi="Times New Roman" w:cs="Times New Roman"/>
                <w:szCs w:val="21"/>
                <w:highlight w:val="none"/>
                <w:lang w:val="en-US" w:eastAsia="zh-CN"/>
              </w:rPr>
              <w:t>16</w:t>
            </w:r>
            <w:r>
              <w:rPr>
                <w:rFonts w:hint="default" w:ascii="Times New Roman" w:hAnsi="Times New Roman" w:cs="Times New Roman"/>
                <w:szCs w:val="21"/>
                <w:highlight w:val="none"/>
              </w:rPr>
              <w:t>00m</w:t>
            </w:r>
            <w:r>
              <w:rPr>
                <w:rFonts w:hint="default" w:ascii="Times New Roman" w:hAnsi="Times New Roman" w:cs="Times New Roman"/>
                <w:szCs w:val="21"/>
                <w:highlight w:val="none"/>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5</w:t>
            </w:r>
          </w:p>
        </w:tc>
        <w:tc>
          <w:tcPr>
            <w:tcW w:w="885" w:type="pct"/>
            <w:vMerge w:val="continue"/>
            <w:shd w:val="clear" w:color="auto" w:fill="auto"/>
            <w:vAlign w:val="center"/>
          </w:tcPr>
          <w:p>
            <w:pPr>
              <w:jc w:val="center"/>
              <w:rPr>
                <w:rFonts w:hint="default" w:ascii="Times New Roman" w:hAnsi="Times New Roman" w:cs="Times New Roman"/>
                <w:szCs w:val="21"/>
                <w:highlight w:val="none"/>
              </w:rPr>
            </w:pPr>
          </w:p>
        </w:tc>
        <w:tc>
          <w:tcPr>
            <w:tcW w:w="117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双层充气膜储气柜</w:t>
            </w:r>
          </w:p>
        </w:tc>
        <w:tc>
          <w:tcPr>
            <w:tcW w:w="1236"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位于沼气池上方</w:t>
            </w:r>
          </w:p>
        </w:tc>
        <w:tc>
          <w:tcPr>
            <w:tcW w:w="56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1座</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5000m</w:t>
            </w:r>
            <w:r>
              <w:rPr>
                <w:rFonts w:hint="default" w:ascii="Times New Roman" w:hAnsi="Times New Roman" w:cs="Times New Roman"/>
                <w:szCs w:val="21"/>
                <w:highlight w:val="none"/>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6</w:t>
            </w:r>
          </w:p>
        </w:tc>
        <w:tc>
          <w:tcPr>
            <w:tcW w:w="885" w:type="pct"/>
            <w:vMerge w:val="continue"/>
            <w:shd w:val="clear" w:color="auto" w:fill="auto"/>
            <w:vAlign w:val="center"/>
          </w:tcPr>
          <w:p>
            <w:pPr>
              <w:jc w:val="center"/>
              <w:rPr>
                <w:rFonts w:hint="default" w:ascii="Times New Roman" w:hAnsi="Times New Roman" w:cs="Times New Roman"/>
                <w:szCs w:val="21"/>
                <w:highlight w:val="none"/>
              </w:rPr>
            </w:pPr>
          </w:p>
        </w:tc>
        <w:tc>
          <w:tcPr>
            <w:tcW w:w="117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管道泵</w:t>
            </w:r>
          </w:p>
        </w:tc>
        <w:tc>
          <w:tcPr>
            <w:tcW w:w="1236"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56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3台</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7</w:t>
            </w:r>
          </w:p>
        </w:tc>
        <w:tc>
          <w:tcPr>
            <w:tcW w:w="885" w:type="pct"/>
            <w:vMerge w:val="continue"/>
            <w:shd w:val="clear" w:color="auto" w:fill="auto"/>
            <w:vAlign w:val="center"/>
          </w:tcPr>
          <w:p>
            <w:pPr>
              <w:jc w:val="center"/>
              <w:rPr>
                <w:rFonts w:hint="default" w:ascii="Times New Roman" w:hAnsi="Times New Roman" w:cs="Times New Roman"/>
                <w:szCs w:val="21"/>
                <w:highlight w:val="none"/>
              </w:rPr>
            </w:pPr>
          </w:p>
        </w:tc>
        <w:tc>
          <w:tcPr>
            <w:tcW w:w="117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增压系统</w:t>
            </w:r>
          </w:p>
        </w:tc>
        <w:tc>
          <w:tcPr>
            <w:tcW w:w="1236"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56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1套</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8</w:t>
            </w:r>
          </w:p>
        </w:tc>
        <w:tc>
          <w:tcPr>
            <w:tcW w:w="885" w:type="pct"/>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沼气净化系统</w:t>
            </w:r>
          </w:p>
        </w:tc>
        <w:tc>
          <w:tcPr>
            <w:tcW w:w="1175"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沼气脱水罐</w:t>
            </w:r>
          </w:p>
        </w:tc>
        <w:tc>
          <w:tcPr>
            <w:tcW w:w="1236" w:type="pct"/>
            <w:shd w:val="clear" w:color="auto" w:fill="auto"/>
            <w:vAlign w:val="center"/>
          </w:tcPr>
          <w:p>
            <w:pPr>
              <w:jc w:val="center"/>
              <w:rPr>
                <w:rFonts w:hint="eastAsia" w:ascii="Times New Roman" w:hAnsi="Times New Roman" w:cs="Times New Roman"/>
                <w:szCs w:val="21"/>
                <w:highlight w:val="none"/>
                <w:lang w:val="en-US" w:eastAsia="zh-CN"/>
              </w:rPr>
            </w:pPr>
            <w:r>
              <w:rPr>
                <w:rFonts w:hint="default" w:ascii="Times New Roman" w:hAnsi="Times New Roman" w:cs="Times New Roman"/>
                <w:szCs w:val="21"/>
                <w:highlight w:val="none"/>
              </w:rPr>
              <w:t>/</w:t>
            </w:r>
          </w:p>
        </w:tc>
        <w:tc>
          <w:tcPr>
            <w:tcW w:w="569" w:type="pct"/>
            <w:shd w:val="clear" w:color="auto" w:fill="auto"/>
            <w:vAlign w:val="center"/>
          </w:tcPr>
          <w:p>
            <w:pPr>
              <w:jc w:val="center"/>
              <w:rPr>
                <w:rFonts w:hint="eastAsia" w:ascii="Times New Roman" w:hAnsi="Times New Roman" w:cs="Times New Roman"/>
                <w:szCs w:val="21"/>
                <w:highlight w:val="none"/>
                <w:lang w:val="en-US" w:eastAsia="zh-CN"/>
              </w:rPr>
            </w:pPr>
            <w:r>
              <w:rPr>
                <w:rFonts w:hint="default" w:ascii="Times New Roman" w:hAnsi="Times New Roman" w:cs="Times New Roman"/>
                <w:szCs w:val="21"/>
                <w:highlight w:val="none"/>
              </w:rPr>
              <w:t>1套</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9</w:t>
            </w:r>
          </w:p>
        </w:tc>
        <w:tc>
          <w:tcPr>
            <w:tcW w:w="885" w:type="pct"/>
            <w:vMerge w:val="continue"/>
            <w:shd w:val="clear" w:color="auto" w:fill="auto"/>
            <w:vAlign w:val="center"/>
          </w:tcPr>
          <w:p>
            <w:pPr>
              <w:jc w:val="center"/>
              <w:rPr>
                <w:rFonts w:hint="default" w:ascii="Times New Roman" w:hAnsi="Times New Roman" w:cs="Times New Roman"/>
                <w:szCs w:val="21"/>
                <w:highlight w:val="none"/>
              </w:rPr>
            </w:pPr>
          </w:p>
        </w:tc>
        <w:tc>
          <w:tcPr>
            <w:tcW w:w="117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干式脱硫罐</w:t>
            </w:r>
          </w:p>
        </w:tc>
        <w:tc>
          <w:tcPr>
            <w:tcW w:w="1236"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w:t>
            </w:r>
          </w:p>
        </w:tc>
        <w:tc>
          <w:tcPr>
            <w:tcW w:w="56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1套</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1</w:t>
            </w:r>
            <w:r>
              <w:rPr>
                <w:rFonts w:hint="eastAsia" w:ascii="Times New Roman" w:hAnsi="Times New Roman" w:cs="Times New Roman"/>
                <w:szCs w:val="21"/>
                <w:highlight w:val="none"/>
                <w:lang w:val="en-US" w:eastAsia="zh-CN"/>
              </w:rPr>
              <w:t>0</w:t>
            </w:r>
          </w:p>
        </w:tc>
        <w:tc>
          <w:tcPr>
            <w:tcW w:w="885" w:type="pct"/>
            <w:vMerge w:val="continue"/>
            <w:shd w:val="clear" w:color="auto" w:fill="auto"/>
            <w:vAlign w:val="center"/>
          </w:tcPr>
          <w:p>
            <w:pPr>
              <w:jc w:val="center"/>
              <w:rPr>
                <w:rFonts w:hint="default" w:ascii="Times New Roman" w:hAnsi="Times New Roman" w:cs="Times New Roman"/>
                <w:szCs w:val="21"/>
                <w:highlight w:val="none"/>
              </w:rPr>
            </w:pPr>
          </w:p>
        </w:tc>
        <w:tc>
          <w:tcPr>
            <w:tcW w:w="117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脱水罐</w:t>
            </w:r>
          </w:p>
        </w:tc>
        <w:tc>
          <w:tcPr>
            <w:tcW w:w="1236" w:type="pc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w:t>
            </w:r>
          </w:p>
        </w:tc>
        <w:tc>
          <w:tcPr>
            <w:tcW w:w="56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1套</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1</w:t>
            </w:r>
            <w:r>
              <w:rPr>
                <w:rFonts w:hint="eastAsia" w:ascii="Times New Roman" w:hAnsi="Times New Roman" w:cs="Times New Roman"/>
                <w:szCs w:val="21"/>
                <w:highlight w:val="none"/>
                <w:lang w:val="en-US" w:eastAsia="zh-CN"/>
              </w:rPr>
              <w:t>1</w:t>
            </w:r>
          </w:p>
        </w:tc>
        <w:tc>
          <w:tcPr>
            <w:tcW w:w="885" w:type="pct"/>
            <w:vMerge w:val="continue"/>
            <w:shd w:val="clear" w:color="auto" w:fill="auto"/>
            <w:vAlign w:val="center"/>
          </w:tcPr>
          <w:p>
            <w:pPr>
              <w:jc w:val="center"/>
              <w:rPr>
                <w:rFonts w:hint="default" w:ascii="Times New Roman" w:hAnsi="Times New Roman" w:cs="Times New Roman"/>
                <w:szCs w:val="21"/>
                <w:highlight w:val="none"/>
              </w:rPr>
            </w:pPr>
          </w:p>
        </w:tc>
        <w:tc>
          <w:tcPr>
            <w:tcW w:w="117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沼气流量计</w:t>
            </w:r>
          </w:p>
        </w:tc>
        <w:tc>
          <w:tcPr>
            <w:tcW w:w="1236"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56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3台</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1</w:t>
            </w:r>
            <w:r>
              <w:rPr>
                <w:rFonts w:hint="eastAsia" w:ascii="Times New Roman" w:hAnsi="Times New Roman" w:cs="Times New Roman"/>
                <w:szCs w:val="21"/>
                <w:highlight w:val="none"/>
                <w:lang w:val="en-US" w:eastAsia="zh-CN"/>
              </w:rPr>
              <w:t>2</w:t>
            </w:r>
          </w:p>
        </w:tc>
        <w:tc>
          <w:tcPr>
            <w:tcW w:w="885" w:type="pct"/>
            <w:shd w:val="clear" w:color="auto" w:fill="auto"/>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供热</w:t>
            </w:r>
          </w:p>
        </w:tc>
        <w:tc>
          <w:tcPr>
            <w:tcW w:w="1175" w:type="pct"/>
            <w:shd w:val="clear" w:color="auto" w:fill="auto"/>
            <w:vAlign w:val="center"/>
          </w:tcPr>
          <w:p>
            <w:pPr>
              <w:jc w:val="center"/>
              <w:rPr>
                <w:rFonts w:hint="default" w:ascii="Times New Roman" w:hAnsi="Times New Roman" w:eastAsia="宋体" w:cs="Times New Roman"/>
                <w:szCs w:val="21"/>
                <w:highlight w:val="none"/>
                <w:lang w:eastAsia="zh-CN"/>
              </w:rPr>
            </w:pPr>
            <w:r>
              <w:rPr>
                <w:rFonts w:hint="eastAsia" w:ascii="Times New Roman" w:hAnsi="Times New Roman" w:cs="Times New Roman"/>
                <w:szCs w:val="21"/>
                <w:highlight w:val="none"/>
                <w:lang w:val="en-US" w:eastAsia="zh-CN"/>
              </w:rPr>
              <w:t>沼气</w:t>
            </w:r>
            <w:r>
              <w:rPr>
                <w:rFonts w:hint="default" w:ascii="Times New Roman" w:hAnsi="Times New Roman" w:cs="Times New Roman"/>
                <w:szCs w:val="21"/>
                <w:highlight w:val="none"/>
                <w:lang w:eastAsia="zh-CN"/>
              </w:rPr>
              <w:t>锅炉</w:t>
            </w:r>
          </w:p>
        </w:tc>
        <w:tc>
          <w:tcPr>
            <w:tcW w:w="1236"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6</w:t>
            </w:r>
            <w:r>
              <w:rPr>
                <w:rFonts w:hint="default" w:ascii="Times New Roman" w:hAnsi="Times New Roman" w:cs="Times New Roman"/>
                <w:szCs w:val="21"/>
                <w:highlight w:val="none"/>
                <w:lang w:val="en-US" w:eastAsia="zh-CN"/>
              </w:rPr>
              <w:t>t/h</w:t>
            </w:r>
          </w:p>
        </w:tc>
        <w:tc>
          <w:tcPr>
            <w:tcW w:w="56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1台</w:t>
            </w:r>
          </w:p>
        </w:tc>
        <w:tc>
          <w:tcPr>
            <w:tcW w:w="695" w:type="pct"/>
            <w:shd w:val="clear" w:color="auto" w:fill="auto"/>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配超低氮燃烧器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13</w:t>
            </w:r>
          </w:p>
        </w:tc>
        <w:tc>
          <w:tcPr>
            <w:tcW w:w="885" w:type="pct"/>
            <w:shd w:val="clear" w:color="auto" w:fill="auto"/>
            <w:vAlign w:val="center"/>
          </w:tcPr>
          <w:p>
            <w:pPr>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供热</w:t>
            </w:r>
          </w:p>
        </w:tc>
        <w:tc>
          <w:tcPr>
            <w:tcW w:w="1175" w:type="pct"/>
            <w:shd w:val="clear" w:color="auto" w:fill="auto"/>
            <w:vAlign w:val="center"/>
          </w:tcPr>
          <w:p>
            <w:pPr>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电</w:t>
            </w:r>
            <w:r>
              <w:rPr>
                <w:rFonts w:hint="default" w:ascii="Times New Roman" w:hAnsi="Times New Roman" w:cs="Times New Roman"/>
                <w:szCs w:val="21"/>
                <w:highlight w:val="none"/>
                <w:lang w:eastAsia="zh-CN"/>
              </w:rPr>
              <w:t>锅炉</w:t>
            </w:r>
          </w:p>
        </w:tc>
        <w:tc>
          <w:tcPr>
            <w:tcW w:w="1236" w:type="pct"/>
            <w:shd w:val="clear" w:color="auto" w:fill="auto"/>
            <w:vAlign w:val="center"/>
          </w:tcPr>
          <w:p>
            <w:pPr>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6</w:t>
            </w:r>
            <w:r>
              <w:rPr>
                <w:rFonts w:hint="default" w:ascii="Times New Roman" w:hAnsi="Times New Roman" w:cs="Times New Roman"/>
                <w:szCs w:val="21"/>
                <w:highlight w:val="none"/>
                <w:lang w:val="en-US" w:eastAsia="zh-CN"/>
              </w:rPr>
              <w:t>t/h</w:t>
            </w:r>
          </w:p>
        </w:tc>
        <w:tc>
          <w:tcPr>
            <w:tcW w:w="569" w:type="pct"/>
            <w:shd w:val="clear" w:color="auto" w:fill="auto"/>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1台</w:t>
            </w:r>
          </w:p>
        </w:tc>
        <w:tc>
          <w:tcPr>
            <w:tcW w:w="695"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14</w:t>
            </w:r>
          </w:p>
        </w:tc>
        <w:tc>
          <w:tcPr>
            <w:tcW w:w="885"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饲料加工设备</w:t>
            </w:r>
          </w:p>
        </w:tc>
        <w:tc>
          <w:tcPr>
            <w:tcW w:w="1175"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破碎筛分设备</w:t>
            </w:r>
          </w:p>
        </w:tc>
        <w:tc>
          <w:tcPr>
            <w:tcW w:w="1236"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w:t>
            </w:r>
          </w:p>
        </w:tc>
        <w:tc>
          <w:tcPr>
            <w:tcW w:w="569" w:type="pct"/>
            <w:shd w:val="clear" w:color="auto" w:fill="auto"/>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1套</w:t>
            </w:r>
          </w:p>
        </w:tc>
        <w:tc>
          <w:tcPr>
            <w:tcW w:w="695" w:type="pct"/>
            <w:shd w:val="clear" w:color="auto" w:fill="auto"/>
            <w:vAlign w:val="center"/>
          </w:tcPr>
          <w:p>
            <w:pPr>
              <w:jc w:val="center"/>
              <w:rPr>
                <w:rFonts w:hint="default" w:ascii="Times New Roman" w:hAnsi="Times New Roman" w:cs="Times New Roman"/>
                <w:szCs w:val="21"/>
                <w:highlight w:val="none"/>
                <w:lang w:eastAsia="zh-CN"/>
              </w:rPr>
            </w:pPr>
            <w:r>
              <w:rPr>
                <w:rFonts w:hint="eastAsia" w:ascii="Times New Roman" w:hAnsi="Times New Roman" w:cs="Times New Roman"/>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lang w:val="en-US" w:eastAsia="zh-CN"/>
              </w:rPr>
              <w:t>15</w:t>
            </w:r>
          </w:p>
        </w:tc>
        <w:tc>
          <w:tcPr>
            <w:tcW w:w="885" w:type="pct"/>
            <w:vMerge w:val="restart"/>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其他</w:t>
            </w:r>
          </w:p>
        </w:tc>
        <w:tc>
          <w:tcPr>
            <w:tcW w:w="117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沼气发电机</w:t>
            </w:r>
          </w:p>
        </w:tc>
        <w:tc>
          <w:tcPr>
            <w:tcW w:w="1236"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3</w:t>
            </w:r>
            <w:r>
              <w:rPr>
                <w:rFonts w:hint="default" w:ascii="Times New Roman" w:hAnsi="Times New Roman" w:cs="Times New Roman"/>
                <w:szCs w:val="21"/>
                <w:highlight w:val="none"/>
              </w:rPr>
              <w:t>00kw，内燃机式</w:t>
            </w:r>
          </w:p>
        </w:tc>
        <w:tc>
          <w:tcPr>
            <w:tcW w:w="569"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1台</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8"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16</w:t>
            </w:r>
          </w:p>
        </w:tc>
        <w:tc>
          <w:tcPr>
            <w:tcW w:w="885" w:type="pct"/>
            <w:vMerge w:val="continue"/>
            <w:shd w:val="clear" w:color="auto" w:fill="auto"/>
            <w:vAlign w:val="center"/>
          </w:tcPr>
          <w:p>
            <w:pPr>
              <w:jc w:val="center"/>
              <w:rPr>
                <w:rFonts w:hint="default" w:ascii="Times New Roman" w:hAnsi="Times New Roman" w:cs="Times New Roman"/>
                <w:szCs w:val="21"/>
                <w:highlight w:val="none"/>
              </w:rPr>
            </w:pPr>
          </w:p>
        </w:tc>
        <w:tc>
          <w:tcPr>
            <w:tcW w:w="1175"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降温水帘</w:t>
            </w:r>
          </w:p>
        </w:tc>
        <w:tc>
          <w:tcPr>
            <w:tcW w:w="1236"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w:t>
            </w:r>
          </w:p>
        </w:tc>
        <w:tc>
          <w:tcPr>
            <w:tcW w:w="569" w:type="pct"/>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31套</w:t>
            </w:r>
          </w:p>
        </w:tc>
        <w:tc>
          <w:tcPr>
            <w:tcW w:w="695" w:type="pc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bl>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45" w:name="_Toc23316"/>
      <w:r>
        <w:rPr>
          <w:rFonts w:hint="default" w:ascii="Times New Roman" w:hAnsi="Times New Roman" w:eastAsia="黑体" w:cs="Times New Roman"/>
          <w:bCs/>
          <w:sz w:val="30"/>
          <w:szCs w:val="30"/>
          <w:highlight w:val="none"/>
        </w:rPr>
        <w:t>2.4 生猪饲养工艺流程</w:t>
      </w:r>
      <w:bookmarkEnd w:id="45"/>
      <w:r>
        <w:rPr>
          <w:rFonts w:hint="default" w:ascii="Times New Roman" w:hAnsi="Times New Roman" w:eastAsia="黑体" w:cs="Times New Roman"/>
          <w:bCs/>
          <w:sz w:val="30"/>
          <w:szCs w:val="30"/>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本项目由秦皇岛市国飞农业科技发展有限公司引进半月龄仔猪（体重约 10kg），经130天左右育肥饲养（体重达到 100kg 以上），生猪出栏，因此本项目饲养工艺仅包括育肥阶段。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本项目年出栏3次，平均饲养期为130天，存栏猪群结构为仔猪三分之一左右，育肥猪三分之二左右。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清粪方式：项目采用干清粪，粪便经刮粪机收集进入储粪池，</w:t>
      </w:r>
      <w:r>
        <w:rPr>
          <w:rFonts w:hint="default" w:ascii="Times New Roman" w:hAnsi="Times New Roman" w:cs="Times New Roman"/>
          <w:sz w:val="24"/>
          <w:szCs w:val="24"/>
          <w:highlight w:val="none"/>
          <w:lang w:eastAsia="zh-CN"/>
        </w:rPr>
        <w:t>粪便中水分经干湿分离机处理后，液体随</w:t>
      </w:r>
      <w:r>
        <w:rPr>
          <w:rFonts w:hint="default" w:ascii="Times New Roman" w:hAnsi="Times New Roman" w:cs="Times New Roman"/>
          <w:sz w:val="24"/>
          <w:szCs w:val="24"/>
          <w:highlight w:val="none"/>
        </w:rPr>
        <w:t>尿液及</w:t>
      </w:r>
      <w:r>
        <w:rPr>
          <w:rFonts w:hint="eastAsia" w:ascii="Times New Roman" w:hAnsi="Times New Roman" w:cs="Times New Roman"/>
          <w:sz w:val="24"/>
          <w:szCs w:val="24"/>
          <w:highlight w:val="none"/>
          <w:lang w:val="en-US" w:eastAsia="zh-CN"/>
        </w:rPr>
        <w:t>猪舍冲洗</w:t>
      </w:r>
      <w:r>
        <w:rPr>
          <w:rFonts w:hint="default" w:ascii="Times New Roman" w:hAnsi="Times New Roman" w:cs="Times New Roman"/>
          <w:sz w:val="24"/>
          <w:szCs w:val="24"/>
          <w:highlight w:val="none"/>
          <w:lang w:eastAsia="zh-CN"/>
        </w:rPr>
        <w:t>废水，</w:t>
      </w:r>
      <w:r>
        <w:rPr>
          <w:rFonts w:hint="default" w:ascii="Times New Roman" w:hAnsi="Times New Roman" w:cs="Times New Roman"/>
          <w:sz w:val="24"/>
          <w:szCs w:val="24"/>
          <w:highlight w:val="none"/>
        </w:rPr>
        <w:t>采用排水暗沟进入</w:t>
      </w:r>
      <w:r>
        <w:rPr>
          <w:rFonts w:hint="default" w:ascii="Times New Roman" w:hAnsi="Times New Roman" w:cs="Times New Roman"/>
          <w:sz w:val="24"/>
          <w:szCs w:val="24"/>
          <w:highlight w:val="none"/>
          <w:lang w:eastAsia="zh-CN"/>
        </w:rPr>
        <w:t>黑膜沼气池</w:t>
      </w:r>
      <w:r>
        <w:rPr>
          <w:rFonts w:hint="default" w:ascii="Times New Roman" w:hAnsi="Times New Roman" w:cs="Times New Roman"/>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消毒措施：项目猪舍在每批猪出栏或转舍后进行一次消毒，消毒剂采用次氯酸钠溶液，采用喷雾器均匀喷洒消毒。次氯酸钠消毒液为环保消毒液，无有毒物质残留。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防疫：项目每头猪出栏前需注射3次防疫针，防疫工作及病猪医疗诊治工作均由秦皇岛市国飞农业科技发展有限公司专职技术员负责，由当地防疫部门负责监督管理。 </w:t>
      </w:r>
    </w:p>
    <w:p>
      <w:pPr>
        <w:ind w:firstLine="480" w:firstLineChars="20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065145" cy="1133475"/>
            <wp:effectExtent l="0" t="0" r="0" b="0"/>
            <wp:docPr id="3" name="图片 277" descr="说明: 0650980e2eed439c75b451d9e0258f6"/>
            <wp:cNvGraphicFramePr/>
            <a:graphic xmlns:a="http://schemas.openxmlformats.org/drawingml/2006/main">
              <a:graphicData uri="http://schemas.openxmlformats.org/drawingml/2006/picture">
                <pic:pic xmlns:pic="http://schemas.openxmlformats.org/drawingml/2006/picture">
                  <pic:nvPicPr>
                    <pic:cNvPr id="3" name="图片 277" descr="说明: 0650980e2eed439c75b451d9e0258f6"/>
                    <pic:cNvPicPr/>
                  </pic:nvPicPr>
                  <pic:blipFill>
                    <a:blip r:embed="rId9">
                      <a:extLst>
                        <a:ext uri="{28A0092B-C50C-407E-A947-70E740481C1C}">
                          <a14:useLocalDpi xmlns:a14="http://schemas.microsoft.com/office/drawing/2010/main" val="0"/>
                        </a:ext>
                      </a:extLst>
                    </a:blip>
                    <a:srcRect/>
                    <a:stretch>
                      <a:fillRect/>
                    </a:stretch>
                  </pic:blipFill>
                  <pic:spPr>
                    <a:xfrm>
                      <a:off x="0" y="0"/>
                      <a:ext cx="3065145" cy="1133475"/>
                    </a:xfrm>
                    <a:prstGeom prst="rect">
                      <a:avLst/>
                    </a:prstGeom>
                    <a:noFill/>
                    <a:ln>
                      <a:noFill/>
                    </a:ln>
                  </pic:spPr>
                </pic:pic>
              </a:graphicData>
            </a:graphic>
          </wp:inline>
        </w:drawing>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图2-1 项目养殖周期图及产污节点图</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46" w:name="_Toc5429"/>
      <w:r>
        <w:rPr>
          <w:rFonts w:hint="default" w:ascii="Times New Roman" w:hAnsi="Times New Roman" w:eastAsia="黑体" w:cs="Times New Roman"/>
          <w:bCs/>
          <w:sz w:val="30"/>
          <w:szCs w:val="30"/>
          <w:highlight w:val="none"/>
        </w:rPr>
        <w:t>2.5 工艺流程</w:t>
      </w:r>
      <w:bookmarkEnd w:id="46"/>
      <w:r>
        <w:rPr>
          <w:rFonts w:hint="default" w:ascii="Times New Roman" w:hAnsi="Times New Roman" w:eastAsia="黑体" w:cs="Times New Roman"/>
          <w:bCs/>
          <w:sz w:val="30"/>
          <w:szCs w:val="30"/>
          <w:highlight w:val="none"/>
        </w:rPr>
        <w:t xml:space="preserve"> </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object>
          <v:shape id="_x0000_i1025" o:spt="75" type="#_x0000_t75" style="height:315pt;width:415.3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图2-2 项目</w:t>
      </w:r>
      <w:r>
        <w:rPr>
          <w:rFonts w:hint="eastAsia" w:eastAsia="黑体" w:cs="Times New Roman"/>
          <w:b w:val="0"/>
          <w:kern w:val="2"/>
          <w:sz w:val="24"/>
          <w:szCs w:val="22"/>
          <w:highlight w:val="none"/>
          <w:lang w:val="en-US" w:eastAsia="zh-CN" w:bidi="ar-SA"/>
        </w:rPr>
        <w:t>污染治理流程</w: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pict>
          <v:shape id="_x0000_s4098" o:spid="_x0000_s4098" o:spt="75" type="#_x0000_t75" style="position:absolute;left:0pt;margin-left:-8.8pt;margin-top:-30.35pt;height:142.3pt;width:415.15pt;mso-wrap-distance-bottom:0pt;mso-wrap-distance-top:0pt;z-index:251664384;mso-width-relative:page;mso-height-relative:page;" o:ole="t" filled="f" o:preferrelative="t" stroked="f" coordsize="21600,21600">
            <v:path/>
            <v:fill on="f" focussize="0,0"/>
            <v:stroke on="f"/>
            <v:imagedata r:id="rId13" o:title=""/>
            <o:lock v:ext="edit" aspectratio="f"/>
            <w10:wrap type="topAndBottom"/>
          </v:shape>
          <o:OLEObject Type="Embed" ProgID="Visio.Drawing.11" ShapeID="_x0000_s4098" DrawAspect="Content" ObjectID="_1468075726" r:id="rId12">
            <o:LockedField>false</o:LockedField>
          </o:OLEObject>
        </w:pict>
      </w:r>
      <w:r>
        <w:rPr>
          <w:rFonts w:hint="default" w:ascii="Times New Roman" w:hAnsi="Times New Roman" w:eastAsia="黑体" w:cs="Times New Roman"/>
          <w:b w:val="0"/>
          <w:kern w:val="2"/>
          <w:sz w:val="24"/>
          <w:szCs w:val="22"/>
          <w:highlight w:val="none"/>
          <w:lang w:val="en-US" w:eastAsia="zh-CN" w:bidi="ar-SA"/>
        </w:rPr>
        <w:t>图2-</w:t>
      </w:r>
      <w:r>
        <w:rPr>
          <w:rFonts w:hint="eastAsia" w:eastAsia="黑体" w:cs="Times New Roman"/>
          <w:b w:val="0"/>
          <w:kern w:val="2"/>
          <w:sz w:val="24"/>
          <w:szCs w:val="22"/>
          <w:highlight w:val="none"/>
          <w:lang w:val="en-US" w:eastAsia="zh-CN" w:bidi="ar-SA"/>
        </w:rPr>
        <w:t>3</w:t>
      </w:r>
      <w:r>
        <w:rPr>
          <w:rFonts w:hint="default" w:ascii="Times New Roman" w:hAnsi="Times New Roman" w:eastAsia="黑体" w:cs="Times New Roman"/>
          <w:b w:val="0"/>
          <w:kern w:val="2"/>
          <w:sz w:val="24"/>
          <w:szCs w:val="22"/>
          <w:highlight w:val="none"/>
          <w:lang w:val="en-US" w:eastAsia="zh-CN" w:bidi="ar-SA"/>
        </w:rPr>
        <w:t xml:space="preserve"> </w:t>
      </w:r>
      <w:r>
        <w:rPr>
          <w:rFonts w:hint="eastAsia" w:eastAsia="黑体" w:cs="Times New Roman"/>
          <w:b w:val="0"/>
          <w:kern w:val="2"/>
          <w:sz w:val="24"/>
          <w:szCs w:val="22"/>
          <w:highlight w:val="none"/>
          <w:lang w:val="en-US" w:eastAsia="zh-CN" w:bidi="ar-SA"/>
        </w:rPr>
        <w:t>饲料加工流程</w:t>
      </w:r>
      <w:r>
        <w:rPr>
          <w:rFonts w:hint="default" w:ascii="Times New Roman" w:hAnsi="Times New Roman" w:eastAsia="黑体" w:cs="Times New Roman"/>
          <w:b w:val="0"/>
          <w:kern w:val="2"/>
          <w:sz w:val="24"/>
          <w:szCs w:val="22"/>
          <w:highlight w:val="none"/>
          <w:lang w:val="en-US" w:eastAsia="zh-CN" w:bidi="ar-SA"/>
        </w:rPr>
        <w:t>产污节点图</w: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p>
    <w:p>
      <w:pPr>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br w:type="page"/>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2.5.1 废水处理及资源化工艺流程及原理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green"/>
        </w:rPr>
        <w:t>生活废水</w:t>
      </w:r>
      <w:r>
        <w:rPr>
          <w:rFonts w:hint="eastAsia" w:ascii="Times New Roman" w:hAnsi="Times New Roman" w:cs="Times New Roman"/>
          <w:sz w:val="24"/>
          <w:szCs w:val="24"/>
          <w:highlight w:val="green"/>
          <w:lang w:eastAsia="zh-CN"/>
        </w:rPr>
        <w:t>、</w:t>
      </w:r>
      <w:r>
        <w:rPr>
          <w:rFonts w:hint="default" w:ascii="Times New Roman" w:hAnsi="Times New Roman" w:eastAsia="宋体" w:cs="Times New Roman"/>
          <w:sz w:val="24"/>
          <w:szCs w:val="24"/>
          <w:highlight w:val="green"/>
          <w:lang w:eastAsia="zh-CN"/>
        </w:rPr>
        <w:t>经隔油后的餐饮废水，与猪尿、猪舍冲洗废水、猪粪干湿分离废液</w:t>
      </w:r>
      <w:r>
        <w:rPr>
          <w:rFonts w:hint="eastAsia" w:ascii="Times New Roman" w:hAnsi="Times New Roman" w:cs="Times New Roman"/>
          <w:sz w:val="24"/>
          <w:szCs w:val="24"/>
          <w:highlight w:val="green"/>
          <w:lang w:val="en-US" w:eastAsia="zh-CN"/>
        </w:rPr>
        <w:t>和粪便发酵渗滤液</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eastAsia="zh-CN"/>
        </w:rPr>
        <w:t>一并</w:t>
      </w:r>
      <w:r>
        <w:rPr>
          <w:rFonts w:hint="default" w:ascii="Times New Roman" w:hAnsi="Times New Roman" w:eastAsia="宋体" w:cs="Times New Roman"/>
          <w:sz w:val="24"/>
          <w:szCs w:val="24"/>
          <w:highlight w:val="none"/>
        </w:rPr>
        <w:t>泵入黑膜沼气池进行</w:t>
      </w:r>
      <w:r>
        <w:rPr>
          <w:rFonts w:hint="default" w:ascii="Times New Roman" w:hAnsi="Times New Roman" w:eastAsia="宋体" w:cs="Times New Roman"/>
          <w:sz w:val="24"/>
          <w:szCs w:val="24"/>
          <w:highlight w:val="green"/>
        </w:rPr>
        <w:t>中温厌氧消化</w:t>
      </w:r>
      <w:r>
        <w:rPr>
          <w:rFonts w:hint="default" w:ascii="Times New Roman" w:hAnsi="Times New Roman" w:eastAsia="宋体" w:cs="Times New Roman"/>
          <w:sz w:val="24"/>
          <w:szCs w:val="24"/>
          <w:highlight w:val="none"/>
        </w:rPr>
        <w:t xml:space="preserve">并产生沼气。反应后的料液经固液分离后沼液和沼渣全部用作农肥。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黑膜沼气池为地下式，采用粘土夯实打底，上铺1.5mm 厚高密度聚乙烯膜，沼气池顶部配套设置柔性</w:t>
      </w:r>
      <w:r>
        <w:rPr>
          <w:rFonts w:hint="default" w:ascii="Times New Roman" w:hAnsi="Times New Roman" w:eastAsia="宋体" w:cs="Times New Roman"/>
          <w:sz w:val="24"/>
          <w:szCs w:val="24"/>
          <w:highlight w:val="green"/>
        </w:rPr>
        <w:t>双层膜干式气柜</w:t>
      </w:r>
      <w:r>
        <w:rPr>
          <w:rFonts w:hint="default" w:ascii="Times New Roman" w:hAnsi="Times New Roman" w:eastAsia="宋体" w:cs="Times New Roman"/>
          <w:sz w:val="24"/>
          <w:szCs w:val="24"/>
          <w:highlight w:val="none"/>
        </w:rPr>
        <w:t>。气柜由内、外双层膜组成，两层膜之间气密，气柜设有防爆鼓风机，能够自动按要求调节气体的进出量，以保持存储器内气压的稳定，同时在恶劣天气条件下保护外层膜。本项目</w:t>
      </w:r>
      <w:r>
        <w:rPr>
          <w:rFonts w:hint="default" w:ascii="Times New Roman" w:hAnsi="Times New Roman" w:eastAsia="宋体" w:cs="Times New Roman"/>
          <w:sz w:val="24"/>
          <w:szCs w:val="24"/>
          <w:highlight w:val="green"/>
        </w:rPr>
        <w:t>沼液池</w:t>
      </w:r>
      <w:r>
        <w:rPr>
          <w:rFonts w:hint="default" w:ascii="Times New Roman" w:hAnsi="Times New Roman" w:eastAsia="宋体" w:cs="Times New Roman"/>
          <w:sz w:val="24"/>
          <w:szCs w:val="24"/>
          <w:highlight w:val="none"/>
        </w:rPr>
        <w:t>为全地下结构，最大埋深</w:t>
      </w:r>
      <w:r>
        <w:rPr>
          <w:rFonts w:hint="eastAsia"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 xml:space="preserve">m，可充分利用地层自保温，不再单独设置保温系统。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该工序主要工艺技术参数：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发酵料液浓度：8%；水力滞留期：15～20d；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sz w:val="24"/>
          <w:szCs w:val="24"/>
          <w:highlight w:val="none"/>
        </w:rPr>
        <w:t>发酵温度：35℃；发酵物 pH 值：7～7.5；物料适宜碳氮比：15～25。</w:t>
      </w:r>
      <w:r>
        <w:rPr>
          <w:rFonts w:hint="default" w:ascii="Times New Roman" w:hAnsi="Times New Roman" w:eastAsia="宋体" w:cs="Times New Roman"/>
          <w:b/>
          <w:bCs/>
          <w:sz w:val="24"/>
          <w:szCs w:val="24"/>
          <w:highlight w:val="none"/>
        </w:rPr>
        <w:t xml:space="preserve"> </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2.5.2 粪便处理及资源化工艺流程及原理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eastAsia" w:ascii="Times New Roman" w:hAnsi="Times New Roman" w:cs="Times New Roman"/>
          <w:sz w:val="24"/>
          <w:szCs w:val="24"/>
          <w:highlight w:val="none"/>
          <w:lang w:val="en-US" w:eastAsia="zh-CN"/>
        </w:rPr>
        <w:t>经干湿分离后的</w:t>
      </w:r>
      <w:r>
        <w:rPr>
          <w:rFonts w:hint="default" w:ascii="Times New Roman" w:hAnsi="Times New Roman" w:eastAsia="宋体" w:cs="Times New Roman"/>
          <w:sz w:val="24"/>
          <w:szCs w:val="24"/>
          <w:highlight w:val="none"/>
        </w:rPr>
        <w:t>粪便</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highlight w:val="none"/>
          <w:lang w:val="en-US" w:eastAsia="zh-CN"/>
        </w:rPr>
        <w:t>储粪池（同时进行</w:t>
      </w:r>
      <w:r>
        <w:rPr>
          <w:rFonts w:hint="default" w:ascii="Times New Roman" w:hAnsi="Times New Roman" w:eastAsia="宋体" w:cs="Times New Roman"/>
          <w:sz w:val="24"/>
          <w:szCs w:val="24"/>
          <w:highlight w:val="none"/>
        </w:rPr>
        <w:t>无害化处理</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rPr>
        <w:t xml:space="preserve">加入菌种进行常温厌氧发酵，其技术是根据生物学的特性，综合利用粪便和添加物料中的微生物，进行厌氧发酵，使粪便腐熟，同时杀死禽粪便中的病原菌、病毒、虫卵、寄生虫及其它有害元素，将有机物转变为肥料。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项目粪便常温厌氧发酵时间为20d，发酵过程无需翻抛，经厌氧发酵后粪便蛔虫卵死亡率≥95％，蛔虫卵沉降率≥95%，粪大肠菌群数≤105个/kg，无沙门氏菌检出。经无害化处理后的粪便满足《畜禽养殖业污染物排放标准》（GB18596－2001）表6畜禽养殖业废渣无害化环境标准及《粪便无害化卫生要求》（GB7959-2012）标准要求，全部用作农田肥料。粪便发酵过程产生的渗滤液进入沼气池处理。 </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47" w:name="_Toc5202"/>
      <w:r>
        <w:rPr>
          <w:rFonts w:hint="default" w:ascii="Times New Roman" w:hAnsi="Times New Roman" w:eastAsia="黑体" w:cs="Times New Roman"/>
          <w:bCs/>
          <w:sz w:val="30"/>
          <w:szCs w:val="30"/>
          <w:highlight w:val="none"/>
        </w:rPr>
        <w:t>2.6 水平衡分析</w:t>
      </w:r>
      <w:bookmarkEnd w:id="47"/>
      <w:r>
        <w:rPr>
          <w:rFonts w:hint="default" w:ascii="Times New Roman" w:hAnsi="Times New Roman" w:eastAsia="黑体" w:cs="Times New Roman"/>
          <w:bCs/>
          <w:sz w:val="30"/>
          <w:szCs w:val="30"/>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项目采取雨污分流制，雨水经雨水沟排出场区。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项目用水主要为养殖用水、生活用水及绿化用水。其中养殖用水包括猪饮用水和猪舍冲洗水。 </w:t>
      </w:r>
    </w:p>
    <w:p>
      <w:pPr>
        <w:spacing w:before="120" w:beforeLines="50" w:after="120" w:afterLines="50"/>
        <w:outlineLvl w:val="2"/>
        <w:rPr>
          <w:rFonts w:hint="default" w:ascii="Times New Roman" w:hAnsi="Times New Roman" w:cs="Times New Roman"/>
          <w:b/>
          <w:bCs/>
          <w:sz w:val="28"/>
          <w:szCs w:val="28"/>
          <w:highlight w:val="none"/>
        </w:rPr>
      </w:pPr>
      <w:r>
        <w:rPr>
          <w:rFonts w:hint="default" w:ascii="Times New Roman" w:hAnsi="Times New Roman" w:eastAsia="黑体" w:cs="Times New Roman"/>
          <w:bCs/>
          <w:sz w:val="28"/>
          <w:szCs w:val="28"/>
          <w:highlight w:val="none"/>
        </w:rPr>
        <w:t xml:space="preserve">2.6.1 养殖用水及废水产生情况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养殖用水包括猪饮用水和猪舍冲洗水。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（1）猪饮用水和猪尿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①饮用水量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根据项目单位提供资料及类比调查可知，猪只夏季和其他季节饮水量不同，仔猪、保育猪和育肥猪的用水量也不同，因此项目按照夏季及其他季节分别计算猪饮用水量。本项目类比秦皇岛市鑫宏源养殖有限公司养殖规模相同，类比《秦皇岛市鑫宏源养殖有限公司年出栏2万头生猪养殖场项目环境影响报告书》中使用的用水定额，项目猪饮用水消耗情况见表2-6。 </w: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表2-6 猪饮用水消耗情况</w:t>
      </w:r>
    </w:p>
    <w:tbl>
      <w:tblPr>
        <w:tblStyle w:val="8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136"/>
        <w:gridCol w:w="1549"/>
        <w:gridCol w:w="1549"/>
        <w:gridCol w:w="1549"/>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pct"/>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类别</w:t>
            </w:r>
          </w:p>
        </w:tc>
        <w:tc>
          <w:tcPr>
            <w:tcW w:w="1858"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夏季</w:t>
            </w:r>
          </w:p>
        </w:tc>
        <w:tc>
          <w:tcPr>
            <w:tcW w:w="1859"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其他季节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vMerge w:val="continue"/>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color w:val="000000"/>
                <w:sz w:val="21"/>
                <w:szCs w:val="21"/>
                <w:u w:val="none"/>
              </w:rPr>
            </w:pP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育肥猪</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保育猪</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育肥猪</w:t>
            </w:r>
          </w:p>
        </w:tc>
        <w:tc>
          <w:tcPr>
            <w:tcW w:w="930"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保育猪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pct"/>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数量</w:t>
            </w:r>
            <w:r>
              <w:rPr>
                <w:rFonts w:hint="eastAsia" w:ascii="Times New Roman" w:hAnsi="Times New Roman" w:cs="Times New Roman"/>
                <w:i w:val="0"/>
                <w:color w:val="000000"/>
                <w:kern w:val="0"/>
                <w:sz w:val="21"/>
                <w:szCs w:val="21"/>
                <w:u w:val="none"/>
                <w:lang w:val="en-US" w:eastAsia="zh-CN" w:bidi="ar"/>
              </w:rPr>
              <w:t>（头）</w:t>
            </w:r>
          </w:p>
        </w:tc>
        <w:tc>
          <w:tcPr>
            <w:tcW w:w="1858"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4000</w:t>
            </w:r>
          </w:p>
        </w:tc>
        <w:tc>
          <w:tcPr>
            <w:tcW w:w="3099" w:type="dxa"/>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pct"/>
            <w:vMerge w:val="continue"/>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color w:val="000000"/>
                <w:sz w:val="21"/>
                <w:szCs w:val="21"/>
                <w:u w:val="none"/>
              </w:rPr>
            </w:pP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25000</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15000</w:t>
            </w:r>
          </w:p>
        </w:tc>
        <w:tc>
          <w:tcPr>
            <w:tcW w:w="1549"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25000</w:t>
            </w:r>
          </w:p>
        </w:tc>
        <w:tc>
          <w:tcPr>
            <w:tcW w:w="1550"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饮水量（L/头·天）</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5.5</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4.3</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w:t>
            </w:r>
          </w:p>
        </w:tc>
        <w:tc>
          <w:tcPr>
            <w:tcW w:w="930"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pct"/>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饮水量（</w:t>
            </w:r>
            <w:r>
              <w:rPr>
                <w:rFonts w:hint="eastAsia" w:ascii="Times New Roman" w:hAnsi="Times New Roman" w:cs="Times New Roman"/>
                <w:i w:val="0"/>
                <w:color w:val="000000"/>
                <w:kern w:val="0"/>
                <w:sz w:val="21"/>
                <w:szCs w:val="21"/>
                <w:u w:val="none"/>
                <w:lang w:val="en-US" w:eastAsia="zh-CN" w:bidi="ar"/>
              </w:rPr>
              <w:t>m³/d</w:t>
            </w:r>
            <w:r>
              <w:rPr>
                <w:rFonts w:hint="default" w:ascii="Times New Roman" w:hAnsi="Times New Roman" w:eastAsia="宋体" w:cs="Times New Roman"/>
                <w:i w:val="0"/>
                <w:color w:val="000000"/>
                <w:kern w:val="0"/>
                <w:sz w:val="21"/>
                <w:szCs w:val="21"/>
                <w:u w:val="none"/>
                <w:lang w:val="en-US" w:eastAsia="zh-CN" w:bidi="ar"/>
              </w:rPr>
              <w:t>）</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137.5</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64.5</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100</w:t>
            </w:r>
          </w:p>
        </w:tc>
        <w:tc>
          <w:tcPr>
            <w:tcW w:w="930"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pct"/>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858"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202</w:t>
            </w:r>
          </w:p>
        </w:tc>
        <w:tc>
          <w:tcPr>
            <w:tcW w:w="1859"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146.5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饮水量（</w:t>
            </w:r>
            <w:r>
              <w:rPr>
                <w:rFonts w:hint="eastAsia" w:ascii="Times New Roman" w:hAnsi="Times New Roman" w:cs="Times New Roman"/>
                <w:i w:val="0"/>
                <w:color w:val="000000"/>
                <w:kern w:val="0"/>
                <w:sz w:val="21"/>
                <w:szCs w:val="21"/>
                <w:u w:val="none"/>
                <w:lang w:val="en-US" w:eastAsia="zh-CN" w:bidi="ar"/>
              </w:rPr>
              <w:t>m³/a</w:t>
            </w:r>
            <w:r>
              <w:rPr>
                <w:rFonts w:hint="default" w:ascii="Times New Roman" w:hAnsi="Times New Roman" w:eastAsia="宋体" w:cs="Times New Roman"/>
                <w:i w:val="0"/>
                <w:color w:val="000000"/>
                <w:kern w:val="0"/>
                <w:sz w:val="21"/>
                <w:szCs w:val="21"/>
                <w:u w:val="none"/>
                <w:lang w:val="en-US" w:eastAsia="zh-CN" w:bidi="ar"/>
              </w:rPr>
              <w:t>）</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16775</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7869</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24300</w:t>
            </w:r>
          </w:p>
        </w:tc>
        <w:tc>
          <w:tcPr>
            <w:tcW w:w="930"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11299.5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小计</w:t>
            </w:r>
          </w:p>
        </w:tc>
        <w:tc>
          <w:tcPr>
            <w:tcW w:w="1858" w:type="pct"/>
            <w:gridSpan w:val="2"/>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sz w:val="21"/>
                <w:szCs w:val="21"/>
                <w:u w:val="none"/>
                <w:lang w:val="en-US" w:eastAsia="zh-CN"/>
              </w:rPr>
              <w:t>24644</w:t>
            </w:r>
          </w:p>
        </w:tc>
        <w:tc>
          <w:tcPr>
            <w:tcW w:w="1859" w:type="pct"/>
            <w:gridSpan w:val="2"/>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eastAsia="宋体" w:cs="Times New Roman"/>
                <w:i w:val="0"/>
                <w:color w:val="000000"/>
                <w:sz w:val="21"/>
                <w:szCs w:val="21"/>
                <w:u w:val="none"/>
                <w:lang w:val="en-US" w:eastAsia="zh-CN"/>
              </w:rPr>
              <w:t>35599.5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合计</w:t>
            </w:r>
          </w:p>
        </w:tc>
        <w:tc>
          <w:tcPr>
            <w:tcW w:w="3718" w:type="pct"/>
            <w:gridSpan w:val="4"/>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eastAsia="宋体" w:cs="Times New Roman"/>
                <w:i w:val="0"/>
                <w:color w:val="000000"/>
                <w:kern w:val="0"/>
                <w:sz w:val="21"/>
                <w:szCs w:val="21"/>
                <w:u w:val="none"/>
                <w:lang w:val="en-US" w:eastAsia="zh-CN" w:bidi="ar"/>
              </w:rPr>
              <w:t>60243.5</w:t>
            </w:r>
          </w:p>
        </w:tc>
      </w:tr>
    </w:tbl>
    <w:p>
      <w:pPr>
        <w:keepNext w:val="0"/>
        <w:keepLines w:val="0"/>
        <w:pageBreakBefore w:val="0"/>
        <w:widowControl w:val="0"/>
        <w:kinsoku/>
        <w:wordWrap/>
        <w:overflowPunct/>
        <w:topLinePunct w:val="0"/>
        <w:autoSpaceDE/>
        <w:autoSpaceDN/>
        <w:bidi w:val="0"/>
        <w:adjustRightInd/>
        <w:snapToGrid/>
        <w:spacing w:before="144" w:beforeLines="50" w:line="360" w:lineRule="auto"/>
        <w:ind w:firstLine="422"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b/>
          <w:bCs/>
          <w:szCs w:val="21"/>
          <w:highlight w:val="none"/>
        </w:rPr>
        <w:t>备注：夏季按照122d，其他季节按照243d计算。</w:t>
      </w:r>
    </w:p>
    <w:p>
      <w:pPr>
        <w:keepNext w:val="0"/>
        <w:keepLines w:val="0"/>
        <w:pageBreakBefore w:val="0"/>
        <w:widowControl w:val="0"/>
        <w:kinsoku/>
        <w:wordWrap/>
        <w:overflowPunct/>
        <w:topLinePunct w:val="0"/>
        <w:autoSpaceDE/>
        <w:autoSpaceDN/>
        <w:bidi w:val="0"/>
        <w:adjustRightInd/>
        <w:snapToGrid/>
        <w:spacing w:before="144" w:beforeLines="50" w:line="360" w:lineRule="auto"/>
        <w:ind w:firstLine="480" w:firstLineChars="200"/>
        <w:textAlignment w:val="auto"/>
        <w:rPr>
          <w:rFonts w:hint="default" w:ascii="Times New Roman" w:hAnsi="Times New Roman" w:cs="Times New Roman"/>
          <w:b/>
          <w:bCs/>
          <w:sz w:val="24"/>
          <w:szCs w:val="24"/>
          <w:highlight w:val="none"/>
        </w:rPr>
      </w:pPr>
      <w:r>
        <w:rPr>
          <w:rFonts w:hint="default" w:ascii="Times New Roman" w:hAnsi="Times New Roman" w:cs="Times New Roman"/>
          <w:sz w:val="24"/>
          <w:szCs w:val="24"/>
          <w:highlight w:val="none"/>
        </w:rPr>
        <w:t>根据上表计算可知，项目夏季猪饮用水量为</w:t>
      </w:r>
      <w:r>
        <w:rPr>
          <w:rFonts w:hint="eastAsia" w:ascii="Times New Roman" w:hAnsi="Times New Roman" w:cs="Times New Roman"/>
          <w:sz w:val="24"/>
          <w:szCs w:val="24"/>
          <w:highlight w:val="none"/>
          <w:lang w:val="en-US" w:eastAsia="zh-CN"/>
        </w:rPr>
        <w:t>202</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/d，其他季节猪饮用水量为</w:t>
      </w:r>
      <w:r>
        <w:rPr>
          <w:rFonts w:hint="eastAsia" w:ascii="Times New Roman" w:hAnsi="Times New Roman" w:cs="Times New Roman"/>
          <w:sz w:val="24"/>
          <w:szCs w:val="24"/>
          <w:highlight w:val="none"/>
          <w:lang w:val="en-US" w:eastAsia="zh-CN"/>
        </w:rPr>
        <w:t>146.5</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/d，项目全年猪饮用水量为</w:t>
      </w:r>
      <w:r>
        <w:rPr>
          <w:rFonts w:hint="eastAsia" w:ascii="Times New Roman" w:hAnsi="Times New Roman" w:cs="Times New Roman"/>
          <w:sz w:val="24"/>
          <w:szCs w:val="24"/>
          <w:highlight w:val="none"/>
          <w:lang w:val="en-US" w:eastAsia="zh-CN"/>
        </w:rPr>
        <w:t>80679.2</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/a。</w:t>
      </w:r>
      <w:r>
        <w:rPr>
          <w:rFonts w:hint="default" w:ascii="Times New Roman" w:hAnsi="Times New Roman" w:cs="Times New Roman"/>
          <w:b/>
          <w:bCs/>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②猪尿量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尿液产生量根据《畜禽养殖污染防治最佳可行技术指南》（征求意见稿），猪尿排泄量计算公式为： </w:t>
      </w:r>
    </w:p>
    <w:p>
      <w:pPr>
        <w:spacing w:line="360" w:lineRule="auto"/>
        <w:ind w:firstLine="480" w:firstLineChars="20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Yu=0.205+0.438W</w:t>
      </w:r>
    </w:p>
    <w:p>
      <w:pPr>
        <w:spacing w:line="360" w:lineRule="auto"/>
        <w:ind w:firstLine="2640" w:firstLineChars="11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式中：Yu—猪尿排泄量，kg； </w:t>
      </w:r>
    </w:p>
    <w:p>
      <w:pPr>
        <w:spacing w:line="360" w:lineRule="auto"/>
        <w:ind w:firstLine="3360" w:firstLineChars="14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W—猪的饮水量，kg。 </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w:t>
      </w:r>
      <w:r>
        <w:rPr>
          <w:rFonts w:hint="eastAsia" w:ascii="Times New Roman" w:hAnsi="Times New Roman" w:cs="Times New Roman"/>
          <w:sz w:val="24"/>
          <w:szCs w:val="24"/>
          <w:highlight w:val="none"/>
          <w:lang w:val="en-US" w:eastAsia="zh-CN"/>
        </w:rPr>
        <w:t>年出栏生猪10万头，平均在栏量为</w:t>
      </w:r>
      <w:r>
        <w:rPr>
          <w:rFonts w:hint="default" w:ascii="Times New Roman" w:hAnsi="Times New Roman" w:cs="Times New Roman"/>
          <w:sz w:val="24"/>
          <w:szCs w:val="24"/>
          <w:highlight w:val="none"/>
        </w:rPr>
        <w:t xml:space="preserve">猪尿产生量见表2-7。 </w: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宋体" w:cs="Times New Roman"/>
          <w:sz w:val="24"/>
          <w:szCs w:val="24"/>
          <w:highlight w:val="none"/>
        </w:rPr>
      </w:pPr>
      <w:r>
        <w:rPr>
          <w:rFonts w:hint="default" w:ascii="Times New Roman" w:hAnsi="Times New Roman" w:eastAsia="黑体" w:cs="Times New Roman"/>
          <w:b w:val="0"/>
          <w:kern w:val="2"/>
          <w:sz w:val="24"/>
          <w:szCs w:val="22"/>
          <w:highlight w:val="none"/>
          <w:lang w:val="en-US" w:eastAsia="zh-CN" w:bidi="ar-SA"/>
        </w:rPr>
        <w:t>表2-7 猪尿产生情况</w:t>
      </w:r>
    </w:p>
    <w:tbl>
      <w:tblPr>
        <w:tblStyle w:val="8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136"/>
        <w:gridCol w:w="1549"/>
        <w:gridCol w:w="1549"/>
        <w:gridCol w:w="1549"/>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类别</w:t>
            </w:r>
          </w:p>
        </w:tc>
        <w:tc>
          <w:tcPr>
            <w:tcW w:w="1858"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夏季</w:t>
            </w:r>
          </w:p>
        </w:tc>
        <w:tc>
          <w:tcPr>
            <w:tcW w:w="1859"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其他季节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vMerge w:val="continue"/>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color w:val="000000"/>
                <w:sz w:val="21"/>
                <w:szCs w:val="21"/>
                <w:u w:val="none"/>
              </w:rPr>
            </w:pP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育肥猪</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保育猪</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育肥猪</w:t>
            </w:r>
          </w:p>
        </w:tc>
        <w:tc>
          <w:tcPr>
            <w:tcW w:w="930"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保育猪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数量（</w:t>
            </w:r>
            <w:r>
              <w:rPr>
                <w:rFonts w:hint="eastAsia" w:ascii="Times New Roman" w:hAnsi="Times New Roman" w:cs="Times New Roman"/>
                <w:i w:val="0"/>
                <w:color w:val="000000"/>
                <w:kern w:val="0"/>
                <w:sz w:val="21"/>
                <w:szCs w:val="21"/>
                <w:u w:val="none"/>
                <w:lang w:val="en-US" w:eastAsia="zh-CN" w:bidi="ar"/>
              </w:rPr>
              <w:t>头</w:t>
            </w:r>
            <w:r>
              <w:rPr>
                <w:rFonts w:hint="default" w:ascii="Times New Roman" w:hAnsi="Times New Roman" w:eastAsia="宋体" w:cs="Times New Roman"/>
                <w:i w:val="0"/>
                <w:color w:val="000000"/>
                <w:kern w:val="0"/>
                <w:sz w:val="21"/>
                <w:szCs w:val="21"/>
                <w:u w:val="none"/>
                <w:lang w:val="en-US" w:eastAsia="zh-CN" w:bidi="ar"/>
              </w:rPr>
              <w:t>）</w:t>
            </w:r>
          </w:p>
        </w:tc>
        <w:tc>
          <w:tcPr>
            <w:tcW w:w="1858"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40000</w:t>
            </w:r>
          </w:p>
        </w:tc>
        <w:tc>
          <w:tcPr>
            <w:tcW w:w="1859"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vMerge w:val="continue"/>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color w:val="000000"/>
                <w:sz w:val="21"/>
                <w:szCs w:val="21"/>
                <w:u w:val="none"/>
              </w:rPr>
            </w:pP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25000</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15000</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25000</w:t>
            </w:r>
          </w:p>
        </w:tc>
        <w:tc>
          <w:tcPr>
            <w:tcW w:w="930"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饮水量（L/头·天）</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2.6</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2.1</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2</w:t>
            </w:r>
          </w:p>
        </w:tc>
        <w:tc>
          <w:tcPr>
            <w:tcW w:w="930"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饮水量（</w:t>
            </w:r>
            <w:r>
              <w:rPr>
                <w:rFonts w:hint="eastAsia" w:ascii="Times New Roman" w:hAnsi="Times New Roman" w:cs="Times New Roman"/>
                <w:i w:val="0"/>
                <w:color w:val="000000"/>
                <w:kern w:val="0"/>
                <w:sz w:val="21"/>
                <w:szCs w:val="21"/>
                <w:u w:val="none"/>
                <w:lang w:val="en-US" w:eastAsia="zh-CN" w:bidi="ar"/>
              </w:rPr>
              <w:t>m³/d</w:t>
            </w:r>
            <w:r>
              <w:rPr>
                <w:rFonts w:hint="default" w:ascii="Times New Roman" w:hAnsi="Times New Roman" w:eastAsia="宋体" w:cs="Times New Roman"/>
                <w:i w:val="0"/>
                <w:color w:val="000000"/>
                <w:kern w:val="0"/>
                <w:sz w:val="21"/>
                <w:szCs w:val="21"/>
                <w:u w:val="none"/>
                <w:lang w:val="en-US" w:eastAsia="zh-CN" w:bidi="ar"/>
              </w:rPr>
              <w:t>）</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65.0</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31.5</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50.0</w:t>
            </w:r>
          </w:p>
        </w:tc>
        <w:tc>
          <w:tcPr>
            <w:tcW w:w="930"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858"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96.5</w:t>
            </w:r>
          </w:p>
        </w:tc>
        <w:tc>
          <w:tcPr>
            <w:tcW w:w="1859" w:type="pct"/>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饮水量（</w:t>
            </w:r>
            <w:r>
              <w:rPr>
                <w:rFonts w:hint="eastAsia" w:ascii="Times New Roman" w:hAnsi="Times New Roman" w:cs="Times New Roman"/>
                <w:i w:val="0"/>
                <w:color w:val="000000"/>
                <w:kern w:val="0"/>
                <w:sz w:val="21"/>
                <w:szCs w:val="21"/>
                <w:u w:val="none"/>
                <w:lang w:val="en-US" w:eastAsia="zh-CN" w:bidi="ar"/>
              </w:rPr>
              <w:t>m³</w:t>
            </w:r>
            <w:r>
              <w:rPr>
                <w:rFonts w:hint="default" w:ascii="Times New Roman" w:hAnsi="Times New Roman" w:eastAsia="宋体" w:cs="Times New Roman"/>
                <w:i w:val="0"/>
                <w:color w:val="000000"/>
                <w:kern w:val="0"/>
                <w:sz w:val="21"/>
                <w:szCs w:val="21"/>
                <w:u w:val="none"/>
                <w:lang w:val="en-US" w:eastAsia="zh-CN" w:bidi="ar"/>
              </w:rPr>
              <w:t>/a）</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7930</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3843</w:t>
            </w:r>
          </w:p>
        </w:tc>
        <w:tc>
          <w:tcPr>
            <w:tcW w:w="929"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12150</w:t>
            </w:r>
          </w:p>
        </w:tc>
        <w:tc>
          <w:tcPr>
            <w:tcW w:w="930"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5832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小计</w:t>
            </w:r>
            <w:r>
              <w:rPr>
                <w:rFonts w:hint="default" w:ascii="Times New Roman" w:hAnsi="Times New Roman" w:eastAsia="宋体" w:cs="Times New Roman"/>
                <w:i w:val="0"/>
                <w:color w:val="000000"/>
                <w:kern w:val="0"/>
                <w:sz w:val="21"/>
                <w:szCs w:val="21"/>
                <w:u w:val="none"/>
                <w:lang w:val="en-US" w:eastAsia="zh-CN" w:bidi="ar"/>
              </w:rPr>
              <w:t>（</w:t>
            </w:r>
            <w:r>
              <w:rPr>
                <w:rFonts w:hint="eastAsia" w:ascii="Times New Roman" w:hAnsi="Times New Roman" w:cs="Times New Roman"/>
                <w:i w:val="0"/>
                <w:color w:val="000000"/>
                <w:kern w:val="0"/>
                <w:sz w:val="21"/>
                <w:szCs w:val="21"/>
                <w:u w:val="none"/>
                <w:lang w:val="en-US" w:eastAsia="zh-CN" w:bidi="ar"/>
              </w:rPr>
              <w:t>m³</w:t>
            </w:r>
            <w:r>
              <w:rPr>
                <w:rFonts w:hint="default" w:ascii="Times New Roman" w:hAnsi="Times New Roman" w:eastAsia="宋体" w:cs="Times New Roman"/>
                <w:i w:val="0"/>
                <w:color w:val="000000"/>
                <w:kern w:val="0"/>
                <w:sz w:val="21"/>
                <w:szCs w:val="21"/>
                <w:u w:val="none"/>
                <w:lang w:val="en-US" w:eastAsia="zh-CN" w:bidi="ar"/>
              </w:rPr>
              <w:t>/a）</w:t>
            </w:r>
          </w:p>
        </w:tc>
        <w:tc>
          <w:tcPr>
            <w:tcW w:w="1858" w:type="pct"/>
            <w:gridSpan w:val="2"/>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11773</w:t>
            </w:r>
          </w:p>
        </w:tc>
        <w:tc>
          <w:tcPr>
            <w:tcW w:w="1859" w:type="pct"/>
            <w:gridSpan w:val="2"/>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17982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281" w:type="pc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合计</w:t>
            </w:r>
            <w:r>
              <w:rPr>
                <w:rFonts w:hint="default" w:ascii="Times New Roman" w:hAnsi="Times New Roman" w:eastAsia="宋体" w:cs="Times New Roman"/>
                <w:i w:val="0"/>
                <w:color w:val="000000"/>
                <w:kern w:val="0"/>
                <w:sz w:val="21"/>
                <w:szCs w:val="21"/>
                <w:u w:val="none"/>
                <w:lang w:val="en-US" w:eastAsia="zh-CN" w:bidi="ar"/>
              </w:rPr>
              <w:t>（</w:t>
            </w:r>
            <w:r>
              <w:rPr>
                <w:rFonts w:hint="eastAsia" w:ascii="Times New Roman" w:hAnsi="Times New Roman" w:cs="Times New Roman"/>
                <w:i w:val="0"/>
                <w:color w:val="000000"/>
                <w:kern w:val="0"/>
                <w:sz w:val="21"/>
                <w:szCs w:val="21"/>
                <w:u w:val="none"/>
                <w:lang w:val="en-US" w:eastAsia="zh-CN" w:bidi="ar"/>
              </w:rPr>
              <w:t>m³</w:t>
            </w:r>
            <w:r>
              <w:rPr>
                <w:rFonts w:hint="default" w:ascii="Times New Roman" w:hAnsi="Times New Roman" w:eastAsia="宋体" w:cs="Times New Roman"/>
                <w:i w:val="0"/>
                <w:color w:val="000000"/>
                <w:kern w:val="0"/>
                <w:sz w:val="21"/>
                <w:szCs w:val="21"/>
                <w:u w:val="none"/>
                <w:lang w:val="en-US" w:eastAsia="zh-CN" w:bidi="ar"/>
              </w:rPr>
              <w:t>/a）</w:t>
            </w:r>
          </w:p>
        </w:tc>
        <w:tc>
          <w:tcPr>
            <w:tcW w:w="3718" w:type="pct"/>
            <w:gridSpan w:val="4"/>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lang w:val="en-US"/>
              </w:rPr>
            </w:pPr>
            <w:r>
              <w:rPr>
                <w:rFonts w:hint="eastAsia"/>
                <w:lang w:val="en-US" w:eastAsia="zh-CN"/>
              </w:rPr>
              <w:t>29755</w:t>
            </w:r>
          </w:p>
        </w:tc>
      </w:tr>
    </w:tbl>
    <w:p>
      <w:pP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备注：夏季按照122d，其他季节按照243d计算。</w:t>
      </w:r>
    </w:p>
    <w:p>
      <w:pPr>
        <w:keepNext w:val="0"/>
        <w:keepLines w:val="0"/>
        <w:pageBreakBefore w:val="0"/>
        <w:widowControl w:val="0"/>
        <w:kinsoku/>
        <w:wordWrap/>
        <w:overflowPunct/>
        <w:topLinePunct w:val="0"/>
        <w:autoSpaceDE/>
        <w:autoSpaceDN/>
        <w:bidi w:val="0"/>
        <w:adjustRightInd/>
        <w:snapToGrid/>
        <w:spacing w:before="144" w:beforeLines="50"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根据计算可知，项目夏季产生的猪尿量为</w:t>
      </w:r>
      <w:r>
        <w:rPr>
          <w:rFonts w:hint="eastAsia" w:ascii="Times New Roman" w:hAnsi="Times New Roman" w:cs="Times New Roman"/>
          <w:sz w:val="24"/>
          <w:szCs w:val="24"/>
          <w:highlight w:val="none"/>
          <w:lang w:val="en-US" w:eastAsia="zh-CN"/>
        </w:rPr>
        <w:t>96.5</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/d，其他季节产生的猪尿量为</w:t>
      </w:r>
      <w:r>
        <w:rPr>
          <w:rFonts w:hint="eastAsia" w:ascii="Times New Roman" w:hAnsi="Times New Roman" w:cs="Times New Roman"/>
          <w:sz w:val="24"/>
          <w:szCs w:val="24"/>
          <w:highlight w:val="none"/>
          <w:lang w:val="en-US" w:eastAsia="zh-CN"/>
        </w:rPr>
        <w:t>74.0</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/d，项目全年产生的猪尿量为</w:t>
      </w:r>
      <w:r>
        <w:rPr>
          <w:rFonts w:hint="eastAsia" w:ascii="Times New Roman" w:hAnsi="Times New Roman" w:cs="Times New Roman"/>
          <w:sz w:val="24"/>
          <w:szCs w:val="24"/>
          <w:highlight w:val="green"/>
          <w:lang w:val="en-US" w:eastAsia="zh-CN"/>
        </w:rPr>
        <w:t>29755</w:t>
      </w:r>
      <w:r>
        <w:rPr>
          <w:rFonts w:hint="default" w:ascii="Times New Roman" w:hAnsi="Times New Roman" w:eastAsia="宋体" w:cs="Times New Roman"/>
          <w:sz w:val="24"/>
          <w:szCs w:val="24"/>
          <w:highlight w:val="green"/>
        </w:rPr>
        <w:t>m</w:t>
      </w:r>
      <w:r>
        <w:rPr>
          <w:rFonts w:hint="default" w:ascii="Times New Roman" w:hAnsi="Times New Roman" w:eastAsia="宋体" w:cs="Times New Roman"/>
          <w:sz w:val="24"/>
          <w:szCs w:val="24"/>
          <w:highlight w:val="green"/>
          <w:vertAlign w:val="superscript"/>
        </w:rPr>
        <w:t>3</w:t>
      </w:r>
      <w:r>
        <w:rPr>
          <w:rFonts w:hint="default" w:ascii="Times New Roman" w:hAnsi="Times New Roman" w:eastAsia="宋体" w:cs="Times New Roman"/>
          <w:sz w:val="24"/>
          <w:szCs w:val="24"/>
          <w:highlight w:val="green"/>
        </w:rPr>
        <w:t>/a。</w:t>
      </w:r>
      <w:r>
        <w:rPr>
          <w:rFonts w:hint="default" w:ascii="Times New Roman" w:hAnsi="Times New Roman" w:eastAsia="宋体" w:cs="Times New Roman"/>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③猪粪携带水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项目猪饮用水除生理消耗、进入猪尿外，有部分水进入粪便。根据《第一次全国污染源普查-畜禽养殖业源产排污系数手册》，育肥猪粪便产生量为1.81kg/头•天，保育猪粪便产生量为1.04kg/头•天，本项目</w:t>
      </w:r>
      <w:r>
        <w:rPr>
          <w:rFonts w:hint="eastAsia" w:ascii="Times New Roman" w:hAnsi="Times New Roman" w:cs="Times New Roman"/>
          <w:sz w:val="24"/>
          <w:szCs w:val="24"/>
          <w:highlight w:val="none"/>
          <w:lang w:val="en-US" w:eastAsia="zh-CN"/>
        </w:rPr>
        <w:t>年</w:t>
      </w:r>
      <w:r>
        <w:rPr>
          <w:rFonts w:hint="default" w:ascii="Times New Roman" w:hAnsi="Times New Roman" w:eastAsia="宋体" w:cs="Times New Roman"/>
          <w:sz w:val="24"/>
          <w:szCs w:val="24"/>
          <w:highlight w:val="none"/>
        </w:rPr>
        <w:t>最大存栏量为</w:t>
      </w:r>
      <w:r>
        <w:rPr>
          <w:rFonts w:hint="eastAsia" w:ascii="Times New Roman" w:hAnsi="Times New Roman" w:cs="Times New Roman"/>
          <w:sz w:val="24"/>
          <w:szCs w:val="24"/>
          <w:highlight w:val="none"/>
          <w:lang w:val="en-US" w:eastAsia="zh-CN"/>
        </w:rPr>
        <w:t>40000</w:t>
      </w:r>
      <w:r>
        <w:rPr>
          <w:rFonts w:hint="default" w:ascii="Times New Roman" w:hAnsi="Times New Roman" w:eastAsia="宋体" w:cs="Times New Roman"/>
          <w:sz w:val="24"/>
          <w:szCs w:val="24"/>
          <w:highlight w:val="none"/>
        </w:rPr>
        <w:t>头</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25000</w:t>
      </w:r>
      <w:r>
        <w:rPr>
          <w:rFonts w:hint="default" w:ascii="Times New Roman" w:hAnsi="Times New Roman" w:eastAsia="宋体" w:cs="Times New Roman"/>
          <w:sz w:val="24"/>
          <w:szCs w:val="24"/>
          <w:highlight w:val="none"/>
        </w:rPr>
        <w:t>头育肥猪，</w:t>
      </w:r>
      <w:r>
        <w:rPr>
          <w:rFonts w:hint="eastAsia" w:ascii="Times New Roman" w:hAnsi="Times New Roman" w:cs="Times New Roman"/>
          <w:sz w:val="24"/>
          <w:szCs w:val="24"/>
          <w:highlight w:val="none"/>
          <w:lang w:val="en-US" w:eastAsia="zh-CN"/>
        </w:rPr>
        <w:t>15000</w:t>
      </w:r>
      <w:r>
        <w:rPr>
          <w:rFonts w:hint="default" w:ascii="Times New Roman" w:hAnsi="Times New Roman" w:eastAsia="宋体" w:cs="Times New Roman"/>
          <w:sz w:val="24"/>
          <w:szCs w:val="24"/>
          <w:highlight w:val="none"/>
        </w:rPr>
        <w:t>头保育猪），则粪便产生量为</w:t>
      </w:r>
      <w:r>
        <w:rPr>
          <w:rFonts w:hint="eastAsia" w:ascii="Times New Roman" w:hAnsi="Times New Roman" w:cs="Times New Roman"/>
          <w:sz w:val="24"/>
          <w:szCs w:val="24"/>
          <w:highlight w:val="none"/>
          <w:lang w:val="en-US" w:eastAsia="zh-CN"/>
        </w:rPr>
        <w:t>60.85t/d（22210.25t/a）</w:t>
      </w:r>
      <w:r>
        <w:rPr>
          <w:rFonts w:hint="default" w:ascii="Times New Roman" w:hAnsi="Times New Roman" w:eastAsia="宋体" w:cs="Times New Roman"/>
          <w:sz w:val="24"/>
          <w:szCs w:val="24"/>
          <w:highlight w:val="none"/>
        </w:rPr>
        <w:t>，粪便含水率为</w:t>
      </w:r>
      <w:r>
        <w:rPr>
          <w:rFonts w:hint="eastAsia" w:ascii="Times New Roman" w:hAnsi="Times New Roman" w:cs="Times New Roman"/>
          <w:sz w:val="24"/>
          <w:szCs w:val="24"/>
          <w:highlight w:val="none"/>
          <w:lang w:val="en-US" w:eastAsia="zh-CN"/>
        </w:rPr>
        <w:t>6</w:t>
      </w:r>
      <w:r>
        <w:rPr>
          <w:rFonts w:hint="default" w:ascii="Times New Roman" w:hAnsi="Times New Roman" w:eastAsia="宋体" w:cs="Times New Roman"/>
          <w:sz w:val="24"/>
          <w:szCs w:val="24"/>
          <w:highlight w:val="none"/>
        </w:rPr>
        <w:t>0%左右，</w:t>
      </w:r>
      <w:r>
        <w:rPr>
          <w:rFonts w:hint="eastAsia" w:ascii="Times New Roman" w:hAnsi="Times New Roman" w:cs="Times New Roman"/>
          <w:sz w:val="24"/>
          <w:szCs w:val="24"/>
          <w:highlight w:val="none"/>
          <w:lang w:val="en-US" w:eastAsia="zh-CN"/>
        </w:rPr>
        <w:t>经干湿分离后含水率约40%，脱水后粪便40.57t/d（14806.8t/a），发酵后农用；分离液体20.28t/d（7402.2t/a）进入黑膜沼气池</w:t>
      </w:r>
      <w:r>
        <w:rPr>
          <w:rFonts w:hint="default" w:ascii="Times New Roman" w:hAnsi="Times New Roman" w:eastAsia="宋体"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（2）猪舍冲洗水及冲洗废水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猪舍采用节水型冲洗设备，项目采用干清粪工艺，每天冲洗猪舍1次，猪舍 冲洗用水量为1L/（m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•次）猪舍面积共34875m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，猪舍冲洗水用量为34.88m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 （12731.2m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w:t>
      </w:r>
    </w:p>
    <w:p>
      <w:pPr>
        <w:spacing w:before="120" w:beforeLines="50" w:after="120" w:afterLines="50"/>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2.6.2 生活用水及废水产生情况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本项目员工共</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0人，采用三班制。项目位于北方农村地区，厂区内不设宿舍，职工生活采用旱厕，生活用水主要为饮用水与少量盥洗水，类比秦皇岛市鑫宏源养殖有限公司年出栏2万头生猪养殖场项目，每人每天生活用水消耗量为30L，总生活用水量为</w:t>
      </w:r>
      <w:r>
        <w:rPr>
          <w:rFonts w:hint="default" w:ascii="Times New Roman" w:hAnsi="Times New Roman" w:eastAsia="宋体" w:cs="Times New Roman"/>
          <w:sz w:val="24"/>
          <w:szCs w:val="24"/>
          <w:highlight w:val="none"/>
          <w:lang w:val="en-US" w:eastAsia="zh-CN"/>
        </w:rPr>
        <w:t>0.6</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w:t>
      </w:r>
      <w:r>
        <w:rPr>
          <w:rFonts w:hint="default" w:ascii="Times New Roman" w:hAnsi="Times New Roman" w:eastAsia="宋体" w:cs="Times New Roman"/>
          <w:sz w:val="24"/>
          <w:szCs w:val="24"/>
          <w:highlight w:val="none"/>
          <w:lang w:val="en-US" w:eastAsia="zh-CN"/>
        </w:rPr>
        <w:t>219</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/a），生活废水产生量为</w:t>
      </w:r>
      <w:r>
        <w:rPr>
          <w:rFonts w:hint="default" w:ascii="Times New Roman" w:hAnsi="Times New Roman" w:eastAsia="宋体" w:cs="Times New Roman"/>
          <w:sz w:val="24"/>
          <w:szCs w:val="24"/>
          <w:highlight w:val="none"/>
          <w:lang w:val="en-US" w:eastAsia="zh-CN"/>
        </w:rPr>
        <w:t>0.48</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w:t>
      </w:r>
      <w:r>
        <w:rPr>
          <w:rFonts w:hint="default" w:ascii="Times New Roman" w:hAnsi="Times New Roman" w:eastAsia="宋体" w:cs="Times New Roman"/>
          <w:sz w:val="24"/>
          <w:szCs w:val="24"/>
          <w:highlight w:val="none"/>
          <w:lang w:val="en-US" w:eastAsia="zh-CN"/>
        </w:rPr>
        <w:t>175.2</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为方便职工生活，养殖场内建设食堂一座，每日用水量</w:t>
      </w:r>
      <w:r>
        <w:rPr>
          <w:rFonts w:hint="default"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/d，废水产生量按80%计算，则废水产生量为</w:t>
      </w:r>
      <w:r>
        <w:rPr>
          <w:rFonts w:hint="default" w:ascii="Times New Roman" w:hAnsi="Times New Roman" w:eastAsia="宋体" w:cs="Times New Roman"/>
          <w:sz w:val="24"/>
          <w:szCs w:val="24"/>
          <w:highlight w:val="none"/>
          <w:lang w:val="en-US" w:eastAsia="zh-CN"/>
        </w:rPr>
        <w:t>0.8</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/d，经隔油处理后排入</w:t>
      </w:r>
      <w:r>
        <w:rPr>
          <w:rFonts w:hint="default" w:ascii="Times New Roman" w:hAnsi="Times New Roman" w:eastAsia="宋体" w:cs="Times New Roman"/>
          <w:sz w:val="24"/>
          <w:szCs w:val="24"/>
          <w:highlight w:val="none"/>
          <w:lang w:val="en-US" w:eastAsia="zh-CN"/>
        </w:rPr>
        <w:t>黑膜沼液池</w:t>
      </w:r>
      <w:r>
        <w:rPr>
          <w:rFonts w:hint="default" w:ascii="Times New Roman" w:hAnsi="Times New Roman" w:eastAsia="宋体" w:cs="Times New Roman"/>
          <w:sz w:val="24"/>
          <w:szCs w:val="24"/>
          <w:highlight w:val="none"/>
        </w:rPr>
        <w:t xml:space="preserve">进行处理。 </w:t>
      </w:r>
    </w:p>
    <w:p>
      <w:pPr>
        <w:spacing w:before="120" w:beforeLines="50" w:after="120" w:afterLines="50"/>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2.6.3 绿化用水情况 </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本项目场区周围总绿化面积4209m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，绿化用水指标按照0.6m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 xml:space="preserve"> ·a，绿化季（按243天计算）绿化用水10.3</w:t>
      </w:r>
      <w:r>
        <w:rPr>
          <w:rFonts w:hint="eastAsia" w:ascii="Times New Roman" w:hAnsi="Times New Roman" w:cs="Times New Roman"/>
          <w:sz w:val="24"/>
          <w:szCs w:val="24"/>
          <w:highlight w:val="none"/>
          <w:lang w:val="en-US" w:eastAsia="zh-CN"/>
        </w:rPr>
        <w:t>9</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/d，秋冬季无绿化用水，则绿化用水量为 2525.4m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 xml:space="preserve">/a。绿化用水全部蒸发或被植物吸收。 </w:t>
      </w:r>
    </w:p>
    <w:p>
      <w:pPr>
        <w:spacing w:before="120" w:beforeLines="50" w:after="120" w:afterLines="50"/>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2.6.4 总水资源消耗及水平衡分析 </w:t>
      </w:r>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夏季猪舍降温水帘用水，水帘降温用水仅夏季使用（约122天），重复利用，定期补水。补水量约</w:t>
      </w:r>
      <w:r>
        <w:rPr>
          <w:rFonts w:hint="eastAsia"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m³/d，共计</w:t>
      </w:r>
      <w:r>
        <w:rPr>
          <w:rFonts w:hint="eastAsia" w:ascii="Times New Roman" w:hAnsi="Times New Roman" w:cs="Times New Roman"/>
          <w:sz w:val="24"/>
          <w:szCs w:val="24"/>
          <w:highlight w:val="none"/>
          <w:lang w:val="en-US" w:eastAsia="zh-CN"/>
        </w:rPr>
        <w:t>610</w:t>
      </w:r>
      <w:r>
        <w:rPr>
          <w:rFonts w:hint="default" w:ascii="Times New Roman" w:hAnsi="Times New Roman" w:eastAsia="宋体" w:cs="Times New Roman"/>
          <w:sz w:val="24"/>
          <w:szCs w:val="24"/>
          <w:highlight w:val="none"/>
          <w:lang w:val="en-US" w:eastAsia="zh-CN"/>
        </w:rPr>
        <w:t>m³/a。</w:t>
      </w:r>
    </w:p>
    <w:p>
      <w:pPr>
        <w:spacing w:before="120" w:beforeLines="50" w:after="120" w:afterLines="50"/>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2.6.</w:t>
      </w:r>
      <w:r>
        <w:rPr>
          <w:rFonts w:hint="default" w:ascii="Times New Roman" w:hAnsi="Times New Roman" w:eastAsia="黑体" w:cs="Times New Roman"/>
          <w:bCs/>
          <w:sz w:val="28"/>
          <w:szCs w:val="28"/>
          <w:highlight w:val="none"/>
          <w:lang w:val="en-US" w:eastAsia="zh-CN"/>
        </w:rPr>
        <w:t>5</w:t>
      </w:r>
      <w:r>
        <w:rPr>
          <w:rFonts w:hint="default" w:ascii="Times New Roman" w:hAnsi="Times New Roman" w:eastAsia="黑体" w:cs="Times New Roman"/>
          <w:bCs/>
          <w:sz w:val="28"/>
          <w:szCs w:val="28"/>
          <w:highlight w:val="none"/>
        </w:rPr>
        <w:t xml:space="preserve"> 总水资源消耗及水平衡分析 </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综上所述，项目总用水量为</w:t>
      </w:r>
      <w:r>
        <w:rPr>
          <w:rFonts w:hint="default" w:ascii="Times New Roman" w:hAnsi="Times New Roman" w:eastAsia="宋体" w:cs="Times New Roman"/>
          <w:sz w:val="24"/>
          <w:szCs w:val="24"/>
          <w:highlight w:val="green"/>
        </w:rPr>
        <w:t>74036.03m</w:t>
      </w:r>
      <w:r>
        <w:rPr>
          <w:rFonts w:hint="default" w:ascii="Times New Roman" w:hAnsi="Times New Roman" w:eastAsia="宋体" w:cs="Times New Roman"/>
          <w:sz w:val="24"/>
          <w:szCs w:val="24"/>
          <w:highlight w:val="green"/>
          <w:vertAlign w:val="superscript"/>
        </w:rPr>
        <w:t>3</w:t>
      </w:r>
      <w:r>
        <w:rPr>
          <w:rFonts w:hint="default" w:ascii="Times New Roman" w:hAnsi="Times New Roman" w:eastAsia="宋体" w:cs="Times New Roman"/>
          <w:sz w:val="24"/>
          <w:szCs w:val="24"/>
          <w:highlight w:val="green"/>
        </w:rPr>
        <w:t>/a，消耗量为24151.28m</w:t>
      </w:r>
      <w:r>
        <w:rPr>
          <w:rFonts w:hint="default" w:ascii="Times New Roman" w:hAnsi="Times New Roman" w:eastAsia="宋体" w:cs="Times New Roman"/>
          <w:sz w:val="24"/>
          <w:szCs w:val="24"/>
          <w:highlight w:val="green"/>
          <w:vertAlign w:val="superscript"/>
        </w:rPr>
        <w:t>3</w:t>
      </w:r>
      <w:r>
        <w:rPr>
          <w:rFonts w:hint="default" w:ascii="Times New Roman" w:hAnsi="Times New Roman" w:eastAsia="宋体" w:cs="Times New Roman"/>
          <w:sz w:val="24"/>
          <w:szCs w:val="24"/>
          <w:highlight w:val="green"/>
        </w:rPr>
        <w:t>/a</w:t>
      </w:r>
      <w:r>
        <w:rPr>
          <w:rFonts w:hint="default" w:ascii="Times New Roman" w:hAnsi="Times New Roman" w:eastAsia="宋体" w:cs="Times New Roman"/>
          <w:sz w:val="24"/>
          <w:szCs w:val="24"/>
          <w:highlight w:val="none"/>
        </w:rPr>
        <w:t>，实际外排水量为49884.75m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/a（其中沼液为39907.8m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/a，沼渣占9976.95m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/a），冬季在沼液池暂存后用于农田液体肥料使用，其它季节直接由封闭罐车拉运喷施于农田。项目水资源消耗及废水产生情况情况见表2-8，水平衡见图2-3。</w: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表2-8 项目水资源消耗及废水产生情况表（m</w:t>
      </w:r>
      <w:r>
        <w:rPr>
          <w:rFonts w:hint="default" w:ascii="Times New Roman" w:hAnsi="Times New Roman" w:eastAsia="黑体" w:cs="Times New Roman"/>
          <w:b w:val="0"/>
          <w:kern w:val="2"/>
          <w:sz w:val="24"/>
          <w:szCs w:val="22"/>
          <w:highlight w:val="none"/>
          <w:vertAlign w:val="superscript"/>
          <w:lang w:val="en-US" w:eastAsia="zh-CN" w:bidi="ar-SA"/>
        </w:rPr>
        <w:t>3</w:t>
      </w:r>
      <w:r>
        <w:rPr>
          <w:rFonts w:hint="default" w:ascii="Times New Roman" w:hAnsi="Times New Roman" w:eastAsia="黑体" w:cs="Times New Roman"/>
          <w:b w:val="0"/>
          <w:kern w:val="2"/>
          <w:sz w:val="24"/>
          <w:szCs w:val="22"/>
          <w:highlight w:val="none"/>
          <w:lang w:val="en-US" w:eastAsia="zh-CN" w:bidi="ar-SA"/>
        </w:rPr>
        <w:t>/d）</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416"/>
        <w:gridCol w:w="1416"/>
        <w:gridCol w:w="1416"/>
        <w:gridCol w:w="1416"/>
        <w:gridCol w:w="1416"/>
        <w:gridCol w:w="1416"/>
        <w:gridCol w:w="1416"/>
        <w:gridCol w:w="1416"/>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项目名称</w:t>
            </w:r>
          </w:p>
        </w:tc>
        <w:tc>
          <w:tcPr>
            <w:tcW w:w="1499"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新鲜水用</w:t>
            </w:r>
            <w:r>
              <w:rPr>
                <w:rFonts w:hint="default" w:ascii="Times New Roman" w:hAnsi="Times New Roman" w:eastAsia="宋体" w:cs="Times New Roman"/>
                <w:b/>
                <w:bCs/>
                <w:sz w:val="21"/>
                <w:szCs w:val="21"/>
                <w:highlight w:val="none"/>
              </w:rPr>
              <w:t>量</w:t>
            </w:r>
          </w:p>
        </w:tc>
        <w:tc>
          <w:tcPr>
            <w:tcW w:w="1499"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损耗量</w:t>
            </w:r>
          </w:p>
        </w:tc>
        <w:tc>
          <w:tcPr>
            <w:tcW w:w="1500"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废水产生量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夏季</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冬季</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其他季节</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夏季</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冬季</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其他季节</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夏季</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冬季</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其他季节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猪饮用</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146.5</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146.5</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68.992</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35.992</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35.992</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96.5(尿液)</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74(尿液)</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74(尿液)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16.228</w:t>
            </w:r>
            <w:r>
              <w:rPr>
                <w:rFonts w:hint="default" w:ascii="Times New Roman" w:hAnsi="Times New Roman" w:eastAsia="宋体" w:cs="Times New Roman"/>
                <w:sz w:val="21"/>
                <w:szCs w:val="21"/>
                <w:highlight w:val="none"/>
              </w:rPr>
              <w:t>(粪便)</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16.228</w:t>
            </w:r>
            <w:r>
              <w:rPr>
                <w:rFonts w:hint="default" w:ascii="Times New Roman" w:hAnsi="Times New Roman" w:eastAsia="宋体" w:cs="Times New Roman"/>
                <w:sz w:val="21"/>
                <w:szCs w:val="21"/>
                <w:highlight w:val="none"/>
              </w:rPr>
              <w:t>(粪便)</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16.228</w:t>
            </w:r>
            <w:r>
              <w:rPr>
                <w:rFonts w:hint="default" w:ascii="Times New Roman" w:hAnsi="Times New Roman" w:eastAsia="宋体" w:cs="Times New Roman"/>
                <w:sz w:val="21"/>
                <w:szCs w:val="21"/>
                <w:highlight w:val="none"/>
              </w:rPr>
              <w:t>(粪便)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20.28</w:t>
            </w:r>
            <w:r>
              <w:rPr>
                <w:rFonts w:hint="default"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粪污分离液/渗滤液</w:t>
            </w:r>
            <w:r>
              <w:rPr>
                <w:rFonts w:hint="default" w:ascii="Times New Roman" w:hAnsi="Times New Roman" w:eastAsia="宋体" w:cs="Times New Roman"/>
                <w:sz w:val="21"/>
                <w:szCs w:val="21"/>
                <w:highlight w:val="none"/>
                <w:lang w:val="en-US" w:eastAsia="zh-CN"/>
              </w:rPr>
              <w:t>）</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lang w:val="en-US" w:eastAsia="zh-CN"/>
              </w:rPr>
              <w:t>20.28</w:t>
            </w:r>
            <w:r>
              <w:rPr>
                <w:rFonts w:hint="default"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粪污分离液/渗滤液</w:t>
            </w:r>
            <w:r>
              <w:rPr>
                <w:rFonts w:hint="default" w:ascii="Times New Roman" w:hAnsi="Times New Roman" w:eastAsia="宋体" w:cs="Times New Roman"/>
                <w:sz w:val="21"/>
                <w:szCs w:val="21"/>
                <w:highlight w:val="none"/>
                <w:lang w:val="en-US" w:eastAsia="zh-CN"/>
              </w:rPr>
              <w:t>）</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lang w:val="en-US" w:eastAsia="zh-CN"/>
              </w:rPr>
              <w:t>20.28</w:t>
            </w:r>
            <w:r>
              <w:rPr>
                <w:rFonts w:hint="default"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粪污分离液/渗滤液</w:t>
            </w:r>
            <w:r>
              <w:rPr>
                <w:rFonts w:hint="default" w:ascii="Times New Roman" w:hAnsi="Times New Roman" w:eastAsia="宋体"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猪舍冲洗</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34.88</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34.88</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34.88</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31.88</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31.88</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31.88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食堂用水</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1</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1</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1</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0.</w:t>
            </w:r>
            <w:r>
              <w:rPr>
                <w:rFonts w:hint="default" w:ascii="Times New Roman" w:hAnsi="Times New Roman" w:eastAsia="宋体" w:cs="Times New Roman"/>
                <w:sz w:val="21"/>
                <w:szCs w:val="21"/>
                <w:highlight w:val="none"/>
                <w:lang w:val="en-US" w:eastAsia="zh-CN"/>
              </w:rPr>
              <w:t>2</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0.</w:t>
            </w:r>
            <w:r>
              <w:rPr>
                <w:rFonts w:hint="default" w:ascii="Times New Roman" w:hAnsi="Times New Roman" w:eastAsia="宋体" w:cs="Times New Roman"/>
                <w:sz w:val="21"/>
                <w:szCs w:val="21"/>
                <w:highlight w:val="none"/>
                <w:lang w:val="en-US" w:eastAsia="zh-CN"/>
              </w:rPr>
              <w:t>2</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0.</w:t>
            </w:r>
            <w:r>
              <w:rPr>
                <w:rFonts w:hint="default" w:ascii="Times New Roman" w:hAnsi="Times New Roman" w:eastAsia="宋体" w:cs="Times New Roman"/>
                <w:sz w:val="21"/>
                <w:szCs w:val="21"/>
                <w:highlight w:val="none"/>
                <w:lang w:val="en-US" w:eastAsia="zh-CN"/>
              </w:rPr>
              <w:t>2</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职工生活</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0.6</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0.6</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0.6</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0.12</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0.12</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0.12</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0.48</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0.48</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水帘降温</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5.0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5.0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绿化</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10.3</w:t>
            </w:r>
            <w:r>
              <w:rPr>
                <w:rFonts w:hint="eastAsia" w:ascii="Times New Roman" w:hAnsi="Times New Roman" w:cs="Times New Roman"/>
                <w:sz w:val="21"/>
                <w:szCs w:val="21"/>
                <w:highlight w:val="none"/>
                <w:lang w:val="en-US" w:eastAsia="zh-CN"/>
              </w:rPr>
              <w:t>9</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10.3</w:t>
            </w:r>
            <w:r>
              <w:rPr>
                <w:rFonts w:hint="eastAsia" w:ascii="Times New Roman" w:hAnsi="Times New Roman" w:cs="Times New Roman"/>
                <w:sz w:val="21"/>
                <w:szCs w:val="21"/>
                <w:highlight w:val="none"/>
                <w:lang w:val="en-US" w:eastAsia="zh-CN"/>
              </w:rPr>
              <w:t>9</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10.3</w:t>
            </w:r>
            <w:r>
              <w:rPr>
                <w:rFonts w:hint="eastAsia" w:ascii="Times New Roman" w:hAnsi="Times New Roman" w:cs="Times New Roman"/>
                <w:sz w:val="21"/>
                <w:szCs w:val="21"/>
                <w:highlight w:val="none"/>
                <w:lang w:val="en-US" w:eastAsia="zh-CN"/>
              </w:rPr>
              <w:t>9</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10.3</w:t>
            </w:r>
            <w:r>
              <w:rPr>
                <w:rFonts w:hint="eastAsia" w:ascii="Times New Roman" w:hAnsi="Times New Roman" w:cs="Times New Roman"/>
                <w:sz w:val="21"/>
                <w:szCs w:val="21"/>
                <w:highlight w:val="none"/>
                <w:lang w:val="en-US" w:eastAsia="zh-CN"/>
              </w:rPr>
              <w:t>9</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合计</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253.87</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18</w:t>
            </w:r>
            <w:r>
              <w:rPr>
                <w:rFonts w:hint="default" w:ascii="Times New Roman" w:hAnsi="Times New Roman" w:eastAsia="宋体" w:cs="Times New Roman"/>
                <w:sz w:val="21"/>
                <w:szCs w:val="21"/>
                <w:highlight w:val="none"/>
                <w:lang w:val="en-US" w:eastAsia="zh-CN"/>
              </w:rPr>
              <w:t>2.98</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193.37</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87.702</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39.312</w:t>
            </w:r>
          </w:p>
        </w:tc>
        <w:tc>
          <w:tcPr>
            <w:tcW w:w="49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49.702</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134.946</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（沼液）</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t>114.696</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ascii="Times New Roman" w:hAnsi="Times New Roman" w:cs="Times New Roman"/>
                <w:sz w:val="21"/>
                <w:szCs w:val="21"/>
                <w:highlight w:val="none"/>
                <w:lang w:val="en-US" w:eastAsia="zh-CN"/>
              </w:rPr>
              <w:t>（沼液）</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t>114.696</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ascii="Times New Roman" w:hAnsi="Times New Roman" w:cs="Times New Roman"/>
                <w:sz w:val="21"/>
                <w:szCs w:val="21"/>
                <w:highlight w:val="none"/>
                <w:lang w:val="en-US" w:eastAsia="zh-CN"/>
              </w:rPr>
              <w:t>（沼液）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16.228</w:t>
            </w:r>
            <w:r>
              <w:rPr>
                <w:rFonts w:hint="default" w:ascii="Times New Roman" w:hAnsi="Times New Roman" w:eastAsia="宋体" w:cs="Times New Roman"/>
                <w:sz w:val="21"/>
                <w:szCs w:val="21"/>
                <w:highlight w:val="none"/>
              </w:rPr>
              <w:t>(粪便)</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16.228</w:t>
            </w:r>
            <w:r>
              <w:rPr>
                <w:rFonts w:hint="default" w:ascii="Times New Roman" w:hAnsi="Times New Roman" w:eastAsia="宋体" w:cs="Times New Roman"/>
                <w:sz w:val="21"/>
                <w:szCs w:val="21"/>
                <w:highlight w:val="none"/>
              </w:rPr>
              <w:t>(粪便)</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16.228</w:t>
            </w:r>
            <w:r>
              <w:rPr>
                <w:rFonts w:hint="default" w:ascii="Times New Roman" w:hAnsi="Times New Roman" w:eastAsia="宋体" w:cs="Times New Roman"/>
                <w:sz w:val="21"/>
                <w:szCs w:val="21"/>
                <w:highlight w:val="none"/>
              </w:rPr>
              <w:t>(粪便)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p>
        </w:tc>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14.994</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（沼渣）</w:t>
            </w:r>
          </w:p>
        </w:tc>
        <w:tc>
          <w:tcPr>
            <w:tcW w:w="499"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12.744</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（沼渣）</w:t>
            </w:r>
          </w:p>
        </w:tc>
        <w:tc>
          <w:tcPr>
            <w:tcW w:w="500" w:type="pc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12.744</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（沼渣）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rPr>
            </w:pPr>
          </w:p>
        </w:tc>
        <w:tc>
          <w:tcPr>
            <w:tcW w:w="1499"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76693.5</w:t>
            </w:r>
          </w:p>
        </w:tc>
        <w:tc>
          <w:tcPr>
            <w:tcW w:w="1499"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21509.7</w:t>
            </w:r>
          </w:p>
        </w:tc>
        <w:tc>
          <w:tcPr>
            <w:tcW w:w="1500"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55183.8</w:t>
            </w:r>
          </w:p>
        </w:tc>
      </w:tr>
    </w:tbl>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黑体" w:cs="Times New Roman"/>
          <w:b w:val="0"/>
          <w:bCs w:val="0"/>
          <w:sz w:val="21"/>
          <w:szCs w:val="21"/>
          <w:highlight w:val="none"/>
          <w:lang w:val="en-US" w:eastAsia="zh-CN"/>
        </w:rPr>
      </w:pPr>
      <w:r>
        <w:rPr>
          <w:rFonts w:hint="default" w:ascii="Times New Roman" w:hAnsi="Times New Roman" w:eastAsia="黑体" w:cs="Times New Roman"/>
          <w:b w:val="0"/>
          <w:bCs w:val="0"/>
          <w:sz w:val="21"/>
          <w:szCs w:val="21"/>
          <w:highlight w:val="none"/>
          <w:lang w:val="en-US" w:eastAsia="zh-CN"/>
        </w:rPr>
        <w:t>注：夏季122天，冬季122天，其他季节121天。</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黑体" w:cs="Times New Roman"/>
          <w:b w:val="0"/>
          <w:bCs w:val="0"/>
          <w:sz w:val="21"/>
          <w:szCs w:val="21"/>
          <w:highlight w:val="none"/>
        </w:rPr>
        <w:sectPr>
          <w:pgSz w:w="16838" w:h="11906" w:orient="landscape"/>
          <w:pgMar w:top="1800" w:right="1440" w:bottom="1800" w:left="1440" w:header="708" w:footer="708" w:gutter="0"/>
          <w:pgBorders>
            <w:top w:val="none" w:sz="0" w:space="0"/>
            <w:left w:val="none" w:sz="0" w:space="0"/>
            <w:bottom w:val="none" w:sz="0" w:space="0"/>
            <w:right w:val="none" w:sz="0" w:space="0"/>
          </w:pgBorders>
          <w:pgNumType w:fmt="decimal"/>
          <w:cols w:space="720" w:num="1"/>
          <w:docGrid w:linePitch="286" w:charSpace="0"/>
        </w:sectPr>
      </w:pPr>
    </w:p>
    <w:p>
      <w:pPr>
        <w:pStyle w:val="2"/>
        <w:rPr>
          <w:rFonts w:hint="default"/>
        </w:rPr>
      </w:pPr>
    </w:p>
    <w:p>
      <w:pPr>
        <w:jc w:val="center"/>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object>
          <v:shape id="_x0000_i1026" o:spt="75" type="#_x0000_t75" style="height:373.45pt;width:603.3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7" r:id="rId14">
            <o:LockedField>false</o:LockedField>
          </o:OLEObject>
        </w:object>
      </w:r>
    </w:p>
    <w:p>
      <w:pPr>
        <w:pStyle w:val="709"/>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黑体" w:cs="Times New Roman"/>
          <w:b w:val="0"/>
          <w:kern w:val="2"/>
          <w:sz w:val="24"/>
          <w:szCs w:val="22"/>
          <w:highlight w:val="none"/>
          <w:lang w:val="en-US" w:eastAsia="zh-CN" w:bidi="ar-SA"/>
        </w:rPr>
      </w:pPr>
      <w:r>
        <w:rPr>
          <w:rFonts w:hint="default" w:ascii="Times New Roman" w:hAnsi="Times New Roman" w:eastAsia="黑体" w:cs="Times New Roman"/>
          <w:b w:val="0"/>
          <w:kern w:val="2"/>
          <w:sz w:val="24"/>
          <w:szCs w:val="22"/>
          <w:highlight w:val="none"/>
          <w:lang w:val="en-US" w:eastAsia="zh-CN" w:bidi="ar-SA"/>
        </w:rPr>
        <w:t>图2-3-1 夏季水平衡图（m</w:t>
      </w:r>
      <w:r>
        <w:rPr>
          <w:rFonts w:hint="default" w:ascii="Times New Roman" w:hAnsi="Times New Roman" w:eastAsia="黑体" w:cs="Times New Roman"/>
          <w:b w:val="0"/>
          <w:kern w:val="2"/>
          <w:sz w:val="24"/>
          <w:szCs w:val="22"/>
          <w:highlight w:val="none"/>
          <w:vertAlign w:val="superscript"/>
          <w:lang w:val="en-US" w:eastAsia="zh-CN" w:bidi="ar-SA"/>
        </w:rPr>
        <w:t>3</w:t>
      </w:r>
      <w:r>
        <w:rPr>
          <w:rFonts w:hint="default" w:ascii="Times New Roman" w:hAnsi="Times New Roman" w:eastAsia="黑体" w:cs="Times New Roman"/>
          <w:b w:val="0"/>
          <w:kern w:val="2"/>
          <w:sz w:val="24"/>
          <w:szCs w:val="22"/>
          <w:highlight w:val="none"/>
          <w:lang w:val="en-US" w:eastAsia="zh-CN" w:bidi="ar-SA"/>
        </w:rPr>
        <w:t>/d）</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object>
          <v:shape id="_x0000_i1027" o:spt="75" type="#_x0000_t75" style="height:342.2pt;width:636.9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8" r:id="rId16">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图2-3-2 冬季水平衡图（m</w:t>
      </w:r>
      <w:r>
        <w:rPr>
          <w:rFonts w:hint="default" w:ascii="Times New Roman" w:hAnsi="Times New Roman" w:eastAsia="黑体" w:cs="Times New Roman"/>
          <w:bCs/>
          <w:sz w:val="24"/>
          <w:szCs w:val="24"/>
          <w:highlight w:val="none"/>
          <w:vertAlign w:val="superscript"/>
        </w:rPr>
        <w:t>3</w:t>
      </w:r>
      <w:r>
        <w:rPr>
          <w:rFonts w:hint="default" w:ascii="Times New Roman" w:hAnsi="Times New Roman" w:eastAsia="黑体" w:cs="Times New Roman"/>
          <w:bCs/>
          <w:sz w:val="24"/>
          <w:szCs w:val="24"/>
          <w:highlight w:val="none"/>
        </w:rPr>
        <w:t>/d）</w:t>
      </w:r>
    </w:p>
    <w:p>
      <w:pPr>
        <w:jc w:val="center"/>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object>
          <v:shape id="_x0000_i1028" o:spt="75" type="#_x0000_t75" style="height:353.45pt;width:653.4pt;" o:ole="t" filled="f" o:preferrelative="t" stroked="f" coordsize="21600,21600">
            <v:path/>
            <v:fill on="f" focussize="0,0"/>
            <v:stroke on="f"/>
            <v:imagedata r:id="rId19" o:title=""/>
            <o:lock v:ext="edit" aspectratio="f"/>
            <w10:wrap type="none"/>
            <w10:anchorlock/>
          </v:shape>
          <o:OLEObject Type="Embed" ProgID="Visio.Drawing.11" ShapeID="_x0000_i1028" DrawAspect="Content" ObjectID="_1468075729"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图2-3-3 其他季节水平衡图（m</w:t>
      </w:r>
      <w:r>
        <w:rPr>
          <w:rFonts w:hint="default" w:ascii="Times New Roman" w:hAnsi="Times New Roman" w:eastAsia="黑体" w:cs="Times New Roman"/>
          <w:bCs/>
          <w:sz w:val="24"/>
          <w:szCs w:val="24"/>
          <w:highlight w:val="none"/>
          <w:vertAlign w:val="superscript"/>
        </w:rPr>
        <w:t>3</w:t>
      </w:r>
      <w:r>
        <w:rPr>
          <w:rFonts w:hint="default" w:ascii="Times New Roman" w:hAnsi="Times New Roman" w:eastAsia="黑体" w:cs="Times New Roman"/>
          <w:bCs/>
          <w:sz w:val="24"/>
          <w:szCs w:val="24"/>
          <w:highlight w:val="none"/>
        </w:rPr>
        <w:t>/d）</w:t>
      </w:r>
    </w:p>
    <w:p>
      <w:pPr>
        <w:spacing w:before="120" w:beforeLines="50" w:after="120" w:afterLines="50"/>
        <w:jc w:val="left"/>
        <w:outlineLvl w:val="1"/>
        <w:rPr>
          <w:rFonts w:hint="default" w:ascii="Times New Roman" w:hAnsi="Times New Roman" w:eastAsia="黑体" w:cs="Times New Roman"/>
          <w:bCs/>
          <w:sz w:val="30"/>
          <w:szCs w:val="30"/>
          <w:highlight w:val="none"/>
        </w:rPr>
        <w:sectPr>
          <w:pgSz w:w="16838" w:h="11906" w:orient="landscape"/>
          <w:pgMar w:top="1800" w:right="1440" w:bottom="1800" w:left="1440" w:header="708" w:footer="708" w:gutter="0"/>
          <w:pgBorders>
            <w:top w:val="none" w:sz="0" w:space="0"/>
            <w:left w:val="none" w:sz="0" w:space="0"/>
            <w:bottom w:val="none" w:sz="0" w:space="0"/>
            <w:right w:val="none" w:sz="0" w:space="0"/>
          </w:pgBorders>
          <w:pgNumType w:fmt="decimal"/>
          <w:cols w:space="720" w:num="1"/>
          <w:docGrid w:linePitch="286" w:charSpace="0"/>
        </w:sectPr>
      </w:pP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48" w:name="_Toc22443"/>
      <w:r>
        <w:rPr>
          <w:rFonts w:hint="default" w:ascii="Times New Roman" w:hAnsi="Times New Roman" w:eastAsia="黑体" w:cs="Times New Roman"/>
          <w:bCs/>
          <w:sz w:val="30"/>
          <w:szCs w:val="30"/>
          <w:highlight w:val="none"/>
        </w:rPr>
        <w:t>2.7 营运期主要污染源分析</w:t>
      </w:r>
      <w:bookmarkEnd w:id="48"/>
      <w:r>
        <w:rPr>
          <w:rFonts w:hint="default" w:ascii="Times New Roman" w:hAnsi="Times New Roman" w:eastAsia="黑体" w:cs="Times New Roman"/>
          <w:bCs/>
          <w:sz w:val="30"/>
          <w:szCs w:val="30"/>
          <w:highlight w:val="none"/>
        </w:rPr>
        <w:t xml:space="preserve"> </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2.7.1 废水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项目采用雨污分流制，雨水经雨水沟排放至场区外。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w:t>
      </w:r>
      <w:r>
        <w:rPr>
          <w:rFonts w:hint="default" w:ascii="Times New Roman" w:hAnsi="Times New Roman" w:eastAsia="宋体" w:cs="Times New Roman"/>
          <w:sz w:val="24"/>
          <w:szCs w:val="24"/>
          <w:highlight w:val="green"/>
        </w:rPr>
        <w:t>2.6章</w:t>
      </w:r>
      <w:r>
        <w:rPr>
          <w:rFonts w:hint="default" w:ascii="Times New Roman" w:hAnsi="Times New Roman" w:eastAsia="宋体" w:cs="Times New Roman"/>
          <w:sz w:val="24"/>
          <w:szCs w:val="24"/>
          <w:highlight w:val="none"/>
        </w:rPr>
        <w:t>节分析及水平衡图可知，项目产生的废水包括生活废水和养殖废水，其中生活废水为员工生活废水及食堂废水，养殖废水包括猪尿、猪舍冲洗废水、</w:t>
      </w:r>
      <w:r>
        <w:rPr>
          <w:rFonts w:hint="default" w:ascii="Times New Roman" w:hAnsi="Times New Roman" w:eastAsia="宋体" w:cs="Times New Roman"/>
          <w:sz w:val="24"/>
          <w:szCs w:val="24"/>
          <w:highlight w:val="none"/>
          <w:lang w:eastAsia="zh-CN"/>
        </w:rPr>
        <w:t>粪便干湿分离废水</w:t>
      </w:r>
      <w:r>
        <w:rPr>
          <w:rFonts w:hint="default" w:ascii="Times New Roman" w:hAnsi="Times New Roman" w:eastAsia="宋体" w:cs="Times New Roman"/>
          <w:sz w:val="24"/>
          <w:szCs w:val="24"/>
          <w:highlight w:val="none"/>
        </w:rPr>
        <w:t>。生活废水及养殖废水全部经污水沟及管道收集后进入废水厌氧消化处理装置（黑膜沼气池）处理；食堂废水经隔油处理后进入废水厌氧消化处理装置（黑膜沼气池）处理。项目进入黑膜沼气池的养殖废水量为夏季1</w:t>
      </w:r>
      <w:r>
        <w:rPr>
          <w:rFonts w:hint="default" w:ascii="Times New Roman" w:hAnsi="Times New Roman" w:eastAsia="宋体" w:cs="Times New Roman"/>
          <w:sz w:val="24"/>
          <w:szCs w:val="24"/>
          <w:highlight w:val="none"/>
          <w:lang w:val="en-US" w:eastAsia="zh-CN"/>
        </w:rPr>
        <w:t>49.41</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/d，其他季节12</w:t>
      </w:r>
      <w:r>
        <w:rPr>
          <w:rFonts w:hint="default" w:ascii="Times New Roman" w:hAnsi="Times New Roman" w:eastAsia="宋体" w:cs="Times New Roman"/>
          <w:sz w:val="24"/>
          <w:szCs w:val="24"/>
          <w:highlight w:val="none"/>
          <w:lang w:val="en-US" w:eastAsia="zh-CN"/>
        </w:rPr>
        <w:t>6.91</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/d（49067.15m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/a），其中20%的废水以沼渣形式产出，80%的废水以沼液形式产出，均用作农田肥料使用，不外排。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项目产生的废水混合后进入沼气池进行厌氧消化反应，因此废水污染物浓度较高，沼气池内废水污染物浓度及去除效率参考《运用黑膜沼气池处理高浓度养殖废水的研究》（朱飞虹等，浙江省金华市农村能源办公室）及《黑膜沼气池与活性污泥法组合工艺处理高浓度有机废水的实验研究》（林运通，华南农业大学）及项目单位提供资料，项目废水污染物产生情况见表2-9。 </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sz w:val="24"/>
          <w:szCs w:val="24"/>
          <w:highlight w:val="none"/>
        </w:rPr>
      </w:pPr>
      <w:r>
        <w:rPr>
          <w:rFonts w:hint="default" w:ascii="Times New Roman" w:hAnsi="Times New Roman" w:eastAsia="黑体" w:cs="Times New Roman"/>
          <w:bCs/>
          <w:sz w:val="24"/>
          <w:szCs w:val="24"/>
          <w:highlight w:val="none"/>
        </w:rPr>
        <w:t>表2-9 项目废水污染物产生情况一览表</w:t>
      </w:r>
    </w:p>
    <w:tbl>
      <w:tblPr>
        <w:tblStyle w:val="8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41"/>
        <w:gridCol w:w="25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10" w:type="dxa"/>
            <w:gridSpan w:val="3"/>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清粪方式：干清粪；废水量：49446.75m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40"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项目</w:t>
            </w:r>
          </w:p>
        </w:tc>
        <w:tc>
          <w:tcPr>
            <w:tcW w:w="2841"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COD</w:t>
            </w:r>
          </w:p>
        </w:tc>
        <w:tc>
          <w:tcPr>
            <w:tcW w:w="2529"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NH</w:t>
            </w:r>
            <w:r>
              <w:rPr>
                <w:rFonts w:hint="default" w:ascii="Times New Roman" w:hAnsi="Times New Roman" w:cs="Times New Roman"/>
                <w:b/>
                <w:bCs/>
                <w:szCs w:val="21"/>
                <w:highlight w:val="none"/>
                <w:vertAlign w:val="subscript"/>
              </w:rPr>
              <w:t>3</w:t>
            </w:r>
            <w:r>
              <w:rPr>
                <w:rFonts w:hint="default" w:ascii="Times New Roman" w:hAnsi="Times New Roman" w:cs="Times New Roman"/>
                <w:b/>
                <w:bCs/>
                <w:szCs w:val="21"/>
                <w:highlight w:val="none"/>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4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产生浓度（mg/L）</w:t>
            </w:r>
          </w:p>
        </w:tc>
        <w:tc>
          <w:tcPr>
            <w:tcW w:w="284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8000</w:t>
            </w:r>
          </w:p>
        </w:tc>
        <w:tc>
          <w:tcPr>
            <w:tcW w:w="2529"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4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污染物产生量（t/a）</w:t>
            </w:r>
          </w:p>
        </w:tc>
        <w:tc>
          <w:tcPr>
            <w:tcW w:w="2841" w:type="dxa"/>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314.03</w:t>
            </w:r>
          </w:p>
        </w:tc>
        <w:tc>
          <w:tcPr>
            <w:tcW w:w="2529" w:type="dxa"/>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19.63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4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去除率</w:t>
            </w:r>
          </w:p>
        </w:tc>
        <w:tc>
          <w:tcPr>
            <w:tcW w:w="284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w:t>
            </w:r>
          </w:p>
        </w:tc>
        <w:tc>
          <w:tcPr>
            <w:tcW w:w="2529"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4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沼气池出水浓度</w:t>
            </w:r>
          </w:p>
        </w:tc>
        <w:tc>
          <w:tcPr>
            <w:tcW w:w="284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2400</w:t>
            </w:r>
          </w:p>
        </w:tc>
        <w:tc>
          <w:tcPr>
            <w:tcW w:w="2529"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4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出水污染物量（t/a）</w:t>
            </w:r>
          </w:p>
        </w:tc>
        <w:tc>
          <w:tcPr>
            <w:tcW w:w="2841" w:type="dxa"/>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94.2</w:t>
            </w:r>
            <w:r>
              <w:rPr>
                <w:rFonts w:hint="eastAsia" w:ascii="Times New Roman" w:hAnsi="Times New Roman" w:cs="Times New Roman"/>
                <w:szCs w:val="21"/>
                <w:highlight w:val="none"/>
                <w:lang w:val="en-US" w:eastAsia="zh-CN"/>
              </w:rPr>
              <w:t>2</w:t>
            </w:r>
          </w:p>
        </w:tc>
        <w:tc>
          <w:tcPr>
            <w:tcW w:w="2529" w:type="dxa"/>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13.74</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项目废水进厌氧消化处理装置（黑膜沼气池）处理后，沼液和沼渣全部用作农肥综合利用，无废水排放。 </w:t>
      </w:r>
    </w:p>
    <w:p>
      <w:pPr>
        <w:spacing w:before="120" w:beforeLines="50" w:after="120" w:afterLines="50"/>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2.7.2 废气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项目产生恶臭的来源主要为猪舍、粪便处理废气、沼液池臭气。项目恶臭污染物中主要成分为H</w:t>
      </w:r>
      <w:r>
        <w:rPr>
          <w:rFonts w:hint="default" w:ascii="Times New Roman" w:hAnsi="Times New Roman" w:cs="Times New Roman"/>
          <w:sz w:val="24"/>
          <w:szCs w:val="24"/>
          <w:highlight w:val="none"/>
          <w:vertAlign w:val="subscript"/>
        </w:rPr>
        <w:t>2</w:t>
      </w:r>
      <w:r>
        <w:rPr>
          <w:rFonts w:hint="default" w:ascii="Times New Roman" w:hAnsi="Times New Roman" w:cs="Times New Roman"/>
          <w:sz w:val="24"/>
          <w:szCs w:val="24"/>
          <w:highlight w:val="none"/>
        </w:rPr>
        <w:t>S、NH</w:t>
      </w:r>
      <w:r>
        <w:rPr>
          <w:rFonts w:hint="default" w:ascii="Times New Roman" w:hAnsi="Times New Roman" w:cs="Times New Roman"/>
          <w:sz w:val="24"/>
          <w:szCs w:val="24"/>
          <w:highlight w:val="none"/>
          <w:vertAlign w:val="subscript"/>
        </w:rPr>
        <w:t>3</w:t>
      </w:r>
      <w:r>
        <w:rPr>
          <w:rFonts w:hint="default" w:ascii="Times New Roman" w:hAnsi="Times New Roman" w:cs="Times New Roman"/>
          <w:sz w:val="24"/>
          <w:szCs w:val="24"/>
          <w:highlight w:val="none"/>
        </w:rPr>
        <w:t xml:space="preserve">及臭气浓度、二氧化硫、氮氧化物等。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①猪舍恶臭气体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根据《养猪场恶臭影响量化分析及控制对策研究》（天津市环境影响评价中心孙艳青、张潞、李万庆），一般情况下猪舍产生的NH</w:t>
      </w:r>
      <w:r>
        <w:rPr>
          <w:rFonts w:hint="default" w:ascii="Times New Roman" w:hAnsi="Times New Roman" w:cs="Times New Roman"/>
          <w:sz w:val="24"/>
          <w:szCs w:val="24"/>
          <w:highlight w:val="none"/>
          <w:vertAlign w:val="subscript"/>
        </w:rPr>
        <w:t>3</w:t>
      </w:r>
      <w:r>
        <w:rPr>
          <w:rFonts w:hint="default" w:ascii="Times New Roman" w:hAnsi="Times New Roman" w:cs="Times New Roman"/>
          <w:sz w:val="24"/>
          <w:szCs w:val="24"/>
          <w:highlight w:val="none"/>
        </w:rPr>
        <w:t>及H</w:t>
      </w:r>
      <w:r>
        <w:rPr>
          <w:rFonts w:hint="default" w:ascii="Times New Roman" w:hAnsi="Times New Roman" w:cs="Times New Roman"/>
          <w:sz w:val="24"/>
          <w:szCs w:val="24"/>
          <w:highlight w:val="none"/>
          <w:vertAlign w:val="subscript"/>
        </w:rPr>
        <w:t>2</w:t>
      </w:r>
      <w:r>
        <w:rPr>
          <w:rFonts w:hint="default" w:ascii="Times New Roman" w:hAnsi="Times New Roman" w:cs="Times New Roman"/>
          <w:sz w:val="24"/>
          <w:szCs w:val="24"/>
          <w:highlight w:val="none"/>
        </w:rPr>
        <w:t>S的产生情况详见表2-10。</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表2-10  猪舍NH</w:t>
      </w:r>
      <w:r>
        <w:rPr>
          <w:rFonts w:hint="default" w:ascii="Times New Roman" w:hAnsi="Times New Roman" w:eastAsia="黑体" w:cs="Times New Roman"/>
          <w:bCs/>
          <w:sz w:val="24"/>
          <w:szCs w:val="24"/>
          <w:highlight w:val="none"/>
          <w:vertAlign w:val="subscript"/>
        </w:rPr>
        <w:t>3</w:t>
      </w:r>
      <w:r>
        <w:rPr>
          <w:rFonts w:hint="default" w:ascii="Times New Roman" w:hAnsi="Times New Roman" w:eastAsia="黑体" w:cs="Times New Roman"/>
          <w:bCs/>
          <w:sz w:val="24"/>
          <w:szCs w:val="24"/>
          <w:highlight w:val="none"/>
        </w:rPr>
        <w:t>及H</w:t>
      </w:r>
      <w:r>
        <w:rPr>
          <w:rFonts w:hint="default" w:ascii="Times New Roman" w:hAnsi="Times New Roman" w:eastAsia="黑体" w:cs="Times New Roman"/>
          <w:bCs/>
          <w:sz w:val="24"/>
          <w:szCs w:val="24"/>
          <w:highlight w:val="none"/>
          <w:vertAlign w:val="subscript"/>
        </w:rPr>
        <w:t>2</w:t>
      </w:r>
      <w:r>
        <w:rPr>
          <w:rFonts w:hint="default" w:ascii="Times New Roman" w:hAnsi="Times New Roman" w:eastAsia="黑体" w:cs="Times New Roman"/>
          <w:bCs/>
          <w:sz w:val="24"/>
          <w:szCs w:val="24"/>
          <w:highlight w:val="none"/>
        </w:rPr>
        <w:t>S产生强度统计</w:t>
      </w:r>
    </w:p>
    <w:tbl>
      <w:tblPr>
        <w:tblStyle w:val="80"/>
        <w:tblW w:w="8382"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00"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猪舍</w:t>
            </w:r>
          </w:p>
        </w:tc>
        <w:tc>
          <w:tcPr>
            <w:tcW w:w="2841"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NH</w:t>
            </w:r>
            <w:r>
              <w:rPr>
                <w:rFonts w:hint="default" w:ascii="Times New Roman" w:hAnsi="Times New Roman" w:cs="Times New Roman"/>
                <w:b/>
                <w:bCs/>
                <w:szCs w:val="21"/>
                <w:highlight w:val="none"/>
                <w:vertAlign w:val="subscript"/>
              </w:rPr>
              <w:t>3</w:t>
            </w:r>
            <w:r>
              <w:rPr>
                <w:rFonts w:hint="default" w:ascii="Times New Roman" w:hAnsi="Times New Roman" w:cs="Times New Roman"/>
                <w:b/>
                <w:bCs/>
                <w:szCs w:val="21"/>
                <w:highlight w:val="none"/>
              </w:rPr>
              <w:t>排放强度[g/头·d]</w:t>
            </w:r>
          </w:p>
        </w:tc>
        <w:tc>
          <w:tcPr>
            <w:tcW w:w="2841"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H</w:t>
            </w:r>
            <w:r>
              <w:rPr>
                <w:rFonts w:hint="default" w:ascii="Times New Roman" w:hAnsi="Times New Roman" w:cs="Times New Roman"/>
                <w:b/>
                <w:bCs/>
                <w:szCs w:val="21"/>
                <w:highlight w:val="none"/>
                <w:vertAlign w:val="subscript"/>
              </w:rPr>
              <w:t>2</w:t>
            </w:r>
            <w:r>
              <w:rPr>
                <w:rFonts w:hint="default" w:ascii="Times New Roman" w:hAnsi="Times New Roman" w:cs="Times New Roman"/>
                <w:b/>
                <w:bCs/>
                <w:szCs w:val="21"/>
                <w:highlight w:val="none"/>
              </w:rPr>
              <w:t>S排放强度[g/头·d]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0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育肥猪</w:t>
            </w:r>
          </w:p>
        </w:tc>
        <w:tc>
          <w:tcPr>
            <w:tcW w:w="284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w:t>
            </w:r>
          </w:p>
        </w:tc>
        <w:tc>
          <w:tcPr>
            <w:tcW w:w="284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0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保育猪</w:t>
            </w:r>
          </w:p>
        </w:tc>
        <w:tc>
          <w:tcPr>
            <w:tcW w:w="284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0.97</w:t>
            </w:r>
          </w:p>
        </w:tc>
        <w:tc>
          <w:tcPr>
            <w:tcW w:w="284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0.17</w:t>
            </w:r>
          </w:p>
        </w:tc>
      </w:tr>
    </w:tbl>
    <w:p>
      <w:pPr>
        <w:keepNext w:val="0"/>
        <w:keepLines w:val="0"/>
        <w:pageBreakBefore w:val="0"/>
        <w:widowControl w:val="0"/>
        <w:kinsoku/>
        <w:wordWrap/>
        <w:overflowPunct/>
        <w:topLinePunct w:val="0"/>
        <w:autoSpaceDE/>
        <w:autoSpaceDN/>
        <w:bidi w:val="0"/>
        <w:adjustRightInd/>
        <w:snapToGrid/>
        <w:spacing w:before="144" w:beforeLines="50"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养猪场恶臭影响量化分析及控制对策研究》（天津市环境影响评价中心孙艳青、张潞、李万庆）中养猪场恶臭污染防治对策研究，做好猪场管理，加强猪舍通风，实行粪尿的干湿分离，及时清理产生的粪便，合理的粪便收集频率，能够有效减少臭气的产生。因此，环评要求建设单位做好猪场管理，加强圈舍通风，尿液直接通过圈舍下污水管道排入污水处理系统，场内排水沟加钢筋砼活动顶盖密封；采用干清粪工艺，及时清理猪舍粪便，至少每天清理两次；每天清洗圈舍，保持圈舍的清洁，同时在场区周围建设绿化带，种植叶片宽大稠密的树种，利用绿色植物吸收恶臭物质。同时，定期喷洒生物除臭剂（EM抑菌液）去除猪舍的恶臭，减轻臭气的影响。通过采取上述措施，类比《安化盛和竹田农牧有限公司年出栏生猪30000 头养殖场建设项目环境影响报告书》可知，采取上述措施后项目恶臭产生量将降低99%。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猪舍恶臭的产生量及排放量见表2-11。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表2-11 猪舍恶臭排放情况一览表</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52"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排放源</w:t>
            </w:r>
          </w:p>
        </w:tc>
        <w:tc>
          <w:tcPr>
            <w:tcW w:w="852"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存栏（头）</w:t>
            </w:r>
          </w:p>
        </w:tc>
        <w:tc>
          <w:tcPr>
            <w:tcW w:w="1704" w:type="dxa"/>
            <w:gridSpan w:val="2"/>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产污系数</w:t>
            </w:r>
          </w:p>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（g/头·d）</w:t>
            </w:r>
          </w:p>
        </w:tc>
        <w:tc>
          <w:tcPr>
            <w:tcW w:w="1704" w:type="dxa"/>
            <w:gridSpan w:val="2"/>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产生量（kg/d）</w:t>
            </w:r>
          </w:p>
        </w:tc>
        <w:tc>
          <w:tcPr>
            <w:tcW w:w="1704" w:type="dxa"/>
            <w:gridSpan w:val="2"/>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去除效率（%）</w:t>
            </w:r>
          </w:p>
        </w:tc>
        <w:tc>
          <w:tcPr>
            <w:tcW w:w="1706" w:type="dxa"/>
            <w:gridSpan w:val="2"/>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排放量（kg/d）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52" w:type="dxa"/>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污染物</w:t>
            </w:r>
          </w:p>
        </w:tc>
        <w:tc>
          <w:tcPr>
            <w:tcW w:w="852" w:type="dxa"/>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NH</w:t>
            </w:r>
            <w:r>
              <w:rPr>
                <w:rFonts w:hint="default" w:ascii="Times New Roman" w:hAnsi="Times New Roman" w:cs="Times New Roman"/>
                <w:szCs w:val="21"/>
                <w:highlight w:val="none"/>
                <w:vertAlign w:val="subscript"/>
              </w:rPr>
              <w:t>3</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S</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NH</w:t>
            </w:r>
            <w:r>
              <w:rPr>
                <w:rFonts w:hint="default" w:ascii="Times New Roman" w:hAnsi="Times New Roman" w:cs="Times New Roman"/>
                <w:szCs w:val="21"/>
                <w:highlight w:val="none"/>
                <w:vertAlign w:val="subscript"/>
              </w:rPr>
              <w:t>3</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S</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NH</w:t>
            </w:r>
            <w:r>
              <w:rPr>
                <w:rFonts w:hint="default" w:ascii="Times New Roman" w:hAnsi="Times New Roman" w:cs="Times New Roman"/>
                <w:szCs w:val="21"/>
                <w:highlight w:val="none"/>
                <w:vertAlign w:val="subscript"/>
              </w:rPr>
              <w:t>3</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S</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NH</w:t>
            </w:r>
            <w:r>
              <w:rPr>
                <w:rFonts w:hint="default" w:ascii="Times New Roman" w:hAnsi="Times New Roman" w:cs="Times New Roman"/>
                <w:szCs w:val="21"/>
                <w:highlight w:val="none"/>
                <w:vertAlign w:val="subscript"/>
              </w:rPr>
              <w:t>3</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育肥猪</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66000</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0.35</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198</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23.1</w:t>
            </w:r>
          </w:p>
        </w:tc>
        <w:tc>
          <w:tcPr>
            <w:tcW w:w="852" w:type="dxa"/>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99</w:t>
            </w:r>
          </w:p>
        </w:tc>
        <w:tc>
          <w:tcPr>
            <w:tcW w:w="852" w:type="dxa"/>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99</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1.98</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0.231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保育猪</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34000</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0.97</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0.17</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32.98</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5.78</w:t>
            </w:r>
          </w:p>
        </w:tc>
        <w:tc>
          <w:tcPr>
            <w:tcW w:w="852" w:type="dxa"/>
            <w:vMerge w:val="continue"/>
            <w:shd w:val="clear" w:color="auto" w:fill="auto"/>
            <w:vAlign w:val="center"/>
          </w:tcPr>
          <w:p>
            <w:pPr>
              <w:jc w:val="center"/>
              <w:rPr>
                <w:rFonts w:hint="default" w:ascii="Times New Roman" w:hAnsi="Times New Roman" w:cs="Times New Roman"/>
                <w:szCs w:val="21"/>
                <w:highlight w:val="none"/>
              </w:rPr>
            </w:pPr>
          </w:p>
        </w:tc>
        <w:tc>
          <w:tcPr>
            <w:tcW w:w="852" w:type="dxa"/>
            <w:vMerge w:val="continue"/>
            <w:shd w:val="clear" w:color="auto" w:fill="auto"/>
            <w:vAlign w:val="center"/>
          </w:tcPr>
          <w:p>
            <w:pPr>
              <w:jc w:val="center"/>
              <w:rPr>
                <w:rFonts w:hint="default" w:ascii="Times New Roman" w:hAnsi="Times New Roman" w:cs="Times New Roman"/>
                <w:szCs w:val="21"/>
                <w:highlight w:val="none"/>
              </w:rPr>
            </w:pP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0.3298</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0.0578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08" w:type="dxa"/>
            <w:gridSpan w:val="4"/>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合计</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230.98</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28.88</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85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2.3098</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0.2888</w:t>
            </w:r>
          </w:p>
        </w:tc>
      </w:tr>
    </w:tbl>
    <w:p>
      <w:pPr>
        <w:keepNext w:val="0"/>
        <w:keepLines w:val="0"/>
        <w:pageBreakBefore w:val="0"/>
        <w:widowControl w:val="0"/>
        <w:kinsoku/>
        <w:wordWrap/>
        <w:overflowPunct/>
        <w:topLinePunct w:val="0"/>
        <w:autoSpaceDE/>
        <w:autoSpaceDN/>
        <w:bidi w:val="0"/>
        <w:adjustRightInd/>
        <w:snapToGrid/>
        <w:spacing w:before="144" w:beforeLines="50" w:line="360" w:lineRule="auto"/>
        <w:ind w:firstLine="480"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sz w:val="24"/>
          <w:szCs w:val="24"/>
          <w:highlight w:val="none"/>
        </w:rPr>
        <w:t>本项目猪舍NH</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排放速率为0.0962kg/h（0.843t/a），H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S的排放量为0.012kg/h（0.105t/a）。</w:t>
      </w:r>
      <w:r>
        <w:rPr>
          <w:rFonts w:hint="default" w:ascii="Times New Roman" w:hAnsi="Times New Roman" w:eastAsia="宋体" w:cs="Times New Roman"/>
          <w:b/>
          <w:bCs/>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②粪便处理臭气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sz w:val="24"/>
          <w:szCs w:val="24"/>
          <w:highlight w:val="none"/>
        </w:rPr>
        <w:t>储粪池、无害化处理池、混合搅拌池恶臭气体引用《养猪场恶臭影响量化分析及控制对策研究》（天津市环境影响评价中心孙艳青、张潞、李万庆）对堆粪场的NH</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及H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S的排放量统计情况进行污染物核算，在没有任何遮盖及猪粪没有结皮的情况下，NH</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的排放强度为5.2g/（m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·d），H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S排放强度1.4g/（m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·d）。 本项目储粪池、无害化处理池及混合搅拌池均位于地下并加盖，类比《建水温氏 畜牧有限公司青龙种猪场建设项目环境影响报告书》可知，NH</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及H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S的产生量 将降低70%。本项目拟采用喷洒生物除臭剂去除恶臭，除臭剂对NH</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和H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S的去除效率为50%，储粪池、无害化处理池及混合搅拌池总占地面积1500m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 xml:space="preserve">，其恶臭的产生量及排放量见表2-12。 </w:t>
      </w:r>
      <w:r>
        <w:rPr>
          <w:rFonts w:hint="default" w:ascii="Times New Roman" w:hAnsi="Times New Roman" w:eastAsia="宋体" w:cs="Times New Roman"/>
          <w:b/>
          <w:bCs/>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表2-12  储粪池、无害化处理池、混合搅拌池恶臭排放情况一览表</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03"/>
        <w:gridCol w:w="867"/>
        <w:gridCol w:w="822"/>
        <w:gridCol w:w="778"/>
        <w:gridCol w:w="766"/>
        <w:gridCol w:w="722"/>
        <w:gridCol w:w="678"/>
        <w:gridCol w:w="580"/>
        <w:gridCol w:w="853"/>
        <w:gridCol w:w="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03"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项目</w:t>
            </w:r>
          </w:p>
        </w:tc>
        <w:tc>
          <w:tcPr>
            <w:tcW w:w="867"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面积（m</w:t>
            </w:r>
            <w:r>
              <w:rPr>
                <w:rFonts w:hint="default" w:ascii="Times New Roman" w:hAnsi="Times New Roman" w:cs="Times New Roman"/>
                <w:b/>
                <w:bCs/>
                <w:szCs w:val="21"/>
                <w:highlight w:val="none"/>
                <w:vertAlign w:val="superscript"/>
              </w:rPr>
              <w:t>2</w:t>
            </w:r>
            <w:r>
              <w:rPr>
                <w:rFonts w:hint="default" w:ascii="Times New Roman" w:hAnsi="Times New Roman" w:cs="Times New Roman"/>
                <w:b/>
                <w:bCs/>
                <w:szCs w:val="21"/>
                <w:highlight w:val="none"/>
              </w:rPr>
              <w:t>）</w:t>
            </w:r>
          </w:p>
        </w:tc>
        <w:tc>
          <w:tcPr>
            <w:tcW w:w="1600" w:type="dxa"/>
            <w:gridSpan w:val="2"/>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无遮盖排放强度（g/m</w:t>
            </w:r>
            <w:r>
              <w:rPr>
                <w:rFonts w:hint="default" w:ascii="Times New Roman" w:hAnsi="Times New Roman" w:cs="Times New Roman"/>
                <w:b/>
                <w:bCs/>
                <w:szCs w:val="21"/>
                <w:highlight w:val="none"/>
                <w:vertAlign w:val="superscript"/>
              </w:rPr>
              <w:t>2</w:t>
            </w:r>
            <w:r>
              <w:rPr>
                <w:rFonts w:hint="default" w:ascii="Times New Roman" w:hAnsi="Times New Roman" w:cs="Times New Roman"/>
                <w:b/>
                <w:bCs/>
                <w:szCs w:val="21"/>
                <w:highlight w:val="none"/>
              </w:rPr>
              <w:t>·d）</w:t>
            </w:r>
          </w:p>
        </w:tc>
        <w:tc>
          <w:tcPr>
            <w:tcW w:w="1488" w:type="dxa"/>
            <w:gridSpan w:val="2"/>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30%产污系数（kg/d）</w:t>
            </w:r>
          </w:p>
        </w:tc>
        <w:tc>
          <w:tcPr>
            <w:tcW w:w="1258" w:type="dxa"/>
            <w:gridSpan w:val="2"/>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去除效率（%）</w:t>
            </w:r>
          </w:p>
        </w:tc>
        <w:tc>
          <w:tcPr>
            <w:tcW w:w="1706" w:type="dxa"/>
            <w:gridSpan w:val="2"/>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排放量（kg/d）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03" w:type="dxa"/>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污染物</w:t>
            </w:r>
          </w:p>
        </w:tc>
        <w:tc>
          <w:tcPr>
            <w:tcW w:w="867" w:type="dxa"/>
            <w:shd w:val="clear" w:color="auto" w:fill="auto"/>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w:t>
            </w:r>
          </w:p>
        </w:tc>
        <w:tc>
          <w:tcPr>
            <w:tcW w:w="82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NH</w:t>
            </w:r>
            <w:r>
              <w:rPr>
                <w:rFonts w:hint="default" w:ascii="Times New Roman" w:hAnsi="Times New Roman" w:cs="Times New Roman"/>
                <w:szCs w:val="21"/>
                <w:highlight w:val="none"/>
                <w:vertAlign w:val="subscript"/>
              </w:rPr>
              <w:t>3</w:t>
            </w:r>
          </w:p>
        </w:tc>
        <w:tc>
          <w:tcPr>
            <w:tcW w:w="778"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S</w:t>
            </w:r>
          </w:p>
        </w:tc>
        <w:tc>
          <w:tcPr>
            <w:tcW w:w="766"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NH</w:t>
            </w:r>
            <w:r>
              <w:rPr>
                <w:rFonts w:hint="default" w:ascii="Times New Roman" w:hAnsi="Times New Roman" w:cs="Times New Roman"/>
                <w:szCs w:val="21"/>
                <w:highlight w:val="none"/>
                <w:vertAlign w:val="subscript"/>
              </w:rPr>
              <w:t>3</w:t>
            </w:r>
          </w:p>
        </w:tc>
        <w:tc>
          <w:tcPr>
            <w:tcW w:w="72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S</w:t>
            </w:r>
          </w:p>
        </w:tc>
        <w:tc>
          <w:tcPr>
            <w:tcW w:w="678"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NH</w:t>
            </w:r>
            <w:r>
              <w:rPr>
                <w:rFonts w:hint="default" w:ascii="Times New Roman" w:hAnsi="Times New Roman" w:cs="Times New Roman"/>
                <w:szCs w:val="21"/>
                <w:highlight w:val="none"/>
                <w:vertAlign w:val="subscript"/>
              </w:rPr>
              <w:t>3</w:t>
            </w:r>
          </w:p>
        </w:tc>
        <w:tc>
          <w:tcPr>
            <w:tcW w:w="58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S</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NH</w:t>
            </w:r>
            <w:r>
              <w:rPr>
                <w:rFonts w:hint="default" w:ascii="Times New Roman" w:hAnsi="Times New Roman" w:cs="Times New Roman"/>
                <w:szCs w:val="21"/>
                <w:highlight w:val="none"/>
                <w:vertAlign w:val="subscript"/>
              </w:rPr>
              <w:t>3</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0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储粪池、无害化处理池及混合搅拌池</w:t>
            </w:r>
          </w:p>
        </w:tc>
        <w:tc>
          <w:tcPr>
            <w:tcW w:w="867"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1500</w:t>
            </w:r>
          </w:p>
        </w:tc>
        <w:tc>
          <w:tcPr>
            <w:tcW w:w="82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5.2</w:t>
            </w:r>
          </w:p>
        </w:tc>
        <w:tc>
          <w:tcPr>
            <w:tcW w:w="778"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w:t>
            </w:r>
          </w:p>
        </w:tc>
        <w:tc>
          <w:tcPr>
            <w:tcW w:w="766"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2.34</w:t>
            </w:r>
          </w:p>
        </w:tc>
        <w:tc>
          <w:tcPr>
            <w:tcW w:w="72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0.63</w:t>
            </w:r>
          </w:p>
        </w:tc>
        <w:tc>
          <w:tcPr>
            <w:tcW w:w="678"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w:t>
            </w:r>
          </w:p>
        </w:tc>
        <w:tc>
          <w:tcPr>
            <w:tcW w:w="58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1.17</w:t>
            </w:r>
          </w:p>
        </w:tc>
        <w:tc>
          <w:tcPr>
            <w:tcW w:w="85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0.315</w:t>
            </w:r>
          </w:p>
        </w:tc>
      </w:tr>
    </w:tbl>
    <w:p>
      <w:pPr>
        <w:keepNext w:val="0"/>
        <w:keepLines w:val="0"/>
        <w:pageBreakBefore w:val="0"/>
        <w:widowControl w:val="0"/>
        <w:kinsoku/>
        <w:wordWrap/>
        <w:overflowPunct/>
        <w:topLinePunct w:val="0"/>
        <w:autoSpaceDE/>
        <w:autoSpaceDN/>
        <w:bidi w:val="0"/>
        <w:adjustRightInd/>
        <w:snapToGrid/>
        <w:spacing w:before="144" w:beforeLines="50"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项目储粪池、无害化处理池、混合搅拌池NH</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排放量为0.0488kg/h（0.427t/a），H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 xml:space="preserve">S的排放量为0.0131kg/h（0.115t/a）。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③沼液贮存池恶臭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废水经黑膜沼气池处理后存于沼液贮存池，于春夏施肥季节施用农田。沼液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本身无气味，但因其内部含有一定杂质气体，使得沼液有一定蛋白质腐烂味道，沼液贮存池恶臭气体产生源强可按照污水处理厂生化处理工段源强计算，为 NH</w:t>
      </w:r>
      <w:r>
        <w:rPr>
          <w:rFonts w:hint="default" w:ascii="Times New Roman" w:hAnsi="Times New Roman" w:eastAsia="宋体" w:cs="Times New Roman"/>
          <w:sz w:val="24"/>
          <w:szCs w:val="24"/>
          <w:highlight w:val="none"/>
          <w:vertAlign w:val="subscript"/>
        </w:rPr>
        <w:t xml:space="preserve">3 </w:t>
      </w:r>
      <w:r>
        <w:rPr>
          <w:rFonts w:hint="default" w:ascii="Times New Roman" w:hAnsi="Times New Roman" w:eastAsia="宋体" w:cs="Times New Roman"/>
          <w:sz w:val="24"/>
          <w:szCs w:val="24"/>
          <w:highlight w:val="none"/>
        </w:rPr>
        <w:t>0.12mg/(h·m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 1.19mg/(h·m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)，沼液贮存池面积为15000m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，则NH</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产生量为0.0018kg/h，H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 0.0179kg/h。根据《沼液中臭味物质的去除方法及其对营养物质的影响》（张晗，刘永军，环境工程学报，2010,7(2)），采用粉末活性炭吸附法处理沼液，臭味物质的去除情况以及营养物质的保留效果最好，当粉末活性炭投加量为15000mg/L 时，沼液中的硫化氢已经完全去除，氨气的去除率为13.98%。本项目运行后，向沼液贮存池定期投放粉末活性炭，NH</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去除率按 13.98%计，H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S去除率按90%计，则沼液贮存池NH</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排放量为0.00155kg/h、H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 xml:space="preserve">S 排放量为0.00179kg/h。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④沼气利用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本项目产生的沼气经常温Fe</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O</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干式脱硫法处理后，主要成分甲烷含量高于 69%，H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S浓度小于20mg/m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，符合使用要求。根据《规模化沼气工程设计规范》， 理论上每去除1kg CODcr可产生0.35m</w:t>
      </w:r>
      <w:r>
        <w:rPr>
          <w:rFonts w:hint="default" w:ascii="Times New Roman" w:hAnsi="Times New Roman" w:eastAsia="宋体" w:cs="Times New Roman"/>
          <w:sz w:val="24"/>
          <w:szCs w:val="24"/>
          <w:highlight w:val="none"/>
          <w:vertAlign w:val="superscript"/>
        </w:rPr>
        <w:t xml:space="preserve">3 </w:t>
      </w:r>
      <w:r>
        <w:rPr>
          <w:rFonts w:hint="default" w:ascii="Times New Roman" w:hAnsi="Times New Roman" w:eastAsia="宋体" w:cs="Times New Roman"/>
          <w:sz w:val="24"/>
          <w:szCs w:val="24"/>
          <w:highlight w:val="none"/>
        </w:rPr>
        <w:t>CH</w:t>
      </w:r>
      <w:r>
        <w:rPr>
          <w:rFonts w:hint="default" w:ascii="Times New Roman" w:hAnsi="Times New Roman" w:eastAsia="宋体" w:cs="Times New Roman"/>
          <w:sz w:val="24"/>
          <w:szCs w:val="24"/>
          <w:highlight w:val="none"/>
          <w:vertAlign w:val="subscript"/>
        </w:rPr>
        <w:t>4</w:t>
      </w:r>
      <w:r>
        <w:rPr>
          <w:rFonts w:hint="default" w:ascii="Times New Roman" w:hAnsi="Times New Roman" w:eastAsia="宋体" w:cs="Times New Roman"/>
          <w:sz w:val="24"/>
          <w:szCs w:val="24"/>
          <w:highlight w:val="none"/>
        </w:rPr>
        <w:t xml:space="preserve">，本项目对COD去除率为70%，共去除COD </w:t>
      </w:r>
      <w:r>
        <w:rPr>
          <w:rFonts w:hint="eastAsia" w:ascii="Times New Roman" w:hAnsi="Times New Roman" w:cs="Times New Roman"/>
          <w:sz w:val="24"/>
          <w:szCs w:val="24"/>
          <w:highlight w:val="none"/>
          <w:lang w:val="en-US" w:eastAsia="zh-CN"/>
        </w:rPr>
        <w:t>219.821</w:t>
      </w:r>
      <w:r>
        <w:rPr>
          <w:rFonts w:hint="default" w:ascii="Times New Roman" w:hAnsi="Times New Roman" w:eastAsia="宋体" w:cs="Times New Roman"/>
          <w:sz w:val="24"/>
          <w:szCs w:val="24"/>
          <w:highlight w:val="none"/>
        </w:rPr>
        <w:t>t/a，沼气中CH</w:t>
      </w:r>
      <w:r>
        <w:rPr>
          <w:rFonts w:hint="default" w:ascii="Times New Roman" w:hAnsi="Times New Roman" w:eastAsia="宋体" w:cs="Times New Roman"/>
          <w:sz w:val="24"/>
          <w:szCs w:val="24"/>
          <w:highlight w:val="none"/>
          <w:vertAlign w:val="subscript"/>
        </w:rPr>
        <w:t>4</w:t>
      </w:r>
      <w:r>
        <w:rPr>
          <w:rFonts w:hint="default" w:ascii="Times New Roman" w:hAnsi="Times New Roman" w:eastAsia="宋体" w:cs="Times New Roman"/>
          <w:sz w:val="24"/>
          <w:szCs w:val="24"/>
          <w:highlight w:val="none"/>
        </w:rPr>
        <w:t>含量为69%，则产生的沼气为</w:t>
      </w:r>
      <w:r>
        <w:rPr>
          <w:rFonts w:hint="eastAsia" w:ascii="Times New Roman" w:hAnsi="Times New Roman" w:cs="Times New Roman"/>
          <w:sz w:val="24"/>
          <w:szCs w:val="24"/>
          <w:highlight w:val="none"/>
          <w:lang w:val="en-US" w:eastAsia="zh-CN"/>
        </w:rPr>
        <w:t>11.15</w:t>
      </w:r>
      <w:r>
        <w:rPr>
          <w:rFonts w:hint="default" w:ascii="Times New Roman" w:hAnsi="Times New Roman" w:eastAsia="宋体" w:cs="Times New Roman"/>
          <w:sz w:val="24"/>
          <w:szCs w:val="24"/>
          <w:highlight w:val="none"/>
        </w:rPr>
        <w:t>万</w:t>
      </w:r>
      <w:r>
        <w:rPr>
          <w:rFonts w:hint="eastAsia" w:ascii="Times New Roman" w:hAnsi="Times New Roman" w:cs="Times New Roman"/>
          <w:sz w:val="24"/>
          <w:szCs w:val="24"/>
          <w:highlight w:val="none"/>
          <w:lang w:val="en-US" w:eastAsia="zh-CN"/>
        </w:rPr>
        <w:t>N</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/a，约</w:t>
      </w:r>
      <w:r>
        <w:rPr>
          <w:rFonts w:hint="eastAsia" w:ascii="Times New Roman" w:hAnsi="Times New Roman" w:cs="Times New Roman"/>
          <w:sz w:val="24"/>
          <w:szCs w:val="24"/>
          <w:highlight w:val="none"/>
          <w:lang w:val="en-US" w:eastAsia="zh-CN"/>
        </w:rPr>
        <w:t>305.5</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 a 食堂沼气使用量 </w:t>
      </w:r>
    </w:p>
    <w:p>
      <w:pPr>
        <w:pStyle w:val="2"/>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本项目沼气产生量为</w:t>
      </w:r>
      <w:r>
        <w:rPr>
          <w:rFonts w:hint="default" w:ascii="Times New Roman" w:hAnsi="Times New Roman" w:eastAsia="宋体" w:cs="Times New Roman"/>
          <w:sz w:val="24"/>
          <w:szCs w:val="24"/>
          <w:highlight w:val="none"/>
          <w:lang w:val="en-US" w:eastAsia="zh-CN"/>
        </w:rPr>
        <w:t>11.15</w:t>
      </w:r>
      <w:r>
        <w:rPr>
          <w:rFonts w:hint="default" w:ascii="Times New Roman" w:hAnsi="Times New Roman" w:eastAsia="宋体" w:cs="Times New Roman"/>
          <w:sz w:val="24"/>
          <w:szCs w:val="24"/>
          <w:highlight w:val="none"/>
        </w:rPr>
        <w:t>万</w:t>
      </w:r>
      <w:r>
        <w:rPr>
          <w:rFonts w:hint="default" w:ascii="Times New Roman" w:hAnsi="Times New Roman" w:eastAsia="宋体" w:cs="Times New Roman"/>
          <w:sz w:val="24"/>
          <w:szCs w:val="24"/>
          <w:highlight w:val="none"/>
          <w:lang w:val="en-US" w:eastAsia="zh-CN"/>
        </w:rPr>
        <w:t>N</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/a，部分用于食堂做饭，其余用作沼气发电，根据《城镇燃气设计规范》（GB50028-2006），职工食堂燃气用气量指标为1884~2303MJ/人·年，</w:t>
      </w:r>
      <w:r>
        <w:rPr>
          <w:rFonts w:hint="default" w:ascii="Times New Roman" w:hAnsi="Times New Roman" w:eastAsia="宋体" w:cs="Times New Roman"/>
          <w:sz w:val="24"/>
          <w:szCs w:val="24"/>
          <w:highlight w:val="none"/>
          <w:lang w:val="en-US" w:eastAsia="zh-CN"/>
        </w:rPr>
        <w:t>取2000MJ/</w:t>
      </w:r>
      <w:r>
        <w:rPr>
          <w:rFonts w:hint="default" w:ascii="Times New Roman" w:hAnsi="Times New Roman" w:eastAsia="宋体" w:cs="Times New Roman"/>
          <w:sz w:val="24"/>
          <w:szCs w:val="24"/>
          <w:highlight w:val="none"/>
        </w:rPr>
        <w:t>人·年</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沼气</w:t>
      </w:r>
      <w:r>
        <w:rPr>
          <w:rFonts w:hint="default" w:ascii="Times New Roman" w:hAnsi="Times New Roman" w:eastAsia="宋体" w:cs="Times New Roman"/>
          <w:sz w:val="24"/>
          <w:szCs w:val="24"/>
          <w:highlight w:val="none"/>
        </w:rPr>
        <w:t>的低热值为</w:t>
      </w:r>
      <w:r>
        <w:rPr>
          <w:rFonts w:hint="default" w:ascii="Times New Roman" w:hAnsi="Times New Roman" w:eastAsia="宋体" w:cs="Times New Roman"/>
          <w:sz w:val="24"/>
          <w:szCs w:val="24"/>
          <w:highlight w:val="none"/>
          <w:lang w:val="en-US" w:eastAsia="zh-CN"/>
        </w:rPr>
        <w:t>21.0</w:t>
      </w:r>
      <w:r>
        <w:rPr>
          <w:rFonts w:hint="default" w:ascii="Times New Roman" w:hAnsi="Times New Roman" w:eastAsia="宋体" w:cs="Times New Roman"/>
          <w:sz w:val="24"/>
          <w:szCs w:val="24"/>
          <w:highlight w:val="none"/>
        </w:rPr>
        <w:t>MJ/m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，则食堂燃气量为</w:t>
      </w:r>
      <w:r>
        <w:rPr>
          <w:rFonts w:hint="default" w:ascii="Times New Roman" w:hAnsi="Times New Roman" w:eastAsia="宋体" w:cs="Times New Roman"/>
          <w:sz w:val="24"/>
          <w:szCs w:val="24"/>
          <w:highlight w:val="none"/>
          <w:lang w:val="en-US" w:eastAsia="zh-CN"/>
        </w:rPr>
        <w:t>2000</w:t>
      </w:r>
      <w:r>
        <w:rPr>
          <w:rFonts w:hint="default" w:ascii="Times New Roman" w:hAnsi="Times New Roman" w:eastAsia="宋体" w:cs="Times New Roman"/>
          <w:sz w:val="24"/>
          <w:szCs w:val="24"/>
          <w:highlight w:val="none"/>
        </w:rPr>
        <w:t>MJ/人·年×</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21.0</w:t>
      </w:r>
      <w:r>
        <w:rPr>
          <w:rFonts w:hint="default" w:ascii="Times New Roman" w:hAnsi="Times New Roman" w:eastAsia="宋体" w:cs="Times New Roman"/>
          <w:sz w:val="24"/>
          <w:szCs w:val="24"/>
          <w:highlight w:val="none"/>
        </w:rPr>
        <w:t>MJ/m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=19</w:t>
      </w:r>
      <w:r>
        <w:rPr>
          <w:rFonts w:hint="default" w:ascii="Times New Roman" w:hAnsi="Times New Roman" w:eastAsia="宋体" w:cs="Times New Roman"/>
          <w:sz w:val="24"/>
          <w:szCs w:val="24"/>
          <w:highlight w:val="none"/>
          <w:lang w:val="en-US" w:eastAsia="zh-CN"/>
        </w:rPr>
        <w:t>04.8N</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则食堂沼气用量为19</w:t>
      </w:r>
      <w:r>
        <w:rPr>
          <w:rFonts w:hint="default" w:ascii="Times New Roman" w:hAnsi="Times New Roman" w:eastAsia="宋体" w:cs="Times New Roman"/>
          <w:sz w:val="24"/>
          <w:szCs w:val="24"/>
          <w:highlight w:val="none"/>
          <w:lang w:val="en-US" w:eastAsia="zh-CN"/>
        </w:rPr>
        <w:t>04.8</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b 沼气发电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项目选用内燃机式沼气发电机，发电机沼气燃烧废气中污染物为二氧化硫及氮氧化物。沼气主要成分与</w:t>
      </w:r>
      <w:r>
        <w:rPr>
          <w:rFonts w:hint="eastAsia" w:ascii="Times New Roman" w:hAnsi="Times New Roman" w:cs="Times New Roman"/>
          <w:sz w:val="24"/>
          <w:szCs w:val="24"/>
          <w:highlight w:val="none"/>
          <w:lang w:eastAsia="zh-CN"/>
        </w:rPr>
        <w:t>沼气</w:t>
      </w:r>
      <w:r>
        <w:rPr>
          <w:rFonts w:hint="default" w:ascii="Times New Roman" w:hAnsi="Times New Roman" w:eastAsia="宋体" w:cs="Times New Roman"/>
          <w:sz w:val="24"/>
          <w:szCs w:val="24"/>
          <w:highlight w:val="none"/>
        </w:rPr>
        <w:t>相同，均为甲烷，其燃烧废气污染物排放量参照《工业污染源产排污系数手册（2010 修订）》“火力发电行业（4411）”中</w:t>
      </w:r>
      <w:r>
        <w:rPr>
          <w:rFonts w:hint="eastAsia" w:ascii="Times New Roman" w:hAnsi="Times New Roman" w:cs="Times New Roman"/>
          <w:sz w:val="24"/>
          <w:szCs w:val="24"/>
          <w:highlight w:val="none"/>
          <w:lang w:eastAsia="zh-CN"/>
        </w:rPr>
        <w:t>沼气</w:t>
      </w:r>
      <w:r>
        <w:rPr>
          <w:rFonts w:hint="default" w:ascii="Times New Roman" w:hAnsi="Times New Roman" w:eastAsia="宋体" w:cs="Times New Roman"/>
          <w:sz w:val="24"/>
          <w:szCs w:val="24"/>
          <w:highlight w:val="none"/>
        </w:rPr>
        <w:t>燃机排污系数，废气量为24.55m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原料，颗粒物排污系数为103.9mg/ 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原料，二氧化硫排污系数为70.7mg/ 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原料，氮氧化物排污系数为1.66g/m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原料。本项目沼气发电使用沼气量为6.359万m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/a，则项目排放沼气发电燃烧废气量为 1.561×10</w:t>
      </w:r>
      <w:r>
        <w:rPr>
          <w:rFonts w:hint="default" w:ascii="Times New Roman" w:hAnsi="Times New Roman" w:eastAsia="宋体" w:cs="Times New Roman"/>
          <w:sz w:val="24"/>
          <w:szCs w:val="24"/>
          <w:highlight w:val="none"/>
          <w:vertAlign w:val="superscript"/>
        </w:rPr>
        <w:t>6</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/a，颗粒物排放量为0.0066t/a，排放浓度为4.2mg/m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，二氧化硫排放量为0.0045t/a，排放浓度为2.9mg/m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，氮氧化物排放量为0.106t/a，排放浓度为67.6mg/m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 xml:space="preserve">，废气经15m高排气筒排放。其排放浓度及排放速率均满足《大气污染物综合排放标准》（GB16297-1996）表2颗粒物、二氧化硫、氮氧化物二级排放限值要求。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⑤食堂油烟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职工就餐15人，将产生少量的食堂油烟废气。项目食堂使用沼气工程净化后的沼气。设灶眼2个，据对居民及餐饮企业的类比调查，目前居民人均日食用油用量约20g/人·d计，365天计算，预计年耗油量0.1095t/a。挥发量为总用油量的2.8%，油烟年产生量为3.066kg/a，按日进行烧炸工况6小时计，风机风量为500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/h，产生浓度为2.8mg/m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。项目产生的油烟经“油烟净化器”处理，处理效率60%，处理后由专用烟道引至屋顶排放，油烟排放量为1.2264kg/a，油烟排放浓度1.12mg/Nm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，满足《饮食业油烟排放标准》（GB18483-2001）中规定的最高允许排放浓度2.0mg/Nm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，油烟去除率不低于60%（小型）的标准要求。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⑥</w:t>
      </w:r>
      <w:r>
        <w:rPr>
          <w:rFonts w:hint="default" w:ascii="Times New Roman" w:hAnsi="Times New Roman" w:eastAsia="宋体" w:cs="Times New Roman"/>
          <w:sz w:val="24"/>
          <w:szCs w:val="24"/>
          <w:highlight w:val="none"/>
          <w:lang w:val="en-US" w:eastAsia="zh-CN"/>
        </w:rPr>
        <w:t>饲料加工废气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仅对外购的玉米进行破碎、筛分加工，之后与外购的麦麸、麦糠、豆粕等混合。项目年加工玉米等约2.95万t。根据《工业污染源产排污系数手册（2010修订）》中，1320饲料加工行业中年加工量小于10万t，污染物产生系数为0.045kg/t-产品，则颗粒物产生量为1.3275t/a，年加工2400h，则产生速率0.55kg/h。项目加工位于密闭车间内，在破碎、筛分及落料点处设置集气罩，对废气收集后经布袋除尘器处理，最终经一根不低于15m高排气筒排放。排气风机设计风量10000m³/h，排气筒出口内径0.4m，粉尘集气率按95%，去除率按99%计，则颗粒物有组织排放速率为0.0052kg/h，排放浓度0.52mg/m³；未收集部分（0.066375t/a）中的约90%（0.060t/a）车间内沉降，其余10%（0.0066t/a）无组织排放，排放速率为0.0028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⑦</w:t>
      </w:r>
      <w:r>
        <w:rPr>
          <w:rFonts w:hint="eastAsia" w:ascii="Times New Roman" w:hAnsi="Times New Roman" w:cs="Times New Roman"/>
          <w:sz w:val="24"/>
          <w:szCs w:val="24"/>
          <w:highlight w:val="none"/>
          <w:lang w:val="en-US" w:eastAsia="zh-CN"/>
        </w:rPr>
        <w:t>沼气</w:t>
      </w:r>
      <w:r>
        <w:rPr>
          <w:rFonts w:hint="default" w:ascii="Times New Roman" w:hAnsi="Times New Roman" w:eastAsia="宋体" w:cs="Times New Roman"/>
          <w:sz w:val="24"/>
          <w:szCs w:val="24"/>
          <w:highlight w:val="none"/>
          <w:lang w:val="en-US" w:eastAsia="zh-CN"/>
        </w:rPr>
        <w:t>锅炉燃烧废气</w:t>
      </w:r>
    </w:p>
    <w:p>
      <w:pPr>
        <w:pStyle w:val="2"/>
        <w:spacing w:line="360" w:lineRule="auto"/>
        <w:ind w:firstLine="480"/>
        <w:rPr>
          <w:rFonts w:hint="default" w:ascii="Times New Roman" w:hAnsi="Times New Roman" w:eastAsia="宋体" w:cs="Times New Roman"/>
          <w:snapToGrid w:val="0"/>
          <w:sz w:val="24"/>
          <w:szCs w:val="24"/>
          <w:highlight w:val="none"/>
        </w:rPr>
      </w:pPr>
      <w:r>
        <w:rPr>
          <w:rFonts w:hint="default" w:ascii="Times New Roman" w:hAnsi="Times New Roman" w:eastAsia="宋体" w:cs="Times New Roman"/>
          <w:sz w:val="24"/>
          <w:szCs w:val="24"/>
          <w:highlight w:val="none"/>
          <w:lang w:val="en-US" w:eastAsia="zh-CN"/>
        </w:rPr>
        <w:t>项目设置</w:t>
      </w:r>
      <w:r>
        <w:rPr>
          <w:rFonts w:hint="eastAsia" w:ascii="Times New Roman" w:hAnsi="Times New Roman" w:cs="Times New Roman"/>
          <w:sz w:val="24"/>
          <w:szCs w:val="24"/>
          <w:highlight w:val="none"/>
          <w:lang w:val="en-US" w:eastAsia="zh-CN"/>
        </w:rPr>
        <w:t>6</w:t>
      </w:r>
      <w:r>
        <w:rPr>
          <w:rFonts w:hint="default" w:ascii="Times New Roman" w:hAnsi="Times New Roman" w:eastAsia="宋体" w:cs="Times New Roman"/>
          <w:sz w:val="24"/>
          <w:szCs w:val="24"/>
          <w:highlight w:val="none"/>
          <w:lang w:val="en-US" w:eastAsia="zh-CN"/>
        </w:rPr>
        <w:t>t/h</w:t>
      </w:r>
      <w:r>
        <w:rPr>
          <w:rFonts w:hint="eastAsia" w:ascii="Times New Roman" w:hAnsi="Times New Roman" w:cs="Times New Roman"/>
          <w:sz w:val="24"/>
          <w:szCs w:val="24"/>
          <w:highlight w:val="none"/>
          <w:lang w:val="en-US" w:eastAsia="zh-CN"/>
        </w:rPr>
        <w:t>沼气</w:t>
      </w:r>
      <w:r>
        <w:rPr>
          <w:rFonts w:hint="default" w:ascii="Times New Roman" w:hAnsi="Times New Roman" w:eastAsia="宋体" w:cs="Times New Roman"/>
          <w:sz w:val="24"/>
          <w:szCs w:val="24"/>
          <w:highlight w:val="none"/>
          <w:lang w:val="en-US" w:eastAsia="zh-CN"/>
        </w:rPr>
        <w:t>热水锅炉，为厂区取暖供热使用，</w:t>
      </w:r>
      <w:r>
        <w:rPr>
          <w:rFonts w:hint="eastAsia" w:ascii="Times New Roman" w:hAnsi="Times New Roman" w:cs="Times New Roman"/>
          <w:sz w:val="24"/>
          <w:szCs w:val="24"/>
          <w:highlight w:val="none"/>
          <w:lang w:val="en-US" w:eastAsia="zh-CN"/>
        </w:rPr>
        <w:t>仅冬季100d使用，年消耗4.6</w:t>
      </w:r>
      <w:r>
        <w:rPr>
          <w:rFonts w:hint="default" w:ascii="Times New Roman" w:hAnsi="Times New Roman" w:eastAsia="宋体" w:cs="Times New Roman"/>
          <w:sz w:val="24"/>
          <w:szCs w:val="24"/>
          <w:highlight w:val="none"/>
          <w:lang w:val="en-US" w:eastAsia="zh-CN"/>
        </w:rPr>
        <w:t>万m³。项目拟设置超低氮燃烧器，根据</w:t>
      </w:r>
      <w:r>
        <w:rPr>
          <w:rFonts w:hint="default" w:ascii="Times New Roman" w:hAnsi="Times New Roman" w:eastAsia="宋体" w:cs="Times New Roman"/>
          <w:snapToGrid w:val="0"/>
          <w:sz w:val="24"/>
          <w:szCs w:val="24"/>
          <w:highlight w:val="none"/>
        </w:rPr>
        <w:t>《第一次全国污染源普查工业污染源产排污系数手册》及类比同类型燃气锅炉产排污系数表来估算</w:t>
      </w:r>
      <w:r>
        <w:rPr>
          <w:rFonts w:hint="default" w:ascii="Times New Roman" w:hAnsi="Times New Roman" w:eastAsia="宋体" w:cs="Times New Roman"/>
          <w:snapToGrid w:val="0"/>
          <w:sz w:val="24"/>
          <w:szCs w:val="24"/>
          <w:highlight w:val="none"/>
          <w:lang w:eastAsia="zh-CN"/>
        </w:rPr>
        <w:t>，</w:t>
      </w:r>
      <w:r>
        <w:rPr>
          <w:rFonts w:hint="default" w:ascii="Times New Roman" w:hAnsi="Times New Roman" w:eastAsia="宋体" w:cs="Times New Roman"/>
          <w:snapToGrid w:val="0"/>
          <w:sz w:val="24"/>
          <w:szCs w:val="24"/>
          <w:highlight w:val="none"/>
        </w:rPr>
        <w:t>本项目</w:t>
      </w:r>
      <w:r>
        <w:rPr>
          <w:rFonts w:hint="eastAsia" w:ascii="Times New Roman" w:hAnsi="Times New Roman" w:cs="Times New Roman"/>
          <w:snapToGrid w:val="0"/>
          <w:sz w:val="24"/>
          <w:szCs w:val="24"/>
          <w:highlight w:val="none"/>
          <w:lang w:eastAsia="zh-CN"/>
        </w:rPr>
        <w:t>沼气</w:t>
      </w:r>
      <w:r>
        <w:rPr>
          <w:rFonts w:hint="default" w:ascii="Times New Roman" w:hAnsi="Times New Roman" w:eastAsia="宋体" w:cs="Times New Roman"/>
          <w:snapToGrid w:val="0"/>
          <w:sz w:val="24"/>
          <w:szCs w:val="24"/>
          <w:highlight w:val="none"/>
          <w:lang w:eastAsia="zh-CN"/>
        </w:rPr>
        <w:t>热水炉</w:t>
      </w:r>
      <w:r>
        <w:rPr>
          <w:rFonts w:hint="default" w:ascii="Times New Roman" w:hAnsi="Times New Roman" w:eastAsia="宋体" w:cs="Times New Roman"/>
          <w:snapToGrid w:val="0"/>
          <w:sz w:val="24"/>
          <w:szCs w:val="24"/>
          <w:highlight w:val="none"/>
        </w:rPr>
        <w:t>污染物产生情况如下：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w:t>
      </w:r>
      <w:r>
        <w:rPr>
          <w:rFonts w:hint="default" w:ascii="Times New Roman" w:hAnsi="Times New Roman" w:eastAsia="黑体" w:cs="Times New Roman"/>
          <w:bCs/>
          <w:sz w:val="24"/>
          <w:szCs w:val="24"/>
          <w:highlight w:val="none"/>
          <w:lang w:val="en-US" w:eastAsia="zh-CN"/>
        </w:rPr>
        <w:t>2-13</w:t>
      </w:r>
      <w:r>
        <w:rPr>
          <w:rFonts w:hint="default" w:ascii="Times New Roman" w:hAnsi="Times New Roman" w:eastAsia="黑体" w:cs="Times New Roman"/>
          <w:bCs/>
          <w:sz w:val="24"/>
          <w:szCs w:val="24"/>
          <w:highlight w:val="none"/>
        </w:rPr>
        <w:t xml:space="preserve"> </w:t>
      </w:r>
      <w:r>
        <w:rPr>
          <w:rFonts w:hint="eastAsia" w:ascii="Times New Roman" w:hAnsi="Times New Roman" w:eastAsia="黑体" w:cs="Times New Roman"/>
          <w:bCs/>
          <w:sz w:val="24"/>
          <w:szCs w:val="24"/>
          <w:highlight w:val="none"/>
          <w:lang w:eastAsia="zh-CN"/>
        </w:rPr>
        <w:t>沼气</w:t>
      </w:r>
      <w:r>
        <w:rPr>
          <w:rFonts w:hint="eastAsia" w:ascii="Times New Roman" w:hAnsi="Times New Roman" w:eastAsia="黑体" w:cs="Times New Roman"/>
          <w:bCs/>
          <w:sz w:val="24"/>
          <w:szCs w:val="24"/>
          <w:highlight w:val="none"/>
          <w:lang w:val="en-US" w:eastAsia="zh-CN"/>
        </w:rPr>
        <w:t>锅炉</w:t>
      </w:r>
      <w:r>
        <w:rPr>
          <w:rFonts w:hint="default" w:ascii="Times New Roman" w:hAnsi="Times New Roman" w:eastAsia="黑体" w:cs="Times New Roman"/>
          <w:bCs/>
          <w:sz w:val="24"/>
          <w:szCs w:val="24"/>
          <w:highlight w:val="none"/>
        </w:rPr>
        <w:t>污染物排放一览表</w:t>
      </w:r>
    </w:p>
    <w:tbl>
      <w:tblPr>
        <w:tblStyle w:val="80"/>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1590"/>
        <w:gridCol w:w="1474"/>
        <w:gridCol w:w="153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0" w:type="dxa"/>
            <w:noWrap w:val="0"/>
            <w:vAlign w:val="center"/>
          </w:tcPr>
          <w:p>
            <w:pPr>
              <w:spacing w:line="240" w:lineRule="auto"/>
              <w:jc w:val="center"/>
              <w:rPr>
                <w:rFonts w:hint="default" w:ascii="Times New Roman" w:hAnsi="Times New Roman" w:cs="Times New Roman"/>
                <w:b/>
                <w:bCs/>
                <w:highlight w:val="none"/>
              </w:rPr>
            </w:pPr>
            <w:r>
              <w:rPr>
                <w:rFonts w:hint="default" w:ascii="Times New Roman" w:hAnsi="Times New Roman" w:cs="Times New Roman"/>
                <w:b/>
                <w:bCs/>
                <w:highlight w:val="none"/>
              </w:rPr>
              <w:t>污染物</w:t>
            </w:r>
          </w:p>
        </w:tc>
        <w:tc>
          <w:tcPr>
            <w:tcW w:w="1590" w:type="dxa"/>
            <w:noWrap w:val="0"/>
            <w:vAlign w:val="center"/>
          </w:tcPr>
          <w:p>
            <w:pPr>
              <w:spacing w:line="240" w:lineRule="auto"/>
              <w:jc w:val="center"/>
              <w:rPr>
                <w:rFonts w:hint="default" w:ascii="Times New Roman" w:hAnsi="Times New Roman" w:cs="Times New Roman"/>
                <w:b/>
                <w:bCs/>
                <w:highlight w:val="none"/>
              </w:rPr>
            </w:pPr>
            <w:r>
              <w:rPr>
                <w:rFonts w:hint="default" w:ascii="Times New Roman" w:hAnsi="Times New Roman" w:cs="Times New Roman"/>
                <w:b/>
                <w:bCs/>
                <w:highlight w:val="none"/>
              </w:rPr>
              <w:t>氮氧化物</w:t>
            </w:r>
          </w:p>
        </w:tc>
        <w:tc>
          <w:tcPr>
            <w:tcW w:w="1474" w:type="dxa"/>
            <w:noWrap w:val="0"/>
            <w:vAlign w:val="center"/>
          </w:tcPr>
          <w:p>
            <w:pPr>
              <w:spacing w:line="240" w:lineRule="auto"/>
              <w:jc w:val="center"/>
              <w:rPr>
                <w:rFonts w:hint="default" w:ascii="Times New Roman" w:hAnsi="Times New Roman" w:cs="Times New Roman"/>
                <w:b/>
                <w:bCs/>
                <w:highlight w:val="none"/>
              </w:rPr>
            </w:pPr>
            <w:r>
              <w:rPr>
                <w:rFonts w:hint="default" w:ascii="Times New Roman" w:hAnsi="Times New Roman" w:cs="Times New Roman"/>
                <w:b/>
                <w:bCs/>
                <w:highlight w:val="none"/>
              </w:rPr>
              <w:t>颗粒物</w:t>
            </w:r>
          </w:p>
        </w:tc>
        <w:tc>
          <w:tcPr>
            <w:tcW w:w="1532" w:type="dxa"/>
            <w:noWrap w:val="0"/>
            <w:vAlign w:val="center"/>
          </w:tcPr>
          <w:p>
            <w:pPr>
              <w:spacing w:line="240" w:lineRule="auto"/>
              <w:jc w:val="center"/>
              <w:rPr>
                <w:rFonts w:hint="default" w:ascii="Times New Roman" w:hAnsi="Times New Roman" w:cs="Times New Roman"/>
                <w:b/>
                <w:bCs/>
                <w:highlight w:val="none"/>
              </w:rPr>
            </w:pPr>
            <w:r>
              <w:rPr>
                <w:rFonts w:hint="default" w:ascii="Times New Roman" w:hAnsi="Times New Roman" w:cs="Times New Roman"/>
                <w:b/>
                <w:bCs/>
                <w:highlight w:val="none"/>
              </w:rPr>
              <w:t>二氧化硫</w:t>
            </w:r>
          </w:p>
        </w:tc>
        <w:tc>
          <w:tcPr>
            <w:tcW w:w="1532" w:type="dxa"/>
            <w:noWrap w:val="0"/>
            <w:vAlign w:val="center"/>
          </w:tcPr>
          <w:p>
            <w:pPr>
              <w:pStyle w:val="412"/>
              <w:adjustRightInd/>
              <w:spacing w:line="240" w:lineRule="auto"/>
              <w:jc w:val="center"/>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0"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系数（kg&amp;m³/万m³</w:t>
            </w:r>
          </w:p>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—原料）</w:t>
            </w:r>
          </w:p>
        </w:tc>
        <w:tc>
          <w:tcPr>
            <w:tcW w:w="1590"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3.742</w:t>
            </w:r>
          </w:p>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（超低氮后）</w:t>
            </w:r>
          </w:p>
        </w:tc>
        <w:tc>
          <w:tcPr>
            <w:tcW w:w="1474"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0.6</w:t>
            </w:r>
          </w:p>
        </w:tc>
        <w:tc>
          <w:tcPr>
            <w:tcW w:w="1532"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0.02</w:t>
            </w:r>
          </w:p>
        </w:tc>
        <w:tc>
          <w:tcPr>
            <w:tcW w:w="1532"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136259.17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0"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污染物排放量(kg/a)</w:t>
            </w:r>
          </w:p>
        </w:tc>
        <w:tc>
          <w:tcPr>
            <w:tcW w:w="1590" w:type="dxa"/>
            <w:noWrap w:val="0"/>
            <w:vAlign w:val="center"/>
          </w:tcPr>
          <w:p>
            <w:pPr>
              <w:spacing w:line="240" w:lineRule="auto"/>
              <w:jc w:val="center"/>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17.47</w:t>
            </w:r>
          </w:p>
        </w:tc>
        <w:tc>
          <w:tcPr>
            <w:tcW w:w="1474" w:type="dxa"/>
            <w:noWrap w:val="0"/>
            <w:vAlign w:val="center"/>
          </w:tcPr>
          <w:p>
            <w:pPr>
              <w:spacing w:line="240" w:lineRule="auto"/>
              <w:jc w:val="center"/>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2.76</w:t>
            </w:r>
          </w:p>
        </w:tc>
        <w:tc>
          <w:tcPr>
            <w:tcW w:w="1532" w:type="dxa"/>
            <w:noWrap w:val="0"/>
            <w:vAlign w:val="center"/>
          </w:tcPr>
          <w:p>
            <w:pPr>
              <w:spacing w:line="240" w:lineRule="auto"/>
              <w:jc w:val="center"/>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1.84</w:t>
            </w:r>
          </w:p>
        </w:tc>
        <w:tc>
          <w:tcPr>
            <w:tcW w:w="1532" w:type="dxa"/>
            <w:noWrap w:val="0"/>
            <w:vAlign w:val="center"/>
          </w:tcPr>
          <w:p>
            <w:pPr>
              <w:spacing w:line="240" w:lineRule="auto"/>
              <w:jc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62.7</w:t>
            </w:r>
            <w:r>
              <w:rPr>
                <w:rFonts w:hint="default" w:ascii="Times New Roman" w:hAnsi="Times New Roman" w:cs="Times New Roman"/>
                <w:highlight w:val="none"/>
              </w:rPr>
              <w:t>万m³/a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0"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污染物排放浓度（mg m³）</w:t>
            </w:r>
          </w:p>
        </w:tc>
        <w:tc>
          <w:tcPr>
            <w:tcW w:w="1590"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27.46</w:t>
            </w:r>
          </w:p>
        </w:tc>
        <w:tc>
          <w:tcPr>
            <w:tcW w:w="1474"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4.40</w:t>
            </w:r>
          </w:p>
        </w:tc>
        <w:tc>
          <w:tcPr>
            <w:tcW w:w="1532"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2.94</w:t>
            </w:r>
          </w:p>
        </w:tc>
        <w:tc>
          <w:tcPr>
            <w:tcW w:w="1532" w:type="dxa"/>
            <w:noWrap w:val="0"/>
            <w:vAlign w:val="center"/>
          </w:tcPr>
          <w:p>
            <w:pPr>
              <w:spacing w:line="240" w:lineRule="auto"/>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0"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执行排放标准（mg/m³）</w:t>
            </w:r>
          </w:p>
        </w:tc>
        <w:tc>
          <w:tcPr>
            <w:tcW w:w="1590"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30</w:t>
            </w:r>
          </w:p>
        </w:tc>
        <w:tc>
          <w:tcPr>
            <w:tcW w:w="1474"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5</w:t>
            </w:r>
          </w:p>
        </w:tc>
        <w:tc>
          <w:tcPr>
            <w:tcW w:w="1532" w:type="dxa"/>
            <w:noWrap w:val="0"/>
            <w:vAlign w:val="center"/>
          </w:tcPr>
          <w:p>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10</w:t>
            </w:r>
          </w:p>
        </w:tc>
        <w:tc>
          <w:tcPr>
            <w:tcW w:w="1532" w:type="dxa"/>
            <w:noWrap w:val="0"/>
            <w:vAlign w:val="center"/>
          </w:tcPr>
          <w:p>
            <w:pPr>
              <w:spacing w:line="240" w:lineRule="auto"/>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w:t>
            </w:r>
          </w:p>
        </w:tc>
      </w:tr>
    </w:tbl>
    <w:p>
      <w:pPr>
        <w:pStyle w:val="2"/>
        <w:spacing w:line="480" w:lineRule="exact"/>
        <w:ind w:firstLine="48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经处理后的燃烧废气，经不低于8m高排气筒排放。</w:t>
      </w:r>
    </w:p>
    <w:p>
      <w:pPr>
        <w:spacing w:before="120" w:beforeLines="50" w:after="120" w:afterLines="50"/>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2.7.3 噪声 </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项目噪声主要为沼气设备间风机、发电机噪声、水泵噪声等，源强约70-85dB</w:t>
      </w:r>
    </w:p>
    <w:p>
      <w:pPr>
        <w:spacing w:line="360" w:lineRule="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(A)，项目选用低噪声设备，并置于房屋内建筑隔声，设备安装减振基础，风机</w:t>
      </w:r>
    </w:p>
    <w:p>
      <w:pPr>
        <w:spacing w:line="360" w:lineRule="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为小型风机，风机安装消声器，采取上述措施后，项目场界噪声达标。项目主要</w:t>
      </w:r>
    </w:p>
    <w:p>
      <w:pPr>
        <w:spacing w:line="360" w:lineRule="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噪声设备声级及降噪措施见表2-13。</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表2-1</w:t>
      </w:r>
      <w:r>
        <w:rPr>
          <w:rFonts w:hint="default" w:ascii="Times New Roman" w:hAnsi="Times New Roman" w:eastAsia="黑体" w:cs="Times New Roman"/>
          <w:bCs/>
          <w:sz w:val="24"/>
          <w:szCs w:val="24"/>
          <w:highlight w:val="none"/>
          <w:lang w:val="en-US" w:eastAsia="zh-CN"/>
        </w:rPr>
        <w:t>4</w:t>
      </w:r>
      <w:r>
        <w:rPr>
          <w:rFonts w:hint="default" w:ascii="Times New Roman" w:hAnsi="Times New Roman" w:eastAsia="黑体" w:cs="Times New Roman"/>
          <w:bCs/>
          <w:sz w:val="24"/>
          <w:szCs w:val="24"/>
          <w:highlight w:val="none"/>
        </w:rPr>
        <w:t xml:space="preserve"> 主要噪声设备声级及降噪措施一览表</w:t>
      </w:r>
    </w:p>
    <w:tbl>
      <w:tblPr>
        <w:tblStyle w:val="8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1617"/>
        <w:gridCol w:w="1101"/>
        <w:gridCol w:w="1500"/>
        <w:gridCol w:w="2202"/>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序号</w:t>
            </w:r>
          </w:p>
        </w:tc>
        <w:tc>
          <w:tcPr>
            <w:tcW w:w="1617"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噪声设备</w:t>
            </w:r>
          </w:p>
        </w:tc>
        <w:tc>
          <w:tcPr>
            <w:tcW w:w="1101"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数量（台）</w:t>
            </w:r>
          </w:p>
        </w:tc>
        <w:tc>
          <w:tcPr>
            <w:tcW w:w="1500"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单台噪声值dB（A）</w:t>
            </w:r>
          </w:p>
        </w:tc>
        <w:tc>
          <w:tcPr>
            <w:tcW w:w="2202"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治理措施</w:t>
            </w:r>
          </w:p>
        </w:tc>
        <w:tc>
          <w:tcPr>
            <w:tcW w:w="1421"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单台降噪效果dB（A）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617"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沼气发电机</w:t>
            </w:r>
          </w:p>
        </w:tc>
        <w:tc>
          <w:tcPr>
            <w:tcW w:w="110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50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75</w:t>
            </w:r>
          </w:p>
        </w:tc>
        <w:tc>
          <w:tcPr>
            <w:tcW w:w="2202" w:type="dxa"/>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选用低噪声设备</w:t>
            </w:r>
            <w:r>
              <w:rPr>
                <w:rFonts w:hint="default" w:ascii="Times New Roman" w:hAnsi="Times New Roman" w:cs="Times New Roman"/>
                <w:szCs w:val="21"/>
                <w:highlight w:val="none"/>
                <w:lang w:eastAsia="zh-CN"/>
              </w:rPr>
              <w:t>、减振基础、建筑隔声等</w:t>
            </w:r>
          </w:p>
        </w:tc>
        <w:tc>
          <w:tcPr>
            <w:tcW w:w="142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1617"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风机</w:t>
            </w:r>
          </w:p>
        </w:tc>
        <w:tc>
          <w:tcPr>
            <w:tcW w:w="110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50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w:t>
            </w:r>
          </w:p>
        </w:tc>
        <w:tc>
          <w:tcPr>
            <w:tcW w:w="2202" w:type="dxa"/>
            <w:vMerge w:val="continue"/>
            <w:shd w:val="clear" w:color="auto" w:fill="auto"/>
            <w:vAlign w:val="center"/>
          </w:tcPr>
          <w:p>
            <w:pPr>
              <w:jc w:val="center"/>
              <w:rPr>
                <w:rFonts w:hint="default" w:ascii="Times New Roman" w:hAnsi="Times New Roman" w:cs="Times New Roman"/>
                <w:szCs w:val="21"/>
                <w:highlight w:val="none"/>
              </w:rPr>
            </w:pPr>
          </w:p>
        </w:tc>
        <w:tc>
          <w:tcPr>
            <w:tcW w:w="142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1617"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排渣泵</w:t>
            </w:r>
          </w:p>
        </w:tc>
        <w:tc>
          <w:tcPr>
            <w:tcW w:w="110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50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85</w:t>
            </w:r>
          </w:p>
        </w:tc>
        <w:tc>
          <w:tcPr>
            <w:tcW w:w="2202" w:type="dxa"/>
            <w:vMerge w:val="continue"/>
            <w:shd w:val="clear" w:color="auto" w:fill="auto"/>
            <w:vAlign w:val="center"/>
          </w:tcPr>
          <w:p>
            <w:pPr>
              <w:jc w:val="center"/>
              <w:rPr>
                <w:rFonts w:hint="default" w:ascii="Times New Roman" w:hAnsi="Times New Roman" w:cs="Times New Roman"/>
                <w:szCs w:val="21"/>
                <w:highlight w:val="none"/>
              </w:rPr>
            </w:pPr>
          </w:p>
        </w:tc>
        <w:tc>
          <w:tcPr>
            <w:tcW w:w="142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1617"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排水泵</w:t>
            </w:r>
          </w:p>
        </w:tc>
        <w:tc>
          <w:tcPr>
            <w:tcW w:w="110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150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75</w:t>
            </w:r>
          </w:p>
        </w:tc>
        <w:tc>
          <w:tcPr>
            <w:tcW w:w="2202" w:type="dxa"/>
            <w:vMerge w:val="continue"/>
            <w:shd w:val="clear" w:color="auto" w:fill="auto"/>
            <w:vAlign w:val="center"/>
          </w:tcPr>
          <w:p>
            <w:pPr>
              <w:jc w:val="center"/>
              <w:rPr>
                <w:rFonts w:hint="default" w:ascii="Times New Roman" w:hAnsi="Times New Roman" w:cs="Times New Roman"/>
                <w:szCs w:val="21"/>
                <w:highlight w:val="none"/>
              </w:rPr>
            </w:pPr>
          </w:p>
        </w:tc>
        <w:tc>
          <w:tcPr>
            <w:tcW w:w="142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68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1617"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刮粪机</w:t>
            </w:r>
          </w:p>
        </w:tc>
        <w:tc>
          <w:tcPr>
            <w:tcW w:w="110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w:t>
            </w:r>
          </w:p>
        </w:tc>
        <w:tc>
          <w:tcPr>
            <w:tcW w:w="1500"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w:t>
            </w:r>
          </w:p>
        </w:tc>
        <w:tc>
          <w:tcPr>
            <w:tcW w:w="2202" w:type="dxa"/>
            <w:vMerge w:val="continue"/>
            <w:shd w:val="clear" w:color="auto" w:fill="auto"/>
            <w:vAlign w:val="center"/>
          </w:tcPr>
          <w:p>
            <w:pPr>
              <w:jc w:val="center"/>
              <w:rPr>
                <w:rFonts w:hint="default" w:ascii="Times New Roman" w:hAnsi="Times New Roman" w:cs="Times New Roman"/>
                <w:szCs w:val="21"/>
                <w:highlight w:val="none"/>
              </w:rPr>
            </w:pPr>
          </w:p>
        </w:tc>
        <w:tc>
          <w:tcPr>
            <w:tcW w:w="1421"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dxa"/>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6</w:t>
            </w:r>
          </w:p>
        </w:tc>
        <w:tc>
          <w:tcPr>
            <w:tcW w:w="1617" w:type="dxa"/>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破碎、筛分设备</w:t>
            </w:r>
          </w:p>
        </w:tc>
        <w:tc>
          <w:tcPr>
            <w:tcW w:w="1101" w:type="dxa"/>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3</w:t>
            </w:r>
          </w:p>
        </w:tc>
        <w:tc>
          <w:tcPr>
            <w:tcW w:w="1500" w:type="dxa"/>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85</w:t>
            </w:r>
          </w:p>
        </w:tc>
        <w:tc>
          <w:tcPr>
            <w:tcW w:w="2202" w:type="dxa"/>
            <w:vMerge w:val="continue"/>
            <w:shd w:val="clear" w:color="auto" w:fill="auto"/>
            <w:vAlign w:val="center"/>
          </w:tcPr>
          <w:p>
            <w:pPr>
              <w:jc w:val="center"/>
              <w:rPr>
                <w:rFonts w:hint="default" w:ascii="Times New Roman" w:hAnsi="Times New Roman" w:cs="Times New Roman"/>
                <w:szCs w:val="21"/>
                <w:highlight w:val="none"/>
              </w:rPr>
            </w:pPr>
          </w:p>
        </w:tc>
        <w:tc>
          <w:tcPr>
            <w:tcW w:w="1421" w:type="dxa"/>
            <w:shd w:val="clear" w:color="auto" w:fill="auto"/>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w:t>
            </w:r>
          </w:p>
        </w:tc>
      </w:tr>
    </w:tbl>
    <w:p>
      <w:pPr>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br w:type="page"/>
      </w:r>
    </w:p>
    <w:p>
      <w:pPr>
        <w:spacing w:before="120" w:beforeLines="50" w:after="120" w:afterLines="50"/>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2.7.4 固体废物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本项目产生的固体废物包括：猪粪、病死猪、职工日常生活产生的生活垃圾、废脱硫剂及接种时产生的医疗废物，医疗废物主要为疫苗塑料包装瓶、注射器和针头，其危险废物类别为HW01医疗废物。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（1）猪粪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猪粪便是猪只养殖场主要固体污染物之一，根据《全国规模化畜禽养殖业污染情况调查与防治》及企业提供的数据，猪粪中各种污染物的平均含量及本项目猪粪便中各种污染物的产生量见表2-1</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表2-1</w:t>
      </w:r>
      <w:r>
        <w:rPr>
          <w:rFonts w:hint="default" w:ascii="Times New Roman" w:hAnsi="Times New Roman" w:eastAsia="黑体" w:cs="Times New Roman"/>
          <w:bCs/>
          <w:sz w:val="24"/>
          <w:szCs w:val="24"/>
          <w:highlight w:val="none"/>
          <w:lang w:val="en-US" w:eastAsia="zh-CN"/>
        </w:rPr>
        <w:t>5</w:t>
      </w:r>
      <w:r>
        <w:rPr>
          <w:rFonts w:hint="default" w:ascii="Times New Roman" w:hAnsi="Times New Roman" w:eastAsia="黑体" w:cs="Times New Roman"/>
          <w:bCs/>
          <w:sz w:val="24"/>
          <w:szCs w:val="24"/>
          <w:highlight w:val="none"/>
        </w:rPr>
        <w:t xml:space="preserve"> 猪粪便产生量计算表</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4"/>
        <w:gridCol w:w="1456"/>
        <w:gridCol w:w="1333"/>
        <w:gridCol w:w="1722"/>
        <w:gridCol w:w="1567"/>
        <w:gridCol w:w="1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4" w:type="dxa"/>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序号</w:t>
            </w:r>
          </w:p>
        </w:tc>
        <w:tc>
          <w:tcPr>
            <w:tcW w:w="1456" w:type="dxa"/>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名称</w:t>
            </w:r>
          </w:p>
        </w:tc>
        <w:tc>
          <w:tcPr>
            <w:tcW w:w="1333" w:type="dxa"/>
            <w:vMerge w:val="restart"/>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数量（头）</w:t>
            </w:r>
          </w:p>
        </w:tc>
        <w:tc>
          <w:tcPr>
            <w:tcW w:w="4819" w:type="dxa"/>
            <w:gridSpan w:val="3"/>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猪粪产生量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4" w:type="dxa"/>
            <w:vMerge w:val="continue"/>
            <w:shd w:val="clear" w:color="auto" w:fill="auto"/>
            <w:vAlign w:val="center"/>
          </w:tcPr>
          <w:p>
            <w:pPr>
              <w:jc w:val="center"/>
              <w:rPr>
                <w:rFonts w:hint="default" w:ascii="Times New Roman" w:hAnsi="Times New Roman" w:cs="Times New Roman"/>
                <w:b/>
                <w:bCs/>
                <w:szCs w:val="21"/>
                <w:highlight w:val="none"/>
              </w:rPr>
            </w:pPr>
          </w:p>
        </w:tc>
        <w:tc>
          <w:tcPr>
            <w:tcW w:w="1456" w:type="dxa"/>
            <w:vMerge w:val="continue"/>
            <w:shd w:val="clear" w:color="auto" w:fill="auto"/>
            <w:vAlign w:val="center"/>
          </w:tcPr>
          <w:p>
            <w:pPr>
              <w:jc w:val="center"/>
              <w:rPr>
                <w:rFonts w:hint="default" w:ascii="Times New Roman" w:hAnsi="Times New Roman" w:cs="Times New Roman"/>
                <w:b/>
                <w:bCs/>
                <w:szCs w:val="21"/>
                <w:highlight w:val="none"/>
              </w:rPr>
            </w:pPr>
          </w:p>
        </w:tc>
        <w:tc>
          <w:tcPr>
            <w:tcW w:w="1333" w:type="dxa"/>
            <w:vMerge w:val="continue"/>
            <w:shd w:val="clear" w:color="auto" w:fill="auto"/>
            <w:vAlign w:val="center"/>
          </w:tcPr>
          <w:p>
            <w:pPr>
              <w:jc w:val="center"/>
              <w:rPr>
                <w:rFonts w:hint="default" w:ascii="Times New Roman" w:hAnsi="Times New Roman" w:cs="Times New Roman"/>
                <w:b/>
                <w:bCs/>
                <w:szCs w:val="21"/>
                <w:highlight w:val="none"/>
              </w:rPr>
            </w:pPr>
          </w:p>
        </w:tc>
        <w:tc>
          <w:tcPr>
            <w:tcW w:w="1722"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每头猪粪产生量定额（kg/天）</w:t>
            </w:r>
          </w:p>
        </w:tc>
        <w:tc>
          <w:tcPr>
            <w:tcW w:w="1567"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猪粪日产生量（kg/天）</w:t>
            </w:r>
          </w:p>
        </w:tc>
        <w:tc>
          <w:tcPr>
            <w:tcW w:w="1530" w:type="dxa"/>
            <w:shd w:val="clear" w:color="auto" w:fill="auto"/>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猪粪年产生量（t/年）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4"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456"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育肥猪</w:t>
            </w:r>
          </w:p>
        </w:tc>
        <w:tc>
          <w:tcPr>
            <w:tcW w:w="133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25000</w:t>
            </w:r>
          </w:p>
        </w:tc>
        <w:tc>
          <w:tcPr>
            <w:tcW w:w="172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1.81</w:t>
            </w:r>
          </w:p>
        </w:tc>
        <w:tc>
          <w:tcPr>
            <w:tcW w:w="1567"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45250</w:t>
            </w:r>
          </w:p>
        </w:tc>
        <w:tc>
          <w:tcPr>
            <w:tcW w:w="1530" w:type="dxa"/>
            <w:vMerge w:val="restart"/>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22210.25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4"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1456"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保育猪</w:t>
            </w:r>
          </w:p>
        </w:tc>
        <w:tc>
          <w:tcPr>
            <w:tcW w:w="133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15000</w:t>
            </w:r>
          </w:p>
        </w:tc>
        <w:tc>
          <w:tcPr>
            <w:tcW w:w="172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1.04</w:t>
            </w:r>
          </w:p>
        </w:tc>
        <w:tc>
          <w:tcPr>
            <w:tcW w:w="1567"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15600</w:t>
            </w:r>
          </w:p>
        </w:tc>
        <w:tc>
          <w:tcPr>
            <w:tcW w:w="1530" w:type="dxa"/>
            <w:vMerge w:val="continue"/>
            <w:shd w:val="clear" w:color="auto" w:fill="auto"/>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370" w:type="dxa"/>
            <w:gridSpan w:val="2"/>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合计</w:t>
            </w:r>
          </w:p>
        </w:tc>
        <w:tc>
          <w:tcPr>
            <w:tcW w:w="1333"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40000</w:t>
            </w:r>
          </w:p>
        </w:tc>
        <w:tc>
          <w:tcPr>
            <w:tcW w:w="1722"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67" w:type="dxa"/>
            <w:shd w:val="clear" w:color="auto" w:fill="auto"/>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60850</w:t>
            </w:r>
          </w:p>
        </w:tc>
        <w:tc>
          <w:tcPr>
            <w:tcW w:w="1530" w:type="dxa"/>
            <w:vMerge w:val="continue"/>
            <w:shd w:val="clear" w:color="auto" w:fill="auto"/>
            <w:vAlign w:val="center"/>
          </w:tcPr>
          <w:p>
            <w:pPr>
              <w:jc w:val="center"/>
              <w:rPr>
                <w:rFonts w:hint="default" w:ascii="Times New Roman" w:hAnsi="Times New Roman" w:cs="Times New Roman"/>
                <w:szCs w:val="21"/>
                <w:highlight w:val="none"/>
              </w:rPr>
            </w:pPr>
          </w:p>
        </w:tc>
      </w:tr>
    </w:tbl>
    <w:p>
      <w:pPr>
        <w:keepNext w:val="0"/>
        <w:keepLines w:val="0"/>
        <w:pageBreakBefore w:val="0"/>
        <w:widowControl w:val="0"/>
        <w:kinsoku/>
        <w:wordWrap/>
        <w:overflowPunct/>
        <w:topLinePunct w:val="0"/>
        <w:autoSpaceDE/>
        <w:autoSpaceDN/>
        <w:bidi w:val="0"/>
        <w:adjustRightInd/>
        <w:snapToGrid/>
        <w:spacing w:before="144" w:beforeLines="50"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本项目鲜猪粪产生量为60.85t/d（22210.25t/a），本项目采用干清粪工艺。根据前文分析可知，因项目沼气池内需要添加粪便使其料液TS浓度达到8%，才能厌氧反应正常进行，而粪便固态物质含量为60%，根据项目沼气池内不同季节废水量计算可知，各季节沼气池内计算需要粪便投入量均为45.63t/d。因此可知项目每日产生的45.63t猪粪全部进入沼气池，剩余15.22t/d进入储粪池及无害化处理池厌氧发酵，无害化处理后用作农肥。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本项目设500立方米猪粪无害化处理池1座，剩余猪粪在无害化处理池进行发酵处理，处理后外售用作农肥。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（2）病死猪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类比相关项目可知，本项目因伤病致死的猪平均约每年6250头。本项目按HJ/T 81-2001《畜禽养殖业污染防治技术规范》及相关要求将病死猪及时送昌黎县军强畜禽无害化处理厂处理，厂区内设病死猪暂存库1间。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（3）废脱硫剂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废脱硫剂来源于沼气脱硫塔，脱硫塔采用活性氧化铁吸附柱脱硫除臭。氧化铁法脱硫，是以氧化铁为基本的脱硫剂，脱去沼气中的硫化物。为增加脱硫剂的孔隙率，脱硫剂以木屑为填充料，再喷洒适量的水和少量熟石灰，反复翻晒制成，其pH值一般为8-9左右。脱硫剂脱硫的反应式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Fe</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O</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O + 3H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 Fe</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O + 3H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O</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Fe</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O</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O + 3H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 =2FeS + S + 4H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 xml:space="preserve">O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本项目沼气产生量为6.687万m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/a，根据相关资料，沼气中H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S含量约 0.5~2.0g/m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，脱硫后含量20mg/m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 xml:space="preserve">。根据上述化学反应方程式，氧化铁脱硫剂的理论需要量约为0.23t/a。一般当脱硫剂有效成分减少25%时，脱硫效果明显变差，脱硫剂不能继续使用，需要更换。因此，本项目废脱硫剂产生量为0.92t/a。废脱硫剂属一般固体废物，储存于库房内的暂存间内，全部由供货厂家回收再生利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（5）沼液、沼渣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①沼渣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沼渣是由进入沼气池的粪便产生，根据前文分析，进入沼气池的粪便量为16654.95t/a，粪便中干物质含量为60%，粪便中干物质被厌氧反应降解50%，10%进入沼液，剩下40%转化为沼渣，沼渣经固液分离后而含水率为60%，因此项目沼渣产生量为16654.95t/a×60%×40%÷（1-60%）=9889.35t/a。沼渣存放于沼渣储存池，全部用作农肥。根据前文分析并计算可知，项目沼渣产生量为27.094t/d。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②沼液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根据前文水平衡可知，夏季产生沼液中水总含量为120.36t/d × 122d = 14683.92t，其他季节产生沼液中水总含量为102.36t/d × 243d = 24873.48t。因此项目沼液年产生量为（14683.92t+24873.48t）=39557.4t/a。项目沼液存放于沼液储存池，沼液池容积15000m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 xml:space="preserve">，可满足沼液日常储存要求，并可容纳非追肥期沼液暂存要求，沼液最终全部用作农肥施用于周边农田。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（6）生活垃圾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项目员工生活垃圾产生量为</w:t>
      </w:r>
      <w:r>
        <w:rPr>
          <w:rFonts w:hint="default" w:ascii="Times New Roman" w:hAnsi="Times New Roman" w:eastAsia="宋体" w:cs="Times New Roman"/>
          <w:sz w:val="24"/>
          <w:szCs w:val="24"/>
          <w:highlight w:val="none"/>
          <w:lang w:val="en-US" w:eastAsia="zh-CN"/>
        </w:rPr>
        <w:t>1.5</w:t>
      </w:r>
      <w:r>
        <w:rPr>
          <w:rFonts w:hint="default" w:ascii="Times New Roman" w:hAnsi="Times New Roman" w:eastAsia="宋体" w:cs="Times New Roman"/>
          <w:sz w:val="24"/>
          <w:szCs w:val="24"/>
          <w:highlight w:val="none"/>
        </w:rPr>
        <w:t xml:space="preserve">t/a，生活垃圾由环卫部门集中处理。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（7）接种防疫废物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本项目为注射疫苗及为猪治病医疗时均产生少量医疗废物，主要为废注射器、废药瓶、废一次性手套等，产生量约为3.5t/a。在厂区内危废库暂存后，委托徐山口危险废物处理中心进行处理。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（8）饲料加工过程废气治理产生的除尘灰与地面落尘，每天清理，约为1.2t/a，收集后作为仍为饲料使用。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sz w:val="24"/>
          <w:szCs w:val="24"/>
          <w:highlight w:val="none"/>
        </w:rPr>
        <w:t xml:space="preserve">项目整体工程污染物产生及排放情况见表2-15。 </w:t>
      </w:r>
    </w:p>
    <w:p>
      <w:pPr>
        <w:spacing w:before="120" w:beforeLines="50" w:after="120" w:afterLines="50" w:line="360" w:lineRule="auto"/>
        <w:jc w:val="center"/>
        <w:rPr>
          <w:rFonts w:hint="default" w:ascii="Times New Roman" w:hAnsi="Times New Roman" w:eastAsia="宋体" w:cs="Times New Roman"/>
          <w:bCs/>
          <w:sz w:val="24"/>
          <w:szCs w:val="24"/>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表2-15 项目污染物产排汇总情况一览表</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5"/>
        <w:gridCol w:w="1123"/>
        <w:gridCol w:w="1494"/>
        <w:gridCol w:w="1567"/>
        <w:gridCol w:w="1266"/>
        <w:gridCol w:w="1484"/>
        <w:gridCol w:w="2427"/>
        <w:gridCol w:w="917"/>
        <w:gridCol w:w="20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785" w:type="dxa"/>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类别</w:t>
            </w:r>
          </w:p>
        </w:tc>
        <w:tc>
          <w:tcPr>
            <w:tcW w:w="2617" w:type="dxa"/>
            <w:gridSpan w:val="2"/>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污染源</w:t>
            </w:r>
          </w:p>
        </w:tc>
        <w:tc>
          <w:tcPr>
            <w:tcW w:w="1567" w:type="dxa"/>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污染物</w:t>
            </w:r>
          </w:p>
        </w:tc>
        <w:tc>
          <w:tcPr>
            <w:tcW w:w="2750" w:type="dxa"/>
            <w:gridSpan w:val="2"/>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源强</w:t>
            </w:r>
          </w:p>
        </w:tc>
        <w:tc>
          <w:tcPr>
            <w:tcW w:w="2427" w:type="dxa"/>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处理措施</w:t>
            </w:r>
          </w:p>
        </w:tc>
        <w:tc>
          <w:tcPr>
            <w:tcW w:w="917" w:type="dxa"/>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效率</w:t>
            </w:r>
          </w:p>
        </w:tc>
        <w:tc>
          <w:tcPr>
            <w:tcW w:w="2052" w:type="dxa"/>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废水</w:t>
            </w:r>
          </w:p>
        </w:tc>
        <w:tc>
          <w:tcPr>
            <w:tcW w:w="1123"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生活污水</w:t>
            </w:r>
          </w:p>
        </w:tc>
        <w:tc>
          <w:tcPr>
            <w:tcW w:w="149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食堂废水、生活污水</w:t>
            </w:r>
          </w:p>
        </w:tc>
        <w:tc>
          <w:tcPr>
            <w:tcW w:w="1567"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COD、氨氮</w:t>
            </w:r>
          </w:p>
        </w:tc>
        <w:tc>
          <w:tcPr>
            <w:tcW w:w="2750" w:type="dxa"/>
            <w:gridSpan w:val="2"/>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COD：8000mg/L；氨氮：500 mg/L</w:t>
            </w:r>
          </w:p>
        </w:tc>
        <w:tc>
          <w:tcPr>
            <w:tcW w:w="2427"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废水混合后经“厌氧消耗（黑膜沼气池）”</w:t>
            </w:r>
          </w:p>
        </w:tc>
        <w:tc>
          <w:tcPr>
            <w:tcW w:w="917"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COD70%；氨氮30%</w:t>
            </w:r>
          </w:p>
        </w:tc>
        <w:tc>
          <w:tcPr>
            <w:tcW w:w="2052"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COD：118.674t/a；氨氮：17.31t/a，农用，不外排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1123"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养殖废水</w:t>
            </w:r>
          </w:p>
        </w:tc>
        <w:tc>
          <w:tcPr>
            <w:tcW w:w="149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猪尿、猪舍冲洗水、渗滤液</w:t>
            </w:r>
          </w:p>
        </w:tc>
        <w:tc>
          <w:tcPr>
            <w:tcW w:w="1567" w:type="dxa"/>
            <w:vMerge w:val="continue"/>
            <w:vAlign w:val="center"/>
          </w:tcPr>
          <w:p>
            <w:pPr>
              <w:jc w:val="center"/>
              <w:rPr>
                <w:rFonts w:hint="default" w:ascii="Times New Roman" w:hAnsi="Times New Roman" w:cs="Times New Roman"/>
                <w:szCs w:val="21"/>
                <w:highlight w:val="none"/>
              </w:rPr>
            </w:pPr>
          </w:p>
        </w:tc>
        <w:tc>
          <w:tcPr>
            <w:tcW w:w="2750" w:type="dxa"/>
            <w:gridSpan w:val="2"/>
            <w:vMerge w:val="continue"/>
            <w:vAlign w:val="center"/>
          </w:tcPr>
          <w:p>
            <w:pPr>
              <w:jc w:val="center"/>
              <w:rPr>
                <w:rFonts w:hint="default" w:ascii="Times New Roman" w:hAnsi="Times New Roman" w:cs="Times New Roman"/>
                <w:szCs w:val="21"/>
                <w:highlight w:val="none"/>
              </w:rPr>
            </w:pP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Merge w:val="continue"/>
            <w:vAlign w:val="center"/>
          </w:tcPr>
          <w:p>
            <w:pPr>
              <w:jc w:val="center"/>
              <w:rPr>
                <w:rFonts w:hint="default" w:ascii="Times New Roman" w:hAnsi="Times New Roman" w:cs="Times New Roman"/>
                <w:szCs w:val="21"/>
                <w:highlight w:val="none"/>
              </w:rPr>
            </w:pPr>
          </w:p>
        </w:tc>
        <w:tc>
          <w:tcPr>
            <w:tcW w:w="2052" w:type="dxa"/>
            <w:vMerge w:val="continue"/>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废气</w:t>
            </w:r>
          </w:p>
        </w:tc>
        <w:tc>
          <w:tcPr>
            <w:tcW w:w="2617" w:type="dxa"/>
            <w:gridSpan w:val="2"/>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猪舍</w:t>
            </w: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氨</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230.98kg/d</w:t>
            </w:r>
          </w:p>
        </w:tc>
        <w:tc>
          <w:tcPr>
            <w:tcW w:w="2427"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粪尿干湿分离，干清粪+EM抑菌液</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99%</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0.481kg/h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continue"/>
            <w:vAlign w:val="center"/>
          </w:tcPr>
          <w:p>
            <w:pPr>
              <w:jc w:val="center"/>
              <w:rPr>
                <w:rFonts w:hint="default" w:ascii="Times New Roman" w:hAnsi="Times New Roman" w:cs="Times New Roman"/>
                <w:szCs w:val="21"/>
                <w:highlight w:val="none"/>
              </w:rPr>
            </w:pP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硫化氢</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28.88 kg/d</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99%</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0.06kg/h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restart"/>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储粪</w:t>
            </w:r>
            <w:r>
              <w:rPr>
                <w:rFonts w:hint="eastAsia" w:ascii="Times New Roman" w:hAnsi="Times New Roman" w:cs="Times New Roman"/>
                <w:szCs w:val="21"/>
                <w:highlight w:val="none"/>
                <w:lang w:val="en-US" w:eastAsia="zh-CN"/>
              </w:rPr>
              <w:t>储尿</w:t>
            </w:r>
            <w:r>
              <w:rPr>
                <w:rFonts w:hint="default" w:ascii="Times New Roman" w:hAnsi="Times New Roman" w:cs="Times New Roman"/>
                <w:szCs w:val="21"/>
                <w:highlight w:val="none"/>
              </w:rPr>
              <w:t>池</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黑膜沼气池、沼液池</w:t>
            </w: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氨</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0.325 kg/h</w:t>
            </w:r>
          </w:p>
        </w:tc>
        <w:tc>
          <w:tcPr>
            <w:tcW w:w="2427"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地下并加盖+ EM抑菌液</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85%</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0.0488kg/h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continue"/>
            <w:vAlign w:val="center"/>
          </w:tcPr>
          <w:p>
            <w:pPr>
              <w:jc w:val="center"/>
              <w:rPr>
                <w:rFonts w:hint="default" w:ascii="Times New Roman" w:hAnsi="Times New Roman" w:cs="Times New Roman"/>
                <w:szCs w:val="21"/>
                <w:highlight w:val="none"/>
              </w:rPr>
            </w:pP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硫化氢</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0.087 kg/h</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85%</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0.0131kg/h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沼液贮存池</w:t>
            </w: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氨</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0.0018kg/h</w:t>
            </w:r>
          </w:p>
        </w:tc>
        <w:tc>
          <w:tcPr>
            <w:tcW w:w="2427"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活性炭吸附</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13.98%</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0.00155kg/h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continue"/>
            <w:vAlign w:val="center"/>
          </w:tcPr>
          <w:p>
            <w:pPr>
              <w:jc w:val="center"/>
              <w:rPr>
                <w:rFonts w:hint="default" w:ascii="Times New Roman" w:hAnsi="Times New Roman" w:cs="Times New Roman"/>
                <w:szCs w:val="21"/>
                <w:highlight w:val="none"/>
              </w:rPr>
            </w:pP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硫化氢</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0.0179kg/h</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90%</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0.00179kg/h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沼气发电</w:t>
            </w: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颗粒物</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4.2mg/m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，0.0066t/a</w:t>
            </w:r>
          </w:p>
        </w:tc>
        <w:tc>
          <w:tcPr>
            <w:tcW w:w="2427"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0.0066t/a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continue"/>
            <w:vAlign w:val="center"/>
          </w:tcPr>
          <w:p>
            <w:pPr>
              <w:jc w:val="center"/>
              <w:rPr>
                <w:rFonts w:hint="default" w:ascii="Times New Roman" w:hAnsi="Times New Roman" w:cs="Times New Roman"/>
                <w:szCs w:val="21"/>
                <w:highlight w:val="none"/>
              </w:rPr>
            </w:pP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二氧化硫</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2.9mg/m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，0.0045t/a</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0.0045t/a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continue"/>
            <w:vAlign w:val="center"/>
          </w:tcPr>
          <w:p>
            <w:pPr>
              <w:jc w:val="center"/>
              <w:rPr>
                <w:rFonts w:hint="default" w:ascii="Times New Roman" w:hAnsi="Times New Roman" w:cs="Times New Roman"/>
                <w:szCs w:val="21"/>
                <w:highlight w:val="none"/>
              </w:rPr>
            </w:pP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氮氧化物</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67.6mg/m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，0.106t/a</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0.106t/a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食堂油烟</w:t>
            </w: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油烟</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2.8mg/m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，3.066kg/a</w:t>
            </w:r>
          </w:p>
        </w:tc>
        <w:tc>
          <w:tcPr>
            <w:tcW w:w="242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油烟净化器</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1.12mg/m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，1.2264kg/a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restart"/>
            <w:vAlign w:val="center"/>
          </w:tcPr>
          <w:p>
            <w:pPr>
              <w:jc w:val="center"/>
              <w:rPr>
                <w:rFonts w:hint="default" w:ascii="Times New Roman" w:hAnsi="Times New Roman" w:eastAsia="宋体" w:cs="Times New Roman"/>
                <w:szCs w:val="21"/>
                <w:highlight w:val="none"/>
                <w:lang w:eastAsia="zh-CN"/>
              </w:rPr>
            </w:pPr>
            <w:r>
              <w:rPr>
                <w:rFonts w:hint="eastAsia" w:ascii="Times New Roman" w:hAnsi="Times New Roman" w:cs="Times New Roman"/>
                <w:szCs w:val="21"/>
                <w:highlight w:val="none"/>
                <w:lang w:val="en-US" w:eastAsia="zh-CN"/>
              </w:rPr>
              <w:t>沼气</w:t>
            </w:r>
            <w:r>
              <w:rPr>
                <w:rFonts w:hint="default" w:ascii="Times New Roman" w:hAnsi="Times New Roman" w:cs="Times New Roman"/>
                <w:szCs w:val="21"/>
                <w:highlight w:val="none"/>
                <w:lang w:eastAsia="zh-CN"/>
              </w:rPr>
              <w:t>锅炉</w:t>
            </w: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颗粒物</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4.4</w:t>
            </w:r>
            <w:r>
              <w:rPr>
                <w:rFonts w:hint="default" w:ascii="Times New Roman" w:hAnsi="Times New Roman" w:cs="Times New Roman"/>
                <w:szCs w:val="21"/>
                <w:highlight w:val="none"/>
              </w:rPr>
              <w:t>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，0.0</w:t>
            </w:r>
            <w:r>
              <w:rPr>
                <w:rFonts w:hint="eastAsia" w:ascii="Times New Roman" w:hAnsi="Times New Roman" w:cs="Times New Roman"/>
                <w:szCs w:val="21"/>
                <w:highlight w:val="none"/>
                <w:lang w:val="en-US" w:eastAsia="zh-CN"/>
              </w:rPr>
              <w:t>028</w:t>
            </w:r>
            <w:r>
              <w:rPr>
                <w:rFonts w:hint="default" w:ascii="Times New Roman" w:hAnsi="Times New Roman" w:cs="Times New Roman"/>
                <w:szCs w:val="21"/>
                <w:highlight w:val="none"/>
              </w:rPr>
              <w:t>t/a</w:t>
            </w:r>
          </w:p>
        </w:tc>
        <w:tc>
          <w:tcPr>
            <w:tcW w:w="2427" w:type="dxa"/>
            <w:vMerge w:val="restart"/>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4.4</w:t>
            </w:r>
            <w:r>
              <w:rPr>
                <w:rFonts w:hint="default" w:ascii="Times New Roman" w:hAnsi="Times New Roman" w:cs="Times New Roman"/>
                <w:szCs w:val="21"/>
                <w:highlight w:val="none"/>
              </w:rPr>
              <w:t>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，0.0</w:t>
            </w:r>
            <w:r>
              <w:rPr>
                <w:rFonts w:hint="eastAsia" w:ascii="Times New Roman" w:hAnsi="Times New Roman" w:cs="Times New Roman"/>
                <w:szCs w:val="21"/>
                <w:highlight w:val="none"/>
                <w:lang w:val="en-US" w:eastAsia="zh-CN"/>
              </w:rPr>
              <w:t>028</w:t>
            </w:r>
            <w:r>
              <w:rPr>
                <w:rFonts w:hint="default" w:ascii="Times New Roman" w:hAnsi="Times New Roman" w:cs="Times New Roman"/>
                <w:szCs w:val="21"/>
                <w:highlight w:val="none"/>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continue"/>
            <w:vAlign w:val="center"/>
          </w:tcPr>
          <w:p>
            <w:pPr>
              <w:jc w:val="center"/>
              <w:rPr>
                <w:rFonts w:hint="default" w:ascii="Times New Roman" w:hAnsi="Times New Roman" w:cs="Times New Roman"/>
                <w:szCs w:val="21"/>
                <w:highlight w:val="none"/>
                <w:lang w:eastAsia="zh-CN"/>
              </w:rPr>
            </w:pP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二氧化硫</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2.9mg/m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，0.0</w:t>
            </w:r>
            <w:r>
              <w:rPr>
                <w:rFonts w:hint="eastAsia" w:ascii="Times New Roman" w:hAnsi="Times New Roman" w:cs="Times New Roman"/>
                <w:szCs w:val="21"/>
                <w:highlight w:val="none"/>
                <w:lang w:val="en-US" w:eastAsia="zh-CN"/>
              </w:rPr>
              <w:t>018</w:t>
            </w:r>
            <w:r>
              <w:rPr>
                <w:rFonts w:hint="default" w:ascii="Times New Roman" w:hAnsi="Times New Roman" w:cs="Times New Roman"/>
                <w:szCs w:val="21"/>
                <w:highlight w:val="none"/>
              </w:rPr>
              <w:t>t/a</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2.9mg/m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，0.0</w:t>
            </w:r>
            <w:r>
              <w:rPr>
                <w:rFonts w:hint="eastAsia" w:ascii="Times New Roman" w:hAnsi="Times New Roman" w:cs="Times New Roman"/>
                <w:szCs w:val="21"/>
                <w:highlight w:val="none"/>
                <w:lang w:val="en-US" w:eastAsia="zh-CN"/>
              </w:rPr>
              <w:t>018</w:t>
            </w:r>
            <w:r>
              <w:rPr>
                <w:rFonts w:hint="default" w:ascii="Times New Roman" w:hAnsi="Times New Roman" w:cs="Times New Roman"/>
                <w:szCs w:val="21"/>
                <w:highlight w:val="none"/>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continue"/>
            <w:vAlign w:val="center"/>
          </w:tcPr>
          <w:p>
            <w:pPr>
              <w:jc w:val="center"/>
              <w:rPr>
                <w:rFonts w:hint="default" w:ascii="Times New Roman" w:hAnsi="Times New Roman" w:cs="Times New Roman"/>
                <w:szCs w:val="21"/>
                <w:highlight w:val="none"/>
                <w:lang w:eastAsia="zh-CN"/>
              </w:rPr>
            </w:pP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氮氧化物</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27.46</w:t>
            </w:r>
            <w:r>
              <w:rPr>
                <w:rFonts w:hint="default" w:ascii="Times New Roman" w:hAnsi="Times New Roman" w:cs="Times New Roman"/>
                <w:szCs w:val="21"/>
                <w:highlight w:val="none"/>
              </w:rPr>
              <w:t>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，0.</w:t>
            </w:r>
            <w:r>
              <w:rPr>
                <w:rFonts w:hint="eastAsia" w:ascii="Times New Roman" w:hAnsi="Times New Roman" w:cs="Times New Roman"/>
                <w:szCs w:val="21"/>
                <w:highlight w:val="none"/>
                <w:lang w:val="en-US" w:eastAsia="zh-CN"/>
              </w:rPr>
              <w:t>017</w:t>
            </w:r>
            <w:r>
              <w:rPr>
                <w:rFonts w:hint="default" w:ascii="Times New Roman" w:hAnsi="Times New Roman" w:cs="Times New Roman"/>
                <w:szCs w:val="21"/>
                <w:highlight w:val="none"/>
              </w:rPr>
              <w:t>t/a</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27.46</w:t>
            </w:r>
            <w:r>
              <w:rPr>
                <w:rFonts w:hint="default" w:ascii="Times New Roman" w:hAnsi="Times New Roman" w:cs="Times New Roman"/>
                <w:szCs w:val="21"/>
                <w:highlight w:val="none"/>
              </w:rPr>
              <w:t>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，0.</w:t>
            </w:r>
            <w:r>
              <w:rPr>
                <w:rFonts w:hint="eastAsia" w:ascii="Times New Roman" w:hAnsi="Times New Roman" w:cs="Times New Roman"/>
                <w:szCs w:val="21"/>
                <w:highlight w:val="none"/>
                <w:lang w:val="en-US" w:eastAsia="zh-CN"/>
              </w:rPr>
              <w:t>017</w:t>
            </w:r>
            <w:r>
              <w:rPr>
                <w:rFonts w:hint="default" w:ascii="Times New Roman" w:hAnsi="Times New Roman" w:cs="Times New Roman"/>
                <w:szCs w:val="21"/>
                <w:highlight w:val="none"/>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饲料加工</w:t>
            </w:r>
          </w:p>
        </w:tc>
        <w:tc>
          <w:tcPr>
            <w:tcW w:w="1567" w:type="dxa"/>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颗粒物</w:t>
            </w:r>
          </w:p>
        </w:tc>
        <w:tc>
          <w:tcPr>
            <w:tcW w:w="2750" w:type="dxa"/>
            <w:gridSpan w:val="2"/>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0.5225kg/h，1.254t/a</w:t>
            </w:r>
          </w:p>
        </w:tc>
        <w:tc>
          <w:tcPr>
            <w:tcW w:w="2427" w:type="dxa"/>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集气罩+布袋除尘器</w:t>
            </w:r>
          </w:p>
        </w:tc>
        <w:tc>
          <w:tcPr>
            <w:tcW w:w="917" w:type="dxa"/>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99%</w:t>
            </w:r>
          </w:p>
        </w:tc>
        <w:tc>
          <w:tcPr>
            <w:tcW w:w="2052" w:type="dxa"/>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0.52</w:t>
            </w:r>
            <w:r>
              <w:rPr>
                <w:rFonts w:hint="default" w:ascii="Times New Roman" w:hAnsi="Times New Roman" w:cs="Times New Roman"/>
                <w:szCs w:val="21"/>
                <w:highlight w:val="none"/>
              </w:rPr>
              <w:t>mg/m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，0.</w:t>
            </w:r>
            <w:r>
              <w:rPr>
                <w:rFonts w:hint="eastAsia" w:ascii="Times New Roman" w:hAnsi="Times New Roman" w:cs="Times New Roman"/>
                <w:szCs w:val="21"/>
                <w:highlight w:val="none"/>
                <w:lang w:val="en-US" w:eastAsia="zh-CN"/>
              </w:rPr>
              <w:t>01248</w:t>
            </w:r>
            <w:r>
              <w:rPr>
                <w:rFonts w:hint="default" w:ascii="Times New Roman" w:hAnsi="Times New Roman" w:cs="Times New Roman"/>
                <w:szCs w:val="21"/>
                <w:highlight w:val="none"/>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噪声</w:t>
            </w:r>
          </w:p>
        </w:tc>
        <w:tc>
          <w:tcPr>
            <w:tcW w:w="2617"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沼气发电机</w:t>
            </w:r>
          </w:p>
        </w:tc>
        <w:tc>
          <w:tcPr>
            <w:tcW w:w="1567"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等效连续A声级</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75 dB（A）</w:t>
            </w:r>
          </w:p>
        </w:tc>
        <w:tc>
          <w:tcPr>
            <w:tcW w:w="2427"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低噪声设备、基础减振、</w:t>
            </w:r>
            <w:r>
              <w:rPr>
                <w:rFonts w:hint="default" w:ascii="Times New Roman" w:hAnsi="Times New Roman" w:cs="Times New Roman"/>
                <w:szCs w:val="21"/>
                <w:highlight w:val="none"/>
              </w:rPr>
              <w:t>建筑隔声</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风机</w:t>
            </w:r>
          </w:p>
        </w:tc>
        <w:tc>
          <w:tcPr>
            <w:tcW w:w="1567" w:type="dxa"/>
            <w:vMerge w:val="continue"/>
            <w:vAlign w:val="center"/>
          </w:tcPr>
          <w:p>
            <w:pPr>
              <w:jc w:val="center"/>
              <w:rPr>
                <w:rFonts w:hint="default" w:ascii="Times New Roman" w:hAnsi="Times New Roman" w:cs="Times New Roman"/>
                <w:szCs w:val="21"/>
                <w:highlight w:val="none"/>
              </w:rPr>
            </w:pP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 dB（A）</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排渣泵</w:t>
            </w:r>
          </w:p>
        </w:tc>
        <w:tc>
          <w:tcPr>
            <w:tcW w:w="1567" w:type="dxa"/>
            <w:vMerge w:val="continue"/>
            <w:vAlign w:val="center"/>
          </w:tcPr>
          <w:p>
            <w:pPr>
              <w:jc w:val="center"/>
              <w:rPr>
                <w:rFonts w:hint="default" w:ascii="Times New Roman" w:hAnsi="Times New Roman" w:cs="Times New Roman"/>
                <w:szCs w:val="21"/>
                <w:highlight w:val="none"/>
              </w:rPr>
            </w:pP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85 dB（A）</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65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排水泵</w:t>
            </w:r>
          </w:p>
        </w:tc>
        <w:tc>
          <w:tcPr>
            <w:tcW w:w="1567" w:type="dxa"/>
            <w:vMerge w:val="continue"/>
            <w:vAlign w:val="center"/>
          </w:tcPr>
          <w:p>
            <w:pPr>
              <w:jc w:val="center"/>
              <w:rPr>
                <w:rFonts w:hint="default" w:ascii="Times New Roman" w:hAnsi="Times New Roman" w:cs="Times New Roman"/>
                <w:szCs w:val="21"/>
                <w:highlight w:val="none"/>
              </w:rPr>
            </w:pP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75 dB（A）</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刮粪机</w:t>
            </w:r>
          </w:p>
        </w:tc>
        <w:tc>
          <w:tcPr>
            <w:tcW w:w="1567" w:type="dxa"/>
            <w:vMerge w:val="continue"/>
            <w:vAlign w:val="center"/>
          </w:tcPr>
          <w:p>
            <w:pPr>
              <w:jc w:val="center"/>
              <w:rPr>
                <w:rFonts w:hint="default" w:ascii="Times New Roman" w:hAnsi="Times New Roman" w:cs="Times New Roman"/>
                <w:szCs w:val="21"/>
                <w:highlight w:val="none"/>
              </w:rPr>
            </w:pP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 dB（A）</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破碎、筛分设备</w:t>
            </w:r>
          </w:p>
        </w:tc>
        <w:tc>
          <w:tcPr>
            <w:tcW w:w="1567" w:type="dxa"/>
            <w:vMerge w:val="continue"/>
            <w:vAlign w:val="center"/>
          </w:tcPr>
          <w:p>
            <w:pPr>
              <w:jc w:val="center"/>
              <w:rPr>
                <w:rFonts w:hint="default" w:ascii="Times New Roman" w:hAnsi="Times New Roman" w:cs="Times New Roman"/>
                <w:szCs w:val="21"/>
                <w:highlight w:val="none"/>
              </w:rPr>
            </w:pP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85 dB（A）</w:t>
            </w:r>
          </w:p>
        </w:tc>
        <w:tc>
          <w:tcPr>
            <w:tcW w:w="2427" w:type="dxa"/>
            <w:vMerge w:val="continue"/>
            <w:vAlign w:val="center"/>
          </w:tcPr>
          <w:p>
            <w:pPr>
              <w:jc w:val="center"/>
              <w:rPr>
                <w:rFonts w:hint="default" w:ascii="Times New Roman" w:hAnsi="Times New Roman" w:cs="Times New Roman"/>
                <w:szCs w:val="21"/>
                <w:highlight w:val="none"/>
              </w:rPr>
            </w:pPr>
          </w:p>
        </w:tc>
        <w:tc>
          <w:tcPr>
            <w:tcW w:w="917" w:type="dxa"/>
            <w:vAlign w:val="center"/>
          </w:tcPr>
          <w:p>
            <w:pPr>
              <w:jc w:val="center"/>
              <w:rPr>
                <w:rFonts w:hint="default" w:ascii="Times New Roman" w:hAnsi="Times New Roman" w:cs="Times New Roman"/>
                <w:szCs w:val="21"/>
                <w:highlight w:val="none"/>
              </w:rPr>
            </w:pPr>
          </w:p>
        </w:tc>
        <w:tc>
          <w:tcPr>
            <w:tcW w:w="2052" w:type="dxa"/>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固废</w:t>
            </w:r>
          </w:p>
        </w:tc>
        <w:tc>
          <w:tcPr>
            <w:tcW w:w="2617" w:type="dxa"/>
            <w:gridSpan w:val="2"/>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养殖过程</w:t>
            </w:r>
          </w:p>
        </w:tc>
        <w:tc>
          <w:tcPr>
            <w:tcW w:w="1567"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猪粪</w:t>
            </w:r>
          </w:p>
        </w:tc>
        <w:tc>
          <w:tcPr>
            <w:tcW w:w="1266" w:type="dxa"/>
            <w:vMerge w:val="restart"/>
            <w:tcBorders>
              <w:right w:val="single" w:color="auto" w:sz="4" w:space="0"/>
            </w:tcBorders>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22210.25t/a</w:t>
            </w:r>
          </w:p>
        </w:tc>
        <w:tc>
          <w:tcPr>
            <w:tcW w:w="1484" w:type="dxa"/>
            <w:tcBorders>
              <w:left w:val="single" w:color="auto" w:sz="4" w:space="0"/>
            </w:tcBorders>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16654.95</w:t>
            </w:r>
          </w:p>
        </w:tc>
        <w:tc>
          <w:tcPr>
            <w:tcW w:w="242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沼气池</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continue"/>
            <w:vAlign w:val="center"/>
          </w:tcPr>
          <w:p>
            <w:pPr>
              <w:jc w:val="center"/>
              <w:rPr>
                <w:rFonts w:hint="default" w:ascii="Times New Roman" w:hAnsi="Times New Roman" w:cs="Times New Roman"/>
                <w:szCs w:val="21"/>
                <w:highlight w:val="none"/>
              </w:rPr>
            </w:pPr>
          </w:p>
        </w:tc>
        <w:tc>
          <w:tcPr>
            <w:tcW w:w="1567" w:type="dxa"/>
            <w:vMerge w:val="continue"/>
            <w:vAlign w:val="center"/>
          </w:tcPr>
          <w:p>
            <w:pPr>
              <w:jc w:val="center"/>
              <w:rPr>
                <w:rFonts w:hint="default" w:ascii="Times New Roman" w:hAnsi="Times New Roman" w:cs="Times New Roman"/>
                <w:szCs w:val="21"/>
                <w:highlight w:val="none"/>
              </w:rPr>
            </w:pPr>
          </w:p>
        </w:tc>
        <w:tc>
          <w:tcPr>
            <w:tcW w:w="1266" w:type="dxa"/>
            <w:vMerge w:val="continue"/>
            <w:tcBorders>
              <w:right w:val="single" w:color="auto" w:sz="4" w:space="0"/>
            </w:tcBorders>
            <w:vAlign w:val="center"/>
          </w:tcPr>
          <w:p>
            <w:pPr>
              <w:jc w:val="center"/>
              <w:rPr>
                <w:rFonts w:hint="default" w:ascii="Times New Roman" w:hAnsi="Times New Roman" w:cs="Times New Roman"/>
                <w:szCs w:val="21"/>
                <w:highlight w:val="none"/>
              </w:rPr>
            </w:pPr>
          </w:p>
        </w:tc>
        <w:tc>
          <w:tcPr>
            <w:tcW w:w="1484" w:type="dxa"/>
            <w:tcBorders>
              <w:left w:val="single" w:color="auto" w:sz="4" w:space="0"/>
            </w:tcBorders>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5555.3</w:t>
            </w:r>
          </w:p>
        </w:tc>
        <w:tc>
          <w:tcPr>
            <w:tcW w:w="242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储粪池及无害化处理池</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continue"/>
            <w:vAlign w:val="center"/>
          </w:tcPr>
          <w:p>
            <w:pPr>
              <w:jc w:val="center"/>
              <w:rPr>
                <w:rFonts w:hint="default" w:ascii="Times New Roman" w:hAnsi="Times New Roman" w:cs="Times New Roman"/>
                <w:szCs w:val="21"/>
                <w:highlight w:val="none"/>
              </w:rPr>
            </w:pP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病死猪</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6250头/a</w:t>
            </w:r>
          </w:p>
        </w:tc>
        <w:tc>
          <w:tcPr>
            <w:tcW w:w="242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送有资质的无害化处理</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合理处置，不外排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沼气脱硫</w:t>
            </w: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废脱硫剂</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0.92t/a</w:t>
            </w:r>
          </w:p>
        </w:tc>
        <w:tc>
          <w:tcPr>
            <w:tcW w:w="242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厂家回收</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合理处置不外排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restart"/>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黑膜</w:t>
            </w:r>
            <w:r>
              <w:rPr>
                <w:rFonts w:hint="default" w:ascii="Times New Roman" w:hAnsi="Times New Roman" w:cs="Times New Roman"/>
                <w:szCs w:val="21"/>
                <w:highlight w:val="none"/>
              </w:rPr>
              <w:t>沼气池</w:t>
            </w: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沼液</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39557.4t/a</w:t>
            </w:r>
          </w:p>
        </w:tc>
        <w:tc>
          <w:tcPr>
            <w:tcW w:w="242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农用</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合理处置不外排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Merge w:val="continue"/>
            <w:vAlign w:val="center"/>
          </w:tcPr>
          <w:p>
            <w:pPr>
              <w:jc w:val="center"/>
              <w:rPr>
                <w:rFonts w:hint="default" w:ascii="Times New Roman" w:hAnsi="Times New Roman" w:cs="Times New Roman"/>
                <w:szCs w:val="21"/>
                <w:highlight w:val="none"/>
              </w:rPr>
            </w:pP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沼渣</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9889.35t/a</w:t>
            </w:r>
          </w:p>
        </w:tc>
        <w:tc>
          <w:tcPr>
            <w:tcW w:w="242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农用</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合理处置不外排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接种防疫</w:t>
            </w:r>
          </w:p>
        </w:tc>
        <w:tc>
          <w:tcPr>
            <w:tcW w:w="156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废注射器、废药瓶、废一次性手套</w:t>
            </w:r>
          </w:p>
        </w:tc>
        <w:tc>
          <w:tcPr>
            <w:tcW w:w="2750" w:type="dxa"/>
            <w:gridSpan w:val="2"/>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3.5t/a</w:t>
            </w:r>
          </w:p>
        </w:tc>
        <w:tc>
          <w:tcPr>
            <w:tcW w:w="242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厂区内危废库暂存后，委托徐山口危险废物处理中心进行处理</w:t>
            </w:r>
          </w:p>
        </w:tc>
        <w:tc>
          <w:tcPr>
            <w:tcW w:w="917"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205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合理处置不外排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饲料加工</w:t>
            </w:r>
          </w:p>
        </w:tc>
        <w:tc>
          <w:tcPr>
            <w:tcW w:w="1567" w:type="dxa"/>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饲料粉尘</w:t>
            </w:r>
          </w:p>
        </w:tc>
        <w:tc>
          <w:tcPr>
            <w:tcW w:w="2750" w:type="dxa"/>
            <w:gridSpan w:val="2"/>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1.2t/a</w:t>
            </w:r>
          </w:p>
        </w:tc>
        <w:tc>
          <w:tcPr>
            <w:tcW w:w="2427" w:type="dxa"/>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用作饲料</w:t>
            </w:r>
          </w:p>
        </w:tc>
        <w:tc>
          <w:tcPr>
            <w:tcW w:w="917" w:type="dxa"/>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100%</w:t>
            </w:r>
          </w:p>
        </w:tc>
        <w:tc>
          <w:tcPr>
            <w:tcW w:w="2052" w:type="dxa"/>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785" w:type="dxa"/>
            <w:vMerge w:val="continue"/>
            <w:vAlign w:val="center"/>
          </w:tcPr>
          <w:p>
            <w:pPr>
              <w:jc w:val="center"/>
              <w:rPr>
                <w:rFonts w:hint="default" w:ascii="Times New Roman" w:hAnsi="Times New Roman" w:cs="Times New Roman"/>
                <w:szCs w:val="21"/>
                <w:highlight w:val="none"/>
              </w:rPr>
            </w:pPr>
          </w:p>
        </w:tc>
        <w:tc>
          <w:tcPr>
            <w:tcW w:w="2617" w:type="dxa"/>
            <w:gridSpan w:val="2"/>
            <w:vAlign w:val="center"/>
          </w:tcPr>
          <w:p>
            <w:pPr>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员工生活</w:t>
            </w:r>
          </w:p>
        </w:tc>
        <w:tc>
          <w:tcPr>
            <w:tcW w:w="1567" w:type="dxa"/>
            <w:vAlign w:val="center"/>
          </w:tcPr>
          <w:p>
            <w:pPr>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生活垃圾</w:t>
            </w:r>
          </w:p>
        </w:tc>
        <w:tc>
          <w:tcPr>
            <w:tcW w:w="2750" w:type="dxa"/>
            <w:gridSpan w:val="2"/>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1.5t/a</w:t>
            </w:r>
          </w:p>
        </w:tc>
        <w:tc>
          <w:tcPr>
            <w:tcW w:w="2427" w:type="dxa"/>
            <w:vAlign w:val="center"/>
          </w:tcPr>
          <w:p>
            <w:pPr>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环卫部门处理</w:t>
            </w:r>
          </w:p>
        </w:tc>
        <w:tc>
          <w:tcPr>
            <w:tcW w:w="917" w:type="dxa"/>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100%</w:t>
            </w:r>
          </w:p>
        </w:tc>
        <w:tc>
          <w:tcPr>
            <w:tcW w:w="2052" w:type="dxa"/>
            <w:vAlign w:val="center"/>
          </w:tcPr>
          <w:p>
            <w:pPr>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不外排</w:t>
            </w:r>
          </w:p>
        </w:tc>
      </w:tr>
    </w:tbl>
    <w:p>
      <w:pPr>
        <w:spacing w:line="480" w:lineRule="exact"/>
        <w:ind w:firstLine="480" w:firstLineChars="200"/>
        <w:rPr>
          <w:rFonts w:hint="default" w:ascii="Times New Roman" w:hAnsi="Times New Roman" w:cs="Times New Roman"/>
          <w:sz w:val="24"/>
          <w:szCs w:val="24"/>
          <w:highlight w:val="none"/>
        </w:rPr>
        <w:sectPr>
          <w:pgSz w:w="16838" w:h="11906" w:orient="landscape"/>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2.7.5 非正常工况分析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本目设计采用的生产工艺属于国内较先进、成熟的生产工艺，在工艺流程设计中为最大限度地避免事故的发生。根据本项目的情况，结合国内同类生产置的运行情况，确定以下几种非正常状况：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（1）停水、停电、设备检修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在项目运行过程中，停电、停水，或某一设备发生故障，可导致某一系统装置临时停工。当发生上述情况时，组织人员进行抢修；如果短时间不能修复正常，可将物料或废水、废液等排入备用容器或收集池中暂存，待故障彻底排除后，再恢复正常生产。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（2）沼气发酵系统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沼气发酵系统非正常工况主要为系统设备故障和池体出现渗漏导致系统单元不能正常运行。设计、施工中严把质量关，以降低非正常工况出现的几率。黑膜沼气池为本项目污水处理系统中最主要处理单元，其发生故障时，场内污水处理系统将陷入瘫痪状态，产生的污水不能及时处理。本项目黑膜沼气池前储粪池及搅拌池均预留污粪储存能力，在黑膜沼气池发生故障的时候，可以有效容纳4 天以上污粪量，待黑膜沼气池恢复正常工作后，将污粪泵入黑膜沼气池进行厌氧发酵处理。黑膜沼气池安排专职人员，做好设备的日常巡查、维护工作。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（3）沼气火炬故障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r>
        <w:rPr>
          <w:rFonts w:hint="default" w:ascii="Times New Roman" w:hAnsi="Times New Roman" w:eastAsia="宋体" w:cs="Times New Roman"/>
          <w:sz w:val="24"/>
          <w:szCs w:val="24"/>
          <w:highlight w:val="none"/>
        </w:rPr>
        <w:t>沼气发电燃烧器系统突发故障时，自动报警，启动紧急关闭系统。设紧急关闭按钮，也可人工紧急关闭。立即切断除通风机外的所有电源，进入排故状态。</w:t>
      </w:r>
    </w:p>
    <w:p>
      <w:pPr>
        <w:spacing w:before="120" w:beforeLines="50" w:after="120" w:afterLines="50"/>
        <w:jc w:val="left"/>
        <w:outlineLvl w:val="0"/>
        <w:rPr>
          <w:rFonts w:hint="default" w:ascii="Times New Roman" w:hAnsi="Times New Roman" w:eastAsia="黑体" w:cs="Times New Roman"/>
          <w:bCs/>
          <w:sz w:val="32"/>
          <w:szCs w:val="32"/>
          <w:highlight w:val="none"/>
        </w:rPr>
      </w:pPr>
      <w:bookmarkStart w:id="49" w:name="_Toc12291"/>
      <w:r>
        <w:rPr>
          <w:rFonts w:hint="default" w:ascii="Times New Roman" w:hAnsi="Times New Roman" w:eastAsia="黑体" w:cs="Times New Roman"/>
          <w:bCs/>
          <w:sz w:val="32"/>
          <w:szCs w:val="32"/>
          <w:highlight w:val="none"/>
        </w:rPr>
        <w:t>3环境现状调查与评价</w:t>
      </w:r>
      <w:bookmarkEnd w:id="33"/>
      <w:bookmarkEnd w:id="34"/>
      <w:bookmarkEnd w:id="35"/>
      <w:bookmarkEnd w:id="36"/>
      <w:bookmarkEnd w:id="37"/>
      <w:bookmarkEnd w:id="38"/>
      <w:bookmarkEnd w:id="39"/>
      <w:bookmarkEnd w:id="49"/>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50" w:name="_Toc178396423"/>
      <w:bookmarkStart w:id="51" w:name="_Toc178396147"/>
      <w:bookmarkStart w:id="52" w:name="_Toc521334372"/>
      <w:bookmarkStart w:id="53" w:name="_Toc260841323"/>
      <w:bookmarkStart w:id="54" w:name="_Toc324694072"/>
      <w:bookmarkStart w:id="55" w:name="_Toc260840844"/>
      <w:bookmarkStart w:id="56" w:name="_Toc21116"/>
      <w:bookmarkStart w:id="57" w:name="_Toc260841147"/>
      <w:bookmarkStart w:id="58" w:name="_Toc219716127"/>
      <w:r>
        <w:rPr>
          <w:rFonts w:hint="default" w:ascii="Times New Roman" w:hAnsi="Times New Roman" w:eastAsia="黑体" w:cs="Times New Roman"/>
          <w:bCs/>
          <w:sz w:val="30"/>
          <w:szCs w:val="30"/>
          <w:highlight w:val="none"/>
        </w:rPr>
        <w:t>3.1</w:t>
      </w:r>
      <w:bookmarkEnd w:id="50"/>
      <w:bookmarkEnd w:id="51"/>
      <w:r>
        <w:rPr>
          <w:rFonts w:hint="default" w:ascii="Times New Roman" w:hAnsi="Times New Roman" w:eastAsia="黑体" w:cs="Times New Roman"/>
          <w:bCs/>
          <w:sz w:val="30"/>
          <w:szCs w:val="30"/>
          <w:highlight w:val="none"/>
        </w:rPr>
        <w:t>地理位置</w:t>
      </w:r>
      <w:bookmarkEnd w:id="52"/>
      <w:bookmarkEnd w:id="53"/>
      <w:bookmarkEnd w:id="54"/>
      <w:bookmarkEnd w:id="55"/>
      <w:bookmarkEnd w:id="56"/>
      <w:bookmarkEnd w:id="57"/>
      <w:bookmarkEnd w:id="5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bookmarkStart w:id="59" w:name="_Toc178396148"/>
      <w:bookmarkStart w:id="60" w:name="_Toc178396424"/>
      <w:bookmarkStart w:id="61" w:name="_Toc260840845"/>
      <w:bookmarkStart w:id="62" w:name="_Toc324694073"/>
      <w:bookmarkStart w:id="63" w:name="_Toc219716128"/>
      <w:bookmarkStart w:id="64" w:name="_Toc260841324"/>
      <w:bookmarkStart w:id="65" w:name="_Toc521334373"/>
      <w:bookmarkStart w:id="66" w:name="_Toc260841148"/>
      <w:r>
        <w:rPr>
          <w:rFonts w:hint="default" w:ascii="Times New Roman" w:hAnsi="Times New Roman" w:eastAsia="宋体" w:cs="Times New Roman"/>
          <w:sz w:val="24"/>
          <w:highlight w:val="none"/>
        </w:rPr>
        <w:t>项目位于项目位于秦皇岛市卢龙县下寨乡马庄子村南。项目中心地理位置坐标为</w:t>
      </w:r>
      <w:r>
        <w:rPr>
          <w:rFonts w:hint="default" w:ascii="Times New Roman" w:hAnsi="Times New Roman" w:eastAsia="宋体" w:cs="Times New Roman"/>
          <w:sz w:val="24"/>
          <w:szCs w:val="24"/>
          <w:highlight w:val="none"/>
        </w:rPr>
        <w:t>北纬39°52′10.72″，东经118°56′24.35″</w:t>
      </w:r>
      <w:r>
        <w:rPr>
          <w:rFonts w:hint="default" w:ascii="Times New Roman" w:hAnsi="Times New Roman" w:eastAsia="宋体" w:cs="Times New Roman"/>
          <w:sz w:val="24"/>
          <w:highlight w:val="none"/>
        </w:rPr>
        <w:t>。项目四周均为农田。</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67" w:name="_Toc28798"/>
      <w:r>
        <w:rPr>
          <w:rFonts w:hint="default" w:ascii="Times New Roman" w:hAnsi="Times New Roman" w:eastAsia="黑体" w:cs="Times New Roman"/>
          <w:bCs/>
          <w:sz w:val="30"/>
          <w:szCs w:val="30"/>
          <w:highlight w:val="none"/>
        </w:rPr>
        <w:t>3.2</w:t>
      </w:r>
      <w:bookmarkEnd w:id="59"/>
      <w:bookmarkEnd w:id="60"/>
      <w:r>
        <w:rPr>
          <w:rFonts w:hint="default" w:ascii="Times New Roman" w:hAnsi="Times New Roman" w:eastAsia="黑体" w:cs="Times New Roman"/>
          <w:bCs/>
          <w:sz w:val="30"/>
          <w:szCs w:val="30"/>
          <w:highlight w:val="none"/>
        </w:rPr>
        <w:t>自然环境概况</w:t>
      </w:r>
      <w:bookmarkEnd w:id="61"/>
      <w:bookmarkEnd w:id="62"/>
      <w:bookmarkEnd w:id="63"/>
      <w:bookmarkEnd w:id="64"/>
      <w:bookmarkEnd w:id="65"/>
      <w:bookmarkEnd w:id="66"/>
      <w:bookmarkEnd w:id="67"/>
    </w:p>
    <w:p>
      <w:pPr>
        <w:spacing w:before="120" w:beforeLines="50" w:after="120" w:afterLines="50"/>
        <w:outlineLvl w:val="2"/>
        <w:rPr>
          <w:rFonts w:hint="default" w:ascii="Times New Roman" w:hAnsi="Times New Roman" w:eastAsia="黑体" w:cs="Times New Roman"/>
          <w:bCs/>
          <w:sz w:val="28"/>
          <w:szCs w:val="28"/>
          <w:highlight w:val="none"/>
        </w:rPr>
      </w:pPr>
      <w:bookmarkStart w:id="68" w:name="_Toc178396425"/>
      <w:bookmarkStart w:id="69" w:name="_Toc260841149"/>
      <w:r>
        <w:rPr>
          <w:rFonts w:hint="default" w:ascii="Times New Roman" w:hAnsi="Times New Roman" w:eastAsia="黑体" w:cs="Times New Roman"/>
          <w:bCs/>
          <w:sz w:val="28"/>
          <w:szCs w:val="28"/>
          <w:highlight w:val="none"/>
        </w:rPr>
        <w:t>3.2.1地形地貌</w:t>
      </w:r>
      <w:bookmarkEnd w:id="68"/>
      <w:bookmarkEnd w:id="6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bookmarkStart w:id="70" w:name="_Toc260841150"/>
      <w:r>
        <w:rPr>
          <w:rFonts w:hint="default" w:ascii="Times New Roman" w:hAnsi="Times New Roman" w:eastAsia="宋体" w:cs="Times New Roman"/>
          <w:sz w:val="24"/>
          <w:highlight w:val="none"/>
        </w:rPr>
        <w:t>卢龙县地处华北平原之边缘地带，属低山丘陵县。境内山峦起伏重叠，河川纵横切割，地表凹凸不平。地势北高南低，自西北向东南倾斜，呈梯状分布，海拔 627～22.7 米，绝对高差 599.3 米，最高点在刘家营乡尖山槐，最低点在孟柳河乡阎深港村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北深水港。北部刘家营乡下庄一带，南部石门镇一带有喀斯特地貌（岩溶地形）生成。境内大部分地区为山地和丘陵，北部多高山，中部多丘陵，南部为盆地和平原。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全县低山面积占总面积的 10.4%，丘陵面积占总面积的 71.7%，盆地面积占总面积的17.9%。</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①低山区。绝对高度 500～1000 米，相对高度 100～500 米或绝对高度虽不足 500米，相对高度在 200 米以上地区。主要分布在长城沿线和老绝顶、城山、阳山、冠座顶山、武山等地，面积 150305 亩，占全县总面积的 10.4%，为造林种草的适宜地区。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②丘陵区。绝对高度在 500 米以下，相对高度在 50～200 米之间，坡度在 1/200以上地区。面积 1032644 亩，占全县总面积的 71.7%，其中残积物面积约占 55.6%，洪冲积面积约占 44.4%。主要分布于县域北部和中部地区。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③盆地平原区。绝对高度 100 米以下，坡度 1/200 以下的地区，面积 258551 亩，占全县总面积的 17.9%。较大规模的平原有青龙河河谷平原、西洋河扇形冲积平原、饮马河冲积平原。河谷平原土质肥沃，地下水埋深浅，为境内农业高产地区。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项目所在地属于盆地平原区，地势比较平坦。</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3.2.2水系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全县河流属滦河与冀东沿海。滦河水系主要河流有滦河干流及其主要支流青龙河，沿海水系有洋河、饮马河等。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滦河：发源于河北省丰宁满族自治县西北的巴颜图尔古山麓，流经内蒙古高原、坝上草原及燕山山区，于潘家口穿过长城后进入秦皇岛市，向东南流经迁西、迁安市，在迁安市南丘庄东南进入卢龙县境内，在卢龙镇虎头石村西与青龙河汇合，向南流入滦县，于乐亭县境内注入渤海。河流全长888 km，流域面积 44750km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。流经卢龙县河长 14.5km，本县流域面积 116.6 km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，在卢龙县的主要支流有沙金河、营山河等。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青龙河：为滦河主要支流。发源于辽宁省凌源县台头山，流经平泉、宽城、青龙三县，于桃林口穿过长城流进卢龙县，河流全长 246 km，流域面积 6340km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，在卢龙县长度 42km，县流域面积 291.6km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，占流域面积的 4.6%。</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西洋河：为冀东沿海河流洋河的支流。由多条小支流汇合而成。流域形状呈扇形分布。流域面积为 277.2km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，在全县境内河长 25km。西洋河属源短流急的山溪性季节河流。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饮马河：发源于卢龙县双望镇银洞峪与下寨乡刘黑石，流经刘田庄西，经孟柳河乡的阎深港村流入昌黎县境内，于大浦河注入渤海。全长 60km，流域面积 534km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。在卢龙县河长 30km，流域面积 262.9km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。该河流系季节性河道，目前成为卢龙县东南部丘陵区的主要排涝河流，其支流有柳河东支、龙凤河等注入。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万家河为饮马河的 1 条支流，发源于刘田各庄东侧、周家港村西侧，自北向南穿过两县店，于厂区南侧 300m 处、莲花池村和大冯庄之间汇入饮马河，全长约 4.3km。属季节性河流，冬季干枯，主要功能为农业灌溉。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境内主要为滦河、西洋河、饮马河 3 水系 18 条河流分布于西部、东北部和东南部。水资源主要由大气降水形成的地表水和浅层地下水构成。年平均地表水量 14437万m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，地下水 9441万m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（1）地质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卢龙县位于新华夏系燕山褶皱带东段，至今仍在活动。燕山隆起区生成于华北洪冲击平原形成之前，洪冲击物基底和古潜山底层相伴而生。由于燕山运动的直接影响，中部形成“S”形皱脊延至境南，中部东偏北形成块状隆起，西部形成裂谷，经第四纪洪冲击逐渐沉淀堆积，地表径流汇集冲刷，形成青龙河－滦河河谷平原；东北部和东南部，形成沉降带，第四洪冲击物堆积，形成西洋河扇形盆地、饮马河山前冲积扇平原和 6 大盐碱港洼。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境内古地层出露比较齐全。有隐生宙太古代变质岩；元古代震旦纪沉积岩；显生宙古生代寒武纪砂岩和奥陶纪石灰岩；中生代侏罗纪安山岩、凝灰岩和燕山运动前期火成岩；新生代第四纪松散物堆积。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（2）地下水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县内水文地质条件差异较大，大体上分平原区和山丘区两大部分。平原区包括木井、刘田庄一带平原及各小河下游的冲积层，都属新生界松散岩层，覆盖层随山丘区基岩向外伸展而加厚，厚度达 20-80 米，密实度随深度而增大，岩性有砂砾石、砂、砂卵石、砂土、粘质砂土、淤泥质粘土等；山丘区为基岩出露区，主要以前震旦系片麻岩系为主，加以少量的燕山期花岗岩、石英砂岩、奥陶系灰岩、侏罗纪安山岩及凝灰岩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全县地下水的补给和排泄条件不同，平原区刘田庄一带，由于第四系较厚，地下水补给和排泄条件较好，补给源充足，水量丰富，埋深一般在 3-20 米左右。木井石门一带则相反，由于第四系覆盖物较浅，底部为风化破碎岩石，地下水补给和排泄条件不好。山丘区更为复杂，青龙河、教场河、洋河、饮马河沿岸，由于有冲积物覆盖和河道补给量大，地层以粗砂、卵石、砂土为主，地下水补给和排泄条件都比较好。北部刘营、梧桐峪及东部双望以东一带，地处山区，基岩石出露，地下水补给和排泄条件最差，为本县的缺水区；其他的山丘区处于一个过渡阶段，由于片麻岩风化裂隙，较发育，受大气降水补给后，有少量降水随裂隙入渗，且具有一定的植被覆盖，地下水的补给起到了一定的拦蓄滞留作用。根据地貌和含水层岩性综合分析将全县地下水划分为三大类区，再依地貌和所处位置划分亚类区。其分布范围、水文地质特征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第四系孔隙水区，又细分六个亚区：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①青龙河河谷平原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按上中下三段又划分为三个小区，其水文地质条件各异。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青龙河上段河谷平原区：在柴哨村以上青龙河两岸，地下水埋深 2-9 米不等，属潜水。含水层岩性为砂及砂卵石，颗粒粗，透水性好，含水层厚度 1-5 米，尚未揭穿，单井出水量均大于 20 立方米/小时，边缘地段水量减少，单井出水量在 10-20 立方米/小时，水质良好，属重碳酸钙镁型，矿化度小于 0.5 克/升。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青龙河中段河谷狭长带区：分布在柴哨至揣庄一线，最宽处也只有 500 多米，地下水位埋深 4-10 米，潜水。含水层岩性为砂及砂卵石，厚度不大，且变化大，一般 1-5米，单井出水量在 10-20 立方米/小时，水质良好。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青龙河下段河谷平原区：包括教场河谷、夹河滩、雷店子、县城以西带状平原。地下水位埋深 3-5 米，潜水。含水层岩性为砂及砂卵石，厚 1-5 米，最大厚度近 20 米（第四系总厚度达 47.8 米），水量大，单井出水量在 20 立方米/小时，水质良好。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②西洋河河谷平原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分布在燕河营、陈官屯、双望等地河谷两侧，也可称山间盆地。地下水位埋深 1-5米，潜水。含水层岩性以砂为主，也有砂卵石，一般厚度不大，多 2-5 米。单井出水量中心地带 10-20 立方米/小时，边缘地带 2-10 立方米/小时，水质较好。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③饮马河、龙凤河河谷平原区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分布在县域南部，地下水位埋深 1-11 米不等，浅部为潜水，刘田庄以南中心地带深部埋藏承压水。含水层岩性以砂砾石、粗砂到细砂，支流河谷中有砂卵石层，平原下游段有淤泥层，单井出水量沿饮马河谷较大，大于 20 立方米/小时，边缘地带及龙凤河两侧 10-20 立方米/小时，水质较好。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④营山河河谷、滦河河谷狭长地带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分布在县城西南一角，地下水位埋深 1.5-12.5 米不等，潜水。营山河河谷岩性以砂为主，厚度较小，为 1-5 米，也有粘土夹卵石层含水，多与下伏风化壳混合开采，单井出水量大于 20 立方米/小时，边缘地带含水层以砂为主，单井出水量小于 2 立方米/小时，水质良好。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⑤山前倾斜平原区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分布在三里店、刘家营一带，在青龙河上段河谷平原北侧，地下水位埋深 6-15 米，潜水。含水层岩性有砂、亚砂土夹碎石、胶结砂粒石，厚度 2 米左右，单井出水量大于 10-20 立方米/小时，水质良好。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⑥台上平原区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分布在五里台、小高庄、田仙河一带，属青龙河下段高阶地，地下水位埋深大，达11-17 米，潜水。含水层岩性砂、淤泥夹砂，厚度 1-2 米，单井出水量大于 10-20 立方米/小时，地下水质复杂，有好有坏，遇有淤泥层，水质不佳，有异味。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⑦低山丘陵区基岩裂隙水、风化壳水区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从北到南广泛分布，地下水无连续的自由水面，一般在沟谷中有地下水，地下水位埋深变化很大，从 1-20 米不等，岩性多为片麻岩、花岗片麻岩、混合岩、砂岩、角砾岩、花岗岩等，裂隙含水不普遍，多与断裂构造有关，呈线状分布，风化壳多有地下水，风化深度最大达 20 米。单井出水量在沟谷两侧有利地形处可达 20-10 立方米/小时，大部分地段小于 2 立方米/小时，地下水水质较好。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项目位于青龙河下段河谷平原区，地处第四纪，沉积较厚，地下水补给和排泄条件较好，补给源充足，水量丰富，地下水水质较好，埋深一般在 3-20 米左右。</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3.2.3</w:t>
      </w:r>
      <w:bookmarkEnd w:id="70"/>
      <w:r>
        <w:rPr>
          <w:rFonts w:hint="default" w:ascii="Times New Roman" w:hAnsi="Times New Roman" w:eastAsia="黑体" w:cs="Times New Roman"/>
          <w:bCs/>
          <w:sz w:val="28"/>
          <w:szCs w:val="28"/>
          <w:highlight w:val="none"/>
        </w:rPr>
        <w:t>气候</w:t>
      </w:r>
    </w:p>
    <w:p>
      <w:pPr>
        <w:pStyle w:val="151"/>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highlight w:val="none"/>
        </w:rPr>
      </w:pPr>
      <w:bookmarkStart w:id="71" w:name="_Toc260841152"/>
      <w:r>
        <w:rPr>
          <w:rFonts w:hint="default" w:ascii="Times New Roman" w:hAnsi="Times New Roman" w:eastAsia="宋体" w:cs="Times New Roman"/>
          <w:highlight w:val="none"/>
        </w:rPr>
        <w:t>卢龙县属暖温带大陆性季风气候，四季分明，气候宜人，历年最高气温 39℃（1972 年 7 月 16 日），最低气温-22.7℃（1978 年 12 月 29 日），年平均气温 10.7℃。雨量集中在七、八月份，历年平均降雨量 725mm。历年平均相对湿度 60%，历年最大冻土深度 88 厘米，无霜期 169 天左右。年日照时间较长，日照时数达 2778h，太阳辐射较强，年辐射总量达 125.806kcal/cm 2 。县境 12 月到次年 2 月多西北风，3－6 月份偏西南风，7-8 月份多东北风到东南风，9－11 月多西南风，常年主导风向为</w:t>
      </w:r>
      <w:r>
        <w:rPr>
          <w:rFonts w:hint="default" w:ascii="Times New Roman" w:hAnsi="Times New Roman" w:eastAsia="宋体" w:cs="Times New Roman"/>
          <w:highlight w:val="green"/>
        </w:rPr>
        <w:t>西南风</w:t>
      </w:r>
      <w:r>
        <w:rPr>
          <w:rFonts w:hint="default" w:ascii="Times New Roman" w:hAnsi="Times New Roman" w:eastAsia="宋体" w:cs="Times New Roman"/>
          <w:highlight w:val="none"/>
        </w:rPr>
        <w:t>。年平均风速 2.4m/s</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3.2.4土壤</w:t>
      </w:r>
      <w:bookmarkEnd w:id="71"/>
      <w:r>
        <w:rPr>
          <w:rFonts w:hint="default" w:ascii="Times New Roman" w:hAnsi="Times New Roman" w:eastAsia="黑体" w:cs="Times New Roman"/>
          <w:bCs/>
          <w:sz w:val="28"/>
          <w:szCs w:val="28"/>
          <w:highlight w:val="none"/>
        </w:rPr>
        <w:t>、植被</w:t>
      </w:r>
    </w:p>
    <w:p>
      <w:pPr>
        <w:pStyle w:val="151"/>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highlight w:val="none"/>
        </w:rPr>
      </w:pPr>
      <w:bookmarkStart w:id="72" w:name="_Toc260841153"/>
      <w:r>
        <w:rPr>
          <w:rFonts w:hint="default" w:ascii="Times New Roman" w:hAnsi="Times New Roman" w:eastAsia="宋体" w:cs="Times New Roman"/>
          <w:highlight w:val="none"/>
        </w:rPr>
        <w:t>境内土壤分为2个土类，4个亚类，5个土属，21个土种。境内土壤由棕壤土类和潮壤土类。棕壤土分布于北部山林区和中部丘陵区，占总面积64.1%；潮壤土分布在中南部平原区，占总面积的35.9%。境内土壤养分含量属中等偏下等级。</w:t>
      </w:r>
    </w:p>
    <w:p>
      <w:pPr>
        <w:pStyle w:val="151"/>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原生针叶、阔叶林大部分集中在北部山区，果树林和农作物部分与中部剥蚀台地，针叶、阔叶、灌木混杂林及部分农作物分布于冲积平原地，人工防护林布于沿海地带。境内植物有木本植物和草本植物。木本植物主要有油松、侧柏、桧柏、落叶松、槐树、柳树、榆树、杨树、核桃树等90多种乔木以及酸枣、荆条、木槿、映山红、刺梅等100多种灌木。草本植物主要有车前草、蒲公英、狗尾草等。</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73" w:name="_Toc11877"/>
      <w:r>
        <w:rPr>
          <w:rFonts w:hint="default" w:ascii="Times New Roman" w:hAnsi="Times New Roman" w:eastAsia="黑体" w:cs="Times New Roman"/>
          <w:bCs/>
          <w:sz w:val="30"/>
          <w:szCs w:val="30"/>
          <w:highlight w:val="none"/>
        </w:rPr>
        <w:t>3.3 环境功能区划</w:t>
      </w:r>
      <w:bookmarkEnd w:id="73"/>
    </w:p>
    <w:p>
      <w:pPr>
        <w:pStyle w:val="151"/>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根据《秦皇岛市生态环境保护“十三五”规划》，项目所在区域环境功能区划如下：</w:t>
      </w:r>
    </w:p>
    <w:p>
      <w:pPr>
        <w:pStyle w:val="151"/>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rPr>
        <w:t>环境空气：环境空气质量执行《环境空气质量标准》（GB3095-2012）二级标准</w:t>
      </w:r>
      <w:r>
        <w:rPr>
          <w:rFonts w:hint="default" w:ascii="Times New Roman" w:hAnsi="Times New Roman" w:cs="Times New Roman"/>
          <w:highlight w:val="none"/>
          <w:lang w:eastAsia="zh-CN"/>
        </w:rPr>
        <w:t>；</w:t>
      </w:r>
    </w:p>
    <w:p>
      <w:pPr>
        <w:pStyle w:val="151"/>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rPr>
        <w:t>地下水环境：地下水环境执行《地下水质量标准》（GB/T14848—93）Ⅲ类标准</w:t>
      </w:r>
      <w:r>
        <w:rPr>
          <w:rFonts w:hint="default" w:ascii="Times New Roman" w:hAnsi="Times New Roman" w:cs="Times New Roman"/>
          <w:highlight w:val="none"/>
          <w:lang w:eastAsia="zh-CN"/>
        </w:rPr>
        <w:t>；</w:t>
      </w:r>
    </w:p>
    <w:p>
      <w:pPr>
        <w:pStyle w:val="151"/>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声环境：项目所在区域声环境执行《声环境质量标准》GB3096-2008）1  类功能区标准。</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74" w:name="_Toc29791"/>
      <w:r>
        <w:rPr>
          <w:rFonts w:hint="default" w:ascii="Times New Roman" w:hAnsi="Times New Roman" w:eastAsia="黑体" w:cs="Times New Roman"/>
          <w:bCs/>
          <w:sz w:val="30"/>
          <w:szCs w:val="30"/>
          <w:highlight w:val="none"/>
        </w:rPr>
        <w:t>3.4区域污染源调查</w:t>
      </w:r>
      <w:bookmarkEnd w:id="74"/>
    </w:p>
    <w:p>
      <w:pPr>
        <w:pStyle w:val="151"/>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本项目评价范围内以农田、住宅为主，内无大型工业污染源，无排放恶臭气体、废水的企业。</w:t>
      </w:r>
    </w:p>
    <w:bookmarkEnd w:id="72"/>
    <w:p>
      <w:pPr>
        <w:spacing w:before="120" w:beforeLines="50" w:after="120" w:afterLines="50" w:line="360" w:lineRule="auto"/>
        <w:jc w:val="left"/>
        <w:outlineLvl w:val="1"/>
        <w:rPr>
          <w:rFonts w:hint="default" w:ascii="Times New Roman" w:hAnsi="Times New Roman" w:eastAsia="黑体" w:cs="Times New Roman"/>
          <w:bCs/>
          <w:sz w:val="32"/>
          <w:szCs w:val="32"/>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bookmarkStart w:id="75" w:name="_Toc375135814"/>
      <w:bookmarkStart w:id="76" w:name="_Toc521334376"/>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77" w:name="_Toc3349"/>
      <w:r>
        <w:rPr>
          <w:rFonts w:hint="default" w:ascii="Times New Roman" w:hAnsi="Times New Roman" w:eastAsia="黑体" w:cs="Times New Roman"/>
          <w:bCs/>
          <w:sz w:val="30"/>
          <w:szCs w:val="30"/>
          <w:highlight w:val="none"/>
        </w:rPr>
        <w:t>3.5环境质量现状监测与评价</w:t>
      </w:r>
      <w:bookmarkEnd w:id="75"/>
      <w:bookmarkEnd w:id="76"/>
      <w:bookmarkEnd w:id="77"/>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78" w:name="_Toc150309402"/>
      <w:bookmarkStart w:id="79" w:name="_Toc239473816"/>
      <w:bookmarkStart w:id="80" w:name="_Toc324694087"/>
      <w:bookmarkStart w:id="81" w:name="_Toc295291709"/>
      <w:bookmarkStart w:id="82" w:name="_Toc173726807"/>
      <w:bookmarkStart w:id="83" w:name="_Toc176776719"/>
      <w:bookmarkStart w:id="84" w:name="_Toc163441789"/>
      <w:bookmarkStart w:id="85" w:name="_Toc288743013"/>
      <w:bookmarkStart w:id="86" w:name="_Toc98655815"/>
      <w:bookmarkStart w:id="87" w:name="_Toc258929930"/>
      <w:bookmarkStart w:id="88" w:name="_Toc290052011"/>
      <w:r>
        <w:rPr>
          <w:rFonts w:hint="default" w:ascii="Times New Roman" w:hAnsi="Times New Roman" w:eastAsia="黑体" w:cs="Times New Roman"/>
          <w:bCs/>
          <w:sz w:val="28"/>
          <w:szCs w:val="28"/>
          <w:highlight w:val="none"/>
        </w:rPr>
        <w:t>3.5.1环境空气质量现状</w:t>
      </w:r>
      <w:bookmarkEnd w:id="78"/>
      <w:bookmarkEnd w:id="79"/>
      <w:bookmarkEnd w:id="80"/>
      <w:bookmarkEnd w:id="81"/>
      <w:bookmarkEnd w:id="82"/>
      <w:bookmarkEnd w:id="83"/>
      <w:bookmarkEnd w:id="84"/>
      <w:bookmarkEnd w:id="85"/>
      <w:bookmarkEnd w:id="86"/>
      <w:bookmarkEnd w:id="87"/>
      <w:bookmarkEnd w:id="88"/>
      <w:r>
        <w:rPr>
          <w:rFonts w:hint="default" w:ascii="Times New Roman" w:hAnsi="Times New Roman" w:eastAsia="黑体" w:cs="Times New Roman"/>
          <w:bCs/>
          <w:sz w:val="28"/>
          <w:szCs w:val="28"/>
          <w:highlight w:val="none"/>
        </w:rPr>
        <w:t>调查</w:t>
      </w:r>
    </w:p>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3.5.1.1达标区判定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（1）环境空气质量现状数据引用秦皇岛市大气污染防治行动领导小组发布的《关于2018年12月份环境空气质量情况的通报》（秦气防领办[2019]6 号）附件2 “2018年1~12月份秦皇岛市各县区空气质量综合指数排名及各项污染物指标变化情况”表中卢龙县主要污染物浓度数据：</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表3-1  区域空气质量现状评价表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976"/>
        <w:gridCol w:w="1790"/>
        <w:gridCol w:w="175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污染物</w:t>
            </w:r>
          </w:p>
        </w:tc>
        <w:tc>
          <w:tcPr>
            <w:tcW w:w="118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年评价指标</w:t>
            </w:r>
          </w:p>
        </w:tc>
        <w:tc>
          <w:tcPr>
            <w:tcW w:w="107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现状浓度/（µg/m</w:t>
            </w:r>
            <w:r>
              <w:rPr>
                <w:rFonts w:hint="default" w:ascii="Times New Roman" w:hAnsi="Times New Roman" w:eastAsia="宋体" w:cs="Times New Roman"/>
                <w:b/>
                <w:bCs/>
                <w:sz w:val="21"/>
                <w:szCs w:val="21"/>
                <w:highlight w:val="none"/>
                <w:vertAlign w:val="superscript"/>
              </w:rPr>
              <w:t>3</w:t>
            </w:r>
            <w:r>
              <w:rPr>
                <w:rFonts w:hint="default" w:ascii="Times New Roman" w:hAnsi="Times New Roman" w:eastAsia="宋体" w:cs="Times New Roman"/>
                <w:b/>
                <w:bCs/>
                <w:sz w:val="21"/>
                <w:szCs w:val="21"/>
                <w:highlight w:val="none"/>
              </w:rPr>
              <w:t>）</w:t>
            </w:r>
          </w:p>
        </w:tc>
        <w:tc>
          <w:tcPr>
            <w:tcW w:w="105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标准值/（µg/m</w:t>
            </w:r>
            <w:r>
              <w:rPr>
                <w:rFonts w:hint="default" w:ascii="Times New Roman" w:hAnsi="Times New Roman" w:eastAsia="宋体" w:cs="Times New Roman"/>
                <w:b/>
                <w:bCs/>
                <w:sz w:val="21"/>
                <w:szCs w:val="21"/>
                <w:highlight w:val="none"/>
                <w:vertAlign w:val="superscript"/>
              </w:rPr>
              <w:t>3</w:t>
            </w:r>
            <w:r>
              <w:rPr>
                <w:rFonts w:hint="default" w:ascii="Times New Roman" w:hAnsi="Times New Roman" w:eastAsia="宋体" w:cs="Times New Roman"/>
                <w:b/>
                <w:bCs/>
                <w:sz w:val="21"/>
                <w:szCs w:val="21"/>
                <w:highlight w:val="none"/>
              </w:rPr>
              <w:t>）</w:t>
            </w:r>
          </w:p>
        </w:tc>
        <w:tc>
          <w:tcPr>
            <w:tcW w:w="872"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SO</w:t>
            </w:r>
            <w:r>
              <w:rPr>
                <w:rFonts w:hint="default" w:ascii="Times New Roman" w:hAnsi="Times New Roman" w:eastAsia="宋体" w:cs="Times New Roman"/>
                <w:sz w:val="21"/>
                <w:szCs w:val="21"/>
                <w:highlight w:val="none"/>
                <w:vertAlign w:val="subscript"/>
              </w:rPr>
              <w:t>2</w:t>
            </w:r>
          </w:p>
        </w:tc>
        <w:tc>
          <w:tcPr>
            <w:tcW w:w="118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年平均质量浓度</w:t>
            </w:r>
          </w:p>
        </w:tc>
        <w:tc>
          <w:tcPr>
            <w:tcW w:w="107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29</w:t>
            </w:r>
          </w:p>
        </w:tc>
        <w:tc>
          <w:tcPr>
            <w:tcW w:w="105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60</w:t>
            </w:r>
          </w:p>
        </w:tc>
        <w:tc>
          <w:tcPr>
            <w:tcW w:w="872"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NO</w:t>
            </w:r>
            <w:r>
              <w:rPr>
                <w:rFonts w:hint="default" w:ascii="Times New Roman" w:hAnsi="Times New Roman" w:eastAsia="宋体" w:cs="Times New Roman"/>
                <w:sz w:val="21"/>
                <w:szCs w:val="21"/>
                <w:highlight w:val="none"/>
                <w:vertAlign w:val="subscript"/>
              </w:rPr>
              <w:t>2</w:t>
            </w:r>
          </w:p>
        </w:tc>
        <w:tc>
          <w:tcPr>
            <w:tcW w:w="118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年平均质量浓度</w:t>
            </w:r>
          </w:p>
        </w:tc>
        <w:tc>
          <w:tcPr>
            <w:tcW w:w="107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w:t>
            </w:r>
          </w:p>
        </w:tc>
        <w:tc>
          <w:tcPr>
            <w:tcW w:w="105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40</w:t>
            </w:r>
          </w:p>
        </w:tc>
        <w:tc>
          <w:tcPr>
            <w:tcW w:w="872"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vertAlign w:val="subscript"/>
              </w:rPr>
            </w:pPr>
            <w:r>
              <w:rPr>
                <w:rFonts w:hint="default" w:ascii="Times New Roman" w:hAnsi="Times New Roman" w:eastAsia="宋体" w:cs="Times New Roman"/>
                <w:sz w:val="21"/>
                <w:szCs w:val="21"/>
                <w:highlight w:val="none"/>
              </w:rPr>
              <w:t>PM</w:t>
            </w:r>
            <w:r>
              <w:rPr>
                <w:rFonts w:hint="default" w:ascii="Times New Roman" w:hAnsi="Times New Roman" w:eastAsia="宋体" w:cs="Times New Roman"/>
                <w:sz w:val="21"/>
                <w:szCs w:val="21"/>
                <w:highlight w:val="none"/>
                <w:vertAlign w:val="subscript"/>
              </w:rPr>
              <w:t>10</w:t>
            </w:r>
          </w:p>
        </w:tc>
        <w:tc>
          <w:tcPr>
            <w:tcW w:w="118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年平均质量浓度</w:t>
            </w:r>
          </w:p>
        </w:tc>
        <w:tc>
          <w:tcPr>
            <w:tcW w:w="107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105</w:t>
            </w:r>
          </w:p>
        </w:tc>
        <w:tc>
          <w:tcPr>
            <w:tcW w:w="105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70</w:t>
            </w:r>
          </w:p>
        </w:tc>
        <w:tc>
          <w:tcPr>
            <w:tcW w:w="872"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vertAlign w:val="subscript"/>
              </w:rPr>
            </w:pPr>
            <w:r>
              <w:rPr>
                <w:rFonts w:hint="default" w:ascii="Times New Roman" w:hAnsi="Times New Roman" w:eastAsia="宋体" w:cs="Times New Roman"/>
                <w:sz w:val="21"/>
                <w:szCs w:val="21"/>
                <w:highlight w:val="none"/>
              </w:rPr>
              <w:t>PM</w:t>
            </w:r>
            <w:r>
              <w:rPr>
                <w:rFonts w:hint="default" w:ascii="Times New Roman" w:hAnsi="Times New Roman" w:eastAsia="宋体" w:cs="Times New Roman"/>
                <w:sz w:val="21"/>
                <w:szCs w:val="21"/>
                <w:highlight w:val="none"/>
                <w:vertAlign w:val="subscript"/>
              </w:rPr>
              <w:t>2.5</w:t>
            </w:r>
          </w:p>
        </w:tc>
        <w:tc>
          <w:tcPr>
            <w:tcW w:w="118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年平均质量浓度</w:t>
            </w:r>
          </w:p>
        </w:tc>
        <w:tc>
          <w:tcPr>
            <w:tcW w:w="107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63</w:t>
            </w:r>
          </w:p>
        </w:tc>
        <w:tc>
          <w:tcPr>
            <w:tcW w:w="105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35</w:t>
            </w:r>
          </w:p>
        </w:tc>
        <w:tc>
          <w:tcPr>
            <w:tcW w:w="872"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CO</w:t>
            </w:r>
          </w:p>
        </w:tc>
        <w:tc>
          <w:tcPr>
            <w:tcW w:w="118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napToGrid w:val="0"/>
                <w:kern w:val="0"/>
                <w:sz w:val="21"/>
                <w:szCs w:val="21"/>
                <w:highlight w:val="none"/>
              </w:rPr>
              <w:t>第95百分位日平均值</w:t>
            </w:r>
          </w:p>
        </w:tc>
        <w:tc>
          <w:tcPr>
            <w:tcW w:w="107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3.2mg/m</w:t>
            </w:r>
            <w:r>
              <w:rPr>
                <w:rFonts w:hint="default" w:ascii="Times New Roman" w:hAnsi="Times New Roman" w:eastAsia="宋体" w:cs="Times New Roman"/>
                <w:sz w:val="21"/>
                <w:szCs w:val="21"/>
                <w:highlight w:val="none"/>
                <w:vertAlign w:val="superscript"/>
              </w:rPr>
              <w:t>3</w:t>
            </w:r>
          </w:p>
        </w:tc>
        <w:tc>
          <w:tcPr>
            <w:tcW w:w="105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4.0mg/m</w:t>
            </w:r>
            <w:r>
              <w:rPr>
                <w:rFonts w:hint="default" w:ascii="Times New Roman" w:hAnsi="Times New Roman" w:eastAsia="宋体" w:cs="Times New Roman"/>
                <w:sz w:val="21"/>
                <w:szCs w:val="21"/>
                <w:highlight w:val="none"/>
                <w:vertAlign w:val="superscript"/>
              </w:rPr>
              <w:t>3</w:t>
            </w:r>
          </w:p>
        </w:tc>
        <w:tc>
          <w:tcPr>
            <w:tcW w:w="872"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O</w:t>
            </w:r>
            <w:r>
              <w:rPr>
                <w:rFonts w:hint="default" w:ascii="Times New Roman" w:hAnsi="Times New Roman" w:eastAsia="宋体" w:cs="Times New Roman"/>
                <w:sz w:val="21"/>
                <w:szCs w:val="21"/>
                <w:highlight w:val="none"/>
                <w:vertAlign w:val="subscript"/>
              </w:rPr>
              <w:t>3</w:t>
            </w:r>
          </w:p>
        </w:tc>
        <w:tc>
          <w:tcPr>
            <w:tcW w:w="1185"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napToGrid w:val="0"/>
                <w:kern w:val="0"/>
                <w:sz w:val="21"/>
                <w:szCs w:val="21"/>
                <w:highlight w:val="none"/>
              </w:rPr>
              <w:t>第90百分位日最大8小时滑动平均值</w:t>
            </w:r>
          </w:p>
        </w:tc>
        <w:tc>
          <w:tcPr>
            <w:tcW w:w="107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193</w:t>
            </w:r>
          </w:p>
        </w:tc>
        <w:tc>
          <w:tcPr>
            <w:tcW w:w="1053"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160</w:t>
            </w:r>
          </w:p>
        </w:tc>
        <w:tc>
          <w:tcPr>
            <w:tcW w:w="872" w:type="pct"/>
            <w:tcBorders>
              <w:top w:val="single" w:color="auto" w:sz="4" w:space="0"/>
              <w:left w:val="single" w:color="auto" w:sz="4" w:space="0"/>
              <w:bottom w:val="single" w:color="auto" w:sz="4" w:space="0"/>
              <w:right w:val="single" w:color="auto" w:sz="4" w:space="0"/>
            </w:tcBorders>
            <w:noWrap/>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firstLineChars="200"/>
        <w:jc w:val="left"/>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由上表可知，项目所在区域环境空气质量中SO</w:t>
      </w:r>
      <w:r>
        <w:rPr>
          <w:rFonts w:hint="default" w:ascii="Times New Roman" w:hAnsi="Times New Roman" w:eastAsia="宋体" w:cs="Times New Roman"/>
          <w:sz w:val="24"/>
          <w:highlight w:val="none"/>
          <w:vertAlign w:val="subscript"/>
        </w:rPr>
        <w:t>2</w:t>
      </w:r>
      <w:r>
        <w:rPr>
          <w:rFonts w:hint="default" w:ascii="Times New Roman" w:hAnsi="Times New Roman" w:eastAsia="宋体" w:cs="Times New Roman"/>
          <w:sz w:val="24"/>
          <w:highlight w:val="none"/>
        </w:rPr>
        <w:t>、NO</w:t>
      </w:r>
      <w:r>
        <w:rPr>
          <w:rFonts w:hint="default" w:ascii="Times New Roman" w:hAnsi="Times New Roman" w:eastAsia="宋体" w:cs="Times New Roman"/>
          <w:sz w:val="24"/>
          <w:highlight w:val="none"/>
          <w:vertAlign w:val="subscript"/>
        </w:rPr>
        <w:t>2</w:t>
      </w:r>
      <w:r>
        <w:rPr>
          <w:rFonts w:hint="default" w:ascii="Times New Roman" w:hAnsi="Times New Roman" w:eastAsia="宋体" w:cs="Times New Roman"/>
          <w:sz w:val="24"/>
          <w:highlight w:val="none"/>
        </w:rPr>
        <w:t>和CO均满足《环境空气质量标准》（GB3095-2012）中的二级标准，O</w:t>
      </w:r>
      <w:r>
        <w:rPr>
          <w:rFonts w:hint="default" w:ascii="Times New Roman" w:hAnsi="Times New Roman" w:eastAsia="宋体" w:cs="Times New Roman"/>
          <w:sz w:val="24"/>
          <w:highlight w:val="none"/>
          <w:vertAlign w:val="subscript"/>
        </w:rPr>
        <w:t>3</w:t>
      </w:r>
      <w:r>
        <w:rPr>
          <w:rFonts w:hint="default" w:ascii="Times New Roman" w:hAnsi="Times New Roman" w:eastAsia="宋体" w:cs="Times New Roman"/>
          <w:sz w:val="24"/>
          <w:highlight w:val="none"/>
        </w:rPr>
        <w:t>、PM</w:t>
      </w:r>
      <w:r>
        <w:rPr>
          <w:rFonts w:hint="default" w:ascii="Times New Roman" w:hAnsi="Times New Roman" w:eastAsia="宋体" w:cs="Times New Roman"/>
          <w:sz w:val="24"/>
          <w:highlight w:val="none"/>
          <w:vertAlign w:val="subscript"/>
        </w:rPr>
        <w:t>2.5</w:t>
      </w:r>
      <w:r>
        <w:rPr>
          <w:rFonts w:hint="default" w:ascii="Times New Roman" w:hAnsi="Times New Roman" w:eastAsia="宋体" w:cs="Times New Roman"/>
          <w:sz w:val="24"/>
          <w:highlight w:val="none"/>
        </w:rPr>
        <w:t>和PM</w:t>
      </w:r>
      <w:r>
        <w:rPr>
          <w:rFonts w:hint="default" w:ascii="Times New Roman" w:hAnsi="Times New Roman" w:eastAsia="宋体" w:cs="Times New Roman"/>
          <w:sz w:val="24"/>
          <w:highlight w:val="none"/>
          <w:vertAlign w:val="subscript"/>
        </w:rPr>
        <w:t>10</w:t>
      </w:r>
      <w:r>
        <w:rPr>
          <w:rFonts w:hint="default" w:ascii="Times New Roman" w:hAnsi="Times New Roman" w:eastAsia="宋体" w:cs="Times New Roman"/>
          <w:sz w:val="24"/>
          <w:highlight w:val="none"/>
        </w:rPr>
        <w:t>超标，不满足《环境空气质量标准》（GB3095-2012）中的二级标准。因此，项目所在区域属于不达标区。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（2）改善措施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①强力推进冬季清洁取暖。从生产、运输、销售、使用全链条严格管控，整村整乡整县推进煤炭替代和清洁、高效、集约利用，加快建成全市清洁取暖体系。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②推进重点行业产能压减，推进城市工业退城搬迁工作，集中整治“散乱污”企业，实施工业企业深度治理，推进挥发性有机物（VOCs）综合防治。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③强力推进扬尘综合整治，开展建筑施工扬尘综合整治，加强道路扬尘综合整治，强化工业料场扬尘控制。</w:t>
      </w:r>
    </w:p>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3.5.1.2区域基本污染物环境质量现状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根据卢龙县环境监测站提供的监测数据显示，2017年全年有效监测天数为365天，SO</w:t>
      </w:r>
      <w:r>
        <w:rPr>
          <w:rFonts w:hint="default" w:ascii="Times New Roman" w:hAnsi="Times New Roman" w:eastAsia="宋体" w:cs="Times New Roman"/>
          <w:sz w:val="24"/>
          <w:highlight w:val="none"/>
          <w:vertAlign w:val="subscript"/>
        </w:rPr>
        <w:t>2</w:t>
      </w:r>
      <w:r>
        <w:rPr>
          <w:rFonts w:hint="default" w:ascii="Times New Roman" w:hAnsi="Times New Roman" w:eastAsia="宋体" w:cs="Times New Roman"/>
          <w:sz w:val="24"/>
          <w:highlight w:val="none"/>
        </w:rPr>
        <w:t>年平均浓度值为43μg/m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，24小时平均第98百分位数浓度值为100μg/m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，分别满足《环境空气质量标准》（GB3095-2012）中年平均浓度限值60μg/m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，24小时平均浓度限值150μg/m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，超标率为0；NO</w:t>
      </w:r>
      <w:r>
        <w:rPr>
          <w:rFonts w:hint="default" w:ascii="Times New Roman" w:hAnsi="Times New Roman" w:eastAsia="宋体" w:cs="Times New Roman"/>
          <w:sz w:val="24"/>
          <w:highlight w:val="none"/>
          <w:vertAlign w:val="subscript"/>
        </w:rPr>
        <w:t>2</w:t>
      </w:r>
      <w:r>
        <w:rPr>
          <w:rFonts w:hint="default" w:ascii="Times New Roman" w:hAnsi="Times New Roman" w:eastAsia="宋体" w:cs="Times New Roman"/>
          <w:sz w:val="24"/>
          <w:highlight w:val="none"/>
        </w:rPr>
        <w:t>年平均浓度值为40μg/m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，24小时平均第98百分位数浓度值为81μg/m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，不满足《环境空气质量标准》（GB3095-2012）中相应浓度限值，超标率为2.0%；PM10年平均浓度值为107μg/m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，24小时平均第95百分位数浓度值为445μg/m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，不满足《环境空气质量标准》（GB3095-2012）中相应浓度限值，超标率为17.7%；PM</w:t>
      </w:r>
      <w:r>
        <w:rPr>
          <w:rFonts w:hint="default" w:ascii="Times New Roman" w:hAnsi="Times New Roman" w:eastAsia="宋体" w:cs="Times New Roman"/>
          <w:sz w:val="24"/>
          <w:highlight w:val="none"/>
          <w:vertAlign w:val="subscript"/>
        </w:rPr>
        <w:t>2.5</w:t>
      </w:r>
      <w:r>
        <w:rPr>
          <w:rFonts w:hint="default" w:ascii="Times New Roman" w:hAnsi="Times New Roman" w:eastAsia="宋体" w:cs="Times New Roman"/>
          <w:sz w:val="24"/>
          <w:highlight w:val="none"/>
        </w:rPr>
        <w:t>年平均浓度值为66μg/m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，24小时平均第95百分位数浓度值288μg/m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，不满足《环境空气质量标准》（GB3095-2012）中相应浓度限值，超标率为31.5%；CO 24小时平均第95百分位数浓度值为3.6μg/m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，不满足《环境空气质量标准》（GB3095-2012）中相应浓度限值，超标率为4.5%；O3日最大8小时平均第90百分位数浓度值为208μg/m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，不满足《环境空气质量标准》（GB3095-2012）中相应浓度限值，超标率为16.8%，具体情况见下表3-2。</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表3-2    区域空气质量现状评价表</w:t>
      </w:r>
    </w:p>
    <w:tbl>
      <w:tblPr>
        <w:tblStyle w:val="80"/>
        <w:tblW w:w="0" w:type="auto"/>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26"/>
        <w:gridCol w:w="726"/>
        <w:gridCol w:w="1636"/>
        <w:gridCol w:w="957"/>
        <w:gridCol w:w="1042"/>
        <w:gridCol w:w="1112"/>
        <w:gridCol w:w="972"/>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点位名称</w:t>
            </w:r>
          </w:p>
        </w:tc>
        <w:tc>
          <w:tcPr>
            <w:tcW w:w="72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污染物</w:t>
            </w:r>
          </w:p>
        </w:tc>
        <w:tc>
          <w:tcPr>
            <w:tcW w:w="163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年评价指标</w:t>
            </w:r>
          </w:p>
        </w:tc>
        <w:tc>
          <w:tcPr>
            <w:tcW w:w="957"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评价标准/（µg/m</w:t>
            </w:r>
            <w:r>
              <w:rPr>
                <w:rFonts w:hint="default" w:ascii="Times New Roman" w:hAnsi="Times New Roman" w:cs="Times New Roman"/>
                <w:b/>
                <w:bCs/>
                <w:color w:val="000000"/>
                <w:szCs w:val="21"/>
                <w:highlight w:val="none"/>
                <w:vertAlign w:val="superscript"/>
              </w:rPr>
              <w:t>3</w:t>
            </w:r>
            <w:r>
              <w:rPr>
                <w:rFonts w:hint="default" w:ascii="Times New Roman" w:hAnsi="Times New Roman" w:cs="Times New Roman"/>
                <w:b/>
                <w:bCs/>
                <w:color w:val="000000"/>
                <w:szCs w:val="21"/>
                <w:highlight w:val="none"/>
              </w:rPr>
              <w:t>）</w:t>
            </w:r>
          </w:p>
        </w:tc>
        <w:tc>
          <w:tcPr>
            <w:tcW w:w="1042"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现状浓度/（µg/m</w:t>
            </w:r>
            <w:r>
              <w:rPr>
                <w:rFonts w:hint="default" w:ascii="Times New Roman" w:hAnsi="Times New Roman" w:cs="Times New Roman"/>
                <w:b/>
                <w:bCs/>
                <w:color w:val="000000"/>
                <w:szCs w:val="21"/>
                <w:highlight w:val="none"/>
                <w:vertAlign w:val="superscript"/>
              </w:rPr>
              <w:t>3</w:t>
            </w:r>
            <w:r>
              <w:rPr>
                <w:rFonts w:hint="default" w:ascii="Times New Roman" w:hAnsi="Times New Roman" w:cs="Times New Roman"/>
                <w:b/>
                <w:bCs/>
                <w:color w:val="000000"/>
                <w:szCs w:val="21"/>
                <w:highlight w:val="none"/>
              </w:rPr>
              <w:t>）</w:t>
            </w:r>
          </w:p>
        </w:tc>
        <w:tc>
          <w:tcPr>
            <w:tcW w:w="1112"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最大浓度占标率/%</w:t>
            </w:r>
          </w:p>
        </w:tc>
        <w:tc>
          <w:tcPr>
            <w:tcW w:w="972"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超标频率/%</w:t>
            </w:r>
          </w:p>
        </w:tc>
        <w:tc>
          <w:tcPr>
            <w:tcW w:w="1042"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9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7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163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95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1042"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1112"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972"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1042"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环保局监测站监测点，</w:t>
            </w:r>
          </w:p>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北纬39.882178，</w:t>
            </w:r>
          </w:p>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东经118.8863</w:t>
            </w:r>
          </w:p>
        </w:tc>
        <w:tc>
          <w:tcPr>
            <w:tcW w:w="72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SO</w:t>
            </w:r>
            <w:r>
              <w:rPr>
                <w:rFonts w:hint="default" w:ascii="Times New Roman" w:hAnsi="Times New Roman" w:cs="Times New Roman"/>
                <w:color w:val="000000"/>
                <w:szCs w:val="21"/>
                <w:highlight w:val="none"/>
                <w:vertAlign w:val="subscript"/>
              </w:rPr>
              <w:t>2</w:t>
            </w:r>
          </w:p>
        </w:tc>
        <w:tc>
          <w:tcPr>
            <w:tcW w:w="163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年平均浓度</w:t>
            </w:r>
          </w:p>
        </w:tc>
        <w:tc>
          <w:tcPr>
            <w:tcW w:w="957"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60</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43</w:t>
            </w:r>
          </w:p>
        </w:tc>
        <w:tc>
          <w:tcPr>
            <w:tcW w:w="111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p>
        </w:tc>
        <w:tc>
          <w:tcPr>
            <w:tcW w:w="97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7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24小时平均第98百分位数</w:t>
            </w:r>
          </w:p>
        </w:tc>
        <w:tc>
          <w:tcPr>
            <w:tcW w:w="957"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150</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100</w:t>
            </w:r>
          </w:p>
        </w:tc>
        <w:tc>
          <w:tcPr>
            <w:tcW w:w="111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68.0</w:t>
            </w:r>
          </w:p>
        </w:tc>
        <w:tc>
          <w:tcPr>
            <w:tcW w:w="97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0</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72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NO</w:t>
            </w:r>
            <w:r>
              <w:rPr>
                <w:rFonts w:hint="default" w:ascii="Times New Roman" w:hAnsi="Times New Roman" w:cs="Times New Roman"/>
                <w:color w:val="000000"/>
                <w:szCs w:val="21"/>
                <w:highlight w:val="none"/>
                <w:vertAlign w:val="subscript"/>
              </w:rPr>
              <w:t>2</w:t>
            </w:r>
          </w:p>
        </w:tc>
        <w:tc>
          <w:tcPr>
            <w:tcW w:w="163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年平均浓度</w:t>
            </w:r>
          </w:p>
        </w:tc>
        <w:tc>
          <w:tcPr>
            <w:tcW w:w="957"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40</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40</w:t>
            </w:r>
          </w:p>
        </w:tc>
        <w:tc>
          <w:tcPr>
            <w:tcW w:w="111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p>
        </w:tc>
        <w:tc>
          <w:tcPr>
            <w:tcW w:w="97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7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24小时平均第98百分位数</w:t>
            </w:r>
          </w:p>
        </w:tc>
        <w:tc>
          <w:tcPr>
            <w:tcW w:w="957"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80</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81</w:t>
            </w:r>
          </w:p>
        </w:tc>
        <w:tc>
          <w:tcPr>
            <w:tcW w:w="111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135.0</w:t>
            </w:r>
          </w:p>
        </w:tc>
        <w:tc>
          <w:tcPr>
            <w:tcW w:w="97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7.1</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72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vertAlign w:val="subscript"/>
              </w:rPr>
            </w:pPr>
            <w:r>
              <w:rPr>
                <w:rFonts w:hint="default" w:ascii="Times New Roman" w:hAnsi="Times New Roman" w:cs="Times New Roman"/>
                <w:color w:val="000000"/>
                <w:szCs w:val="21"/>
                <w:highlight w:val="none"/>
              </w:rPr>
              <w:t>PM</w:t>
            </w:r>
            <w:r>
              <w:rPr>
                <w:rFonts w:hint="default" w:ascii="Times New Roman" w:hAnsi="Times New Roman" w:cs="Times New Roman"/>
                <w:color w:val="000000"/>
                <w:szCs w:val="21"/>
                <w:highlight w:val="none"/>
                <w:vertAlign w:val="subscript"/>
              </w:rPr>
              <w:t>10</w:t>
            </w:r>
          </w:p>
        </w:tc>
        <w:tc>
          <w:tcPr>
            <w:tcW w:w="163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年平均浓度</w:t>
            </w:r>
          </w:p>
        </w:tc>
        <w:tc>
          <w:tcPr>
            <w:tcW w:w="957"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70</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107</w:t>
            </w:r>
          </w:p>
        </w:tc>
        <w:tc>
          <w:tcPr>
            <w:tcW w:w="111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p>
        </w:tc>
        <w:tc>
          <w:tcPr>
            <w:tcW w:w="97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7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24小时平均第95百分位数</w:t>
            </w:r>
          </w:p>
        </w:tc>
        <w:tc>
          <w:tcPr>
            <w:tcW w:w="957"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150</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445</w:t>
            </w:r>
          </w:p>
        </w:tc>
        <w:tc>
          <w:tcPr>
            <w:tcW w:w="111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312.0</w:t>
            </w:r>
          </w:p>
        </w:tc>
        <w:tc>
          <w:tcPr>
            <w:tcW w:w="97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38.1</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72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vertAlign w:val="subscript"/>
              </w:rPr>
            </w:pPr>
            <w:r>
              <w:rPr>
                <w:rFonts w:hint="default" w:ascii="Times New Roman" w:hAnsi="Times New Roman" w:cs="Times New Roman"/>
                <w:color w:val="000000"/>
                <w:szCs w:val="21"/>
                <w:highlight w:val="none"/>
              </w:rPr>
              <w:t>PM</w:t>
            </w:r>
            <w:r>
              <w:rPr>
                <w:rFonts w:hint="default" w:ascii="Times New Roman" w:hAnsi="Times New Roman" w:cs="Times New Roman"/>
                <w:color w:val="000000"/>
                <w:szCs w:val="21"/>
                <w:highlight w:val="none"/>
                <w:vertAlign w:val="subscript"/>
              </w:rPr>
              <w:t>2.5</w:t>
            </w:r>
          </w:p>
        </w:tc>
        <w:tc>
          <w:tcPr>
            <w:tcW w:w="163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年平均浓度</w:t>
            </w:r>
          </w:p>
        </w:tc>
        <w:tc>
          <w:tcPr>
            <w:tcW w:w="957"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35</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66</w:t>
            </w:r>
          </w:p>
        </w:tc>
        <w:tc>
          <w:tcPr>
            <w:tcW w:w="111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p>
        </w:tc>
        <w:tc>
          <w:tcPr>
            <w:tcW w:w="97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7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24小时平均第95百分位数</w:t>
            </w:r>
          </w:p>
        </w:tc>
        <w:tc>
          <w:tcPr>
            <w:tcW w:w="957"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75</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288</w:t>
            </w:r>
          </w:p>
        </w:tc>
        <w:tc>
          <w:tcPr>
            <w:tcW w:w="111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405.3</w:t>
            </w:r>
          </w:p>
        </w:tc>
        <w:tc>
          <w:tcPr>
            <w:tcW w:w="97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40.5</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72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CO</w:t>
            </w:r>
          </w:p>
        </w:tc>
        <w:tc>
          <w:tcPr>
            <w:tcW w:w="163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24小时平均第95百分位数</w:t>
            </w:r>
          </w:p>
        </w:tc>
        <w:tc>
          <w:tcPr>
            <w:tcW w:w="957"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4mg/m</w:t>
            </w:r>
            <w:r>
              <w:rPr>
                <w:rFonts w:hint="default" w:ascii="Times New Roman" w:hAnsi="Times New Roman" w:cs="Times New Roman"/>
                <w:color w:val="000000"/>
                <w:szCs w:val="21"/>
                <w:highlight w:val="none"/>
                <w:vertAlign w:val="superscript"/>
              </w:rPr>
              <w:t>3</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3.6</w:t>
            </w:r>
          </w:p>
        </w:tc>
        <w:tc>
          <w:tcPr>
            <w:tcW w:w="111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232.5</w:t>
            </w:r>
          </w:p>
        </w:tc>
        <w:tc>
          <w:tcPr>
            <w:tcW w:w="97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4.5</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p>
        </w:tc>
        <w:tc>
          <w:tcPr>
            <w:tcW w:w="72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O</w:t>
            </w:r>
            <w:r>
              <w:rPr>
                <w:rFonts w:hint="default" w:ascii="Times New Roman" w:hAnsi="Times New Roman" w:cs="Times New Roman"/>
                <w:color w:val="000000"/>
                <w:szCs w:val="21"/>
                <w:highlight w:val="none"/>
                <w:vertAlign w:val="subscript"/>
              </w:rPr>
              <w:t>3</w:t>
            </w:r>
          </w:p>
        </w:tc>
        <w:tc>
          <w:tcPr>
            <w:tcW w:w="1636"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日最大8小时平均第90百分位数</w:t>
            </w:r>
          </w:p>
        </w:tc>
        <w:tc>
          <w:tcPr>
            <w:tcW w:w="957"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160</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208</w:t>
            </w:r>
          </w:p>
        </w:tc>
        <w:tc>
          <w:tcPr>
            <w:tcW w:w="111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211.9</w:t>
            </w:r>
          </w:p>
        </w:tc>
        <w:tc>
          <w:tcPr>
            <w:tcW w:w="97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16.8</w:t>
            </w:r>
          </w:p>
        </w:tc>
        <w:tc>
          <w:tcPr>
            <w:tcW w:w="1042"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超标</w:t>
            </w:r>
          </w:p>
        </w:tc>
      </w:tr>
    </w:tbl>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3.5.1.3补充监测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highlight w:val="none"/>
        </w:rPr>
      </w:pPr>
      <w:r>
        <w:rPr>
          <w:rFonts w:hint="default" w:ascii="Times New Roman" w:hAnsi="Times New Roman" w:eastAsia="宋体" w:cs="Times New Roman"/>
          <w:snapToGrid w:val="0"/>
          <w:kern w:val="0"/>
          <w:sz w:val="24"/>
          <w:highlight w:val="none"/>
        </w:rPr>
        <w:t>按照《环境影响评价技术导则 大气环境》（HJ2.2-2018）要求，结合厂址所在区域地形特点以及当地气象特征，本次评价设置2个大气环境质量现状补充监测点，监测时间为2019年11月02日~08日。</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表3-3 环境空气质量检测点位、项目及频次</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374"/>
        <w:gridCol w:w="5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检测点位</w:t>
            </w:r>
          </w:p>
        </w:tc>
        <w:tc>
          <w:tcPr>
            <w:tcW w:w="8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检测项目</w:t>
            </w:r>
          </w:p>
        </w:tc>
        <w:tc>
          <w:tcPr>
            <w:tcW w:w="342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新一村</w:t>
            </w:r>
          </w:p>
        </w:tc>
        <w:tc>
          <w:tcPr>
            <w:tcW w:w="8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tLeast"/>
              <w:ind w:firstLine="210" w:firstLineChars="10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硫化氢、氨</w:t>
            </w:r>
          </w:p>
        </w:tc>
        <w:tc>
          <w:tcPr>
            <w:tcW w:w="3427"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210" w:firstLineChars="1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连续检测7天，每日监测2:00、8:00、14:00、20:00时间段浓度值，非甲烷总烃在1小时内以等时间间隔采集4个样品，测定等比例混合样品。</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（3）监测方法</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各监测因子检测方法及检出限见下表：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表3-4  环境空气检测项目分析方法及仪器</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6"/>
        <w:gridCol w:w="3035"/>
        <w:gridCol w:w="2717"/>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检测项目</w:t>
            </w:r>
          </w:p>
        </w:tc>
        <w:tc>
          <w:tcPr>
            <w:tcW w:w="182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仪器名称/型号/编号</w:t>
            </w:r>
          </w:p>
        </w:tc>
        <w:tc>
          <w:tcPr>
            <w:tcW w:w="16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分析方法来源</w:t>
            </w:r>
          </w:p>
        </w:tc>
        <w:tc>
          <w:tcPr>
            <w:tcW w:w="8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硫化氢</w:t>
            </w:r>
          </w:p>
        </w:tc>
        <w:tc>
          <w:tcPr>
            <w:tcW w:w="182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ZR-3920 环境空气颗粒物综</w:t>
            </w:r>
          </w:p>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合采样器（HBHF/YQ289）</w:t>
            </w:r>
          </w:p>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T6 新世纪紫外可见分光光度</w:t>
            </w:r>
          </w:p>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计（HBHF/YQ347）</w:t>
            </w:r>
          </w:p>
        </w:tc>
        <w:tc>
          <w:tcPr>
            <w:tcW w:w="16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《空气和废气监测分析方法》</w:t>
            </w:r>
          </w:p>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（第四版增补版）3.1.11.2 亚</w:t>
            </w:r>
          </w:p>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甲基蓝分光光度法</w:t>
            </w:r>
          </w:p>
        </w:tc>
        <w:tc>
          <w:tcPr>
            <w:tcW w:w="8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0.001mg/m</w:t>
            </w:r>
            <w:r>
              <w:rPr>
                <w:rFonts w:hint="default" w:ascii="Times New Roman" w:hAnsi="Times New Roman" w:cs="Times New Roman"/>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氨</w:t>
            </w:r>
          </w:p>
        </w:tc>
        <w:tc>
          <w:tcPr>
            <w:tcW w:w="182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T6 新世纪紫外可见分光光度</w:t>
            </w:r>
          </w:p>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计（HBHF/YQ088）</w:t>
            </w:r>
          </w:p>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ZR-3920 环境空气颗粒物综</w:t>
            </w:r>
          </w:p>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合采样器（HBHF/YQ289）</w:t>
            </w:r>
          </w:p>
        </w:tc>
        <w:tc>
          <w:tcPr>
            <w:tcW w:w="16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《环境空气和废气 氨的测定</w:t>
            </w:r>
          </w:p>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纳氏试剂分光光度法》HJ</w:t>
            </w:r>
          </w:p>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533-2009</w:t>
            </w:r>
          </w:p>
        </w:tc>
        <w:tc>
          <w:tcPr>
            <w:tcW w:w="8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0.01mg/m</w:t>
            </w:r>
            <w:r>
              <w:rPr>
                <w:rFonts w:hint="default" w:ascii="Times New Roman" w:hAnsi="Times New Roman" w:cs="Times New Roman"/>
                <w:sz w:val="21"/>
                <w:szCs w:val="21"/>
                <w:highlight w:val="none"/>
                <w:vertAlign w:val="superscript"/>
              </w:rPr>
              <w:t>3</w:t>
            </w:r>
          </w:p>
        </w:tc>
      </w:tr>
    </w:tbl>
    <w:p>
      <w:pPr>
        <w:spacing w:before="120" w:beforeLines="50" w:after="120" w:afterLines="50"/>
        <w:jc w:val="left"/>
        <w:outlineLvl w:val="3"/>
        <w:rPr>
          <w:rFonts w:hint="default" w:ascii="Times New Roman" w:hAnsi="Times New Roman" w:eastAsia="黑体" w:cs="Times New Roman"/>
          <w:bCs/>
          <w:sz w:val="28"/>
          <w:szCs w:val="28"/>
          <w:highlight w:val="none"/>
        </w:rPr>
      </w:pPr>
      <w:bookmarkStart w:id="89" w:name="_Toc243278734"/>
      <w:r>
        <w:rPr>
          <w:rFonts w:hint="default" w:ascii="Times New Roman" w:hAnsi="Times New Roman" w:eastAsia="黑体" w:cs="Times New Roman"/>
          <w:bCs/>
          <w:sz w:val="28"/>
          <w:szCs w:val="28"/>
          <w:highlight w:val="none"/>
        </w:rPr>
        <w:t>3.4.1.4监测结果统计分析</w:t>
      </w:r>
      <w:bookmarkEnd w:id="89"/>
      <w:r>
        <w:rPr>
          <w:rFonts w:hint="default" w:ascii="Times New Roman" w:hAnsi="Times New Roman" w:eastAsia="黑体" w:cs="Times New Roman"/>
          <w:bCs/>
          <w:sz w:val="28"/>
          <w:szCs w:val="28"/>
          <w:highlight w:val="none"/>
        </w:rPr>
        <w:t>及评价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（1）补充监测因子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硫化氢、氨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（2）评价标准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硫化氢、氨执行《环境影响评价技术导则 大气环境》（HJ2.2-2018）附录D中要求。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（3）评价方法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 xml:space="preserve">采用占标率进行评价，即浓度值占相应标准的百分比值：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cs="Times New Roman"/>
          <w:b w:val="0"/>
          <w:bCs/>
          <w:snapToGrid w:val="0"/>
          <w:kern w:val="0"/>
          <w:sz w:val="24"/>
          <w:szCs w:val="24"/>
          <w:highlight w:val="none"/>
        </w:rPr>
      </w:pPr>
      <w:r>
        <w:rPr>
          <w:rFonts w:hint="default" w:ascii="Times New Roman" w:hAnsi="Times New Roman" w:cs="Times New Roman"/>
          <w:b w:val="0"/>
          <w:bCs/>
          <w:snapToGrid w:val="0"/>
          <w:kern w:val="0"/>
          <w:sz w:val="24"/>
          <w:szCs w:val="24"/>
          <w:highlight w:val="none"/>
        </w:rPr>
        <w:t>P</w:t>
      </w:r>
      <w:r>
        <w:rPr>
          <w:rFonts w:hint="default" w:ascii="Times New Roman" w:hAnsi="Times New Roman" w:cs="Times New Roman"/>
          <w:b w:val="0"/>
          <w:bCs/>
          <w:snapToGrid w:val="0"/>
          <w:kern w:val="0"/>
          <w:sz w:val="24"/>
          <w:szCs w:val="24"/>
          <w:highlight w:val="none"/>
          <w:vertAlign w:val="subscript"/>
        </w:rPr>
        <w:t>i</w:t>
      </w:r>
      <w:r>
        <w:rPr>
          <w:rFonts w:hint="default" w:ascii="Times New Roman" w:hAnsi="Times New Roman" w:cs="Times New Roman"/>
          <w:b w:val="0"/>
          <w:bCs/>
          <w:snapToGrid w:val="0"/>
          <w:kern w:val="0"/>
          <w:sz w:val="24"/>
          <w:szCs w:val="24"/>
          <w:highlight w:val="none"/>
        </w:rPr>
        <w:t>=C</w:t>
      </w:r>
      <w:r>
        <w:rPr>
          <w:rFonts w:hint="default" w:ascii="Times New Roman" w:hAnsi="Times New Roman" w:cs="Times New Roman"/>
          <w:b w:val="0"/>
          <w:bCs/>
          <w:snapToGrid w:val="0"/>
          <w:kern w:val="0"/>
          <w:sz w:val="24"/>
          <w:szCs w:val="24"/>
          <w:highlight w:val="none"/>
          <w:vertAlign w:val="subscript"/>
        </w:rPr>
        <w:t>i</w:t>
      </w:r>
      <w:r>
        <w:rPr>
          <w:rFonts w:hint="default" w:ascii="Times New Roman" w:hAnsi="Times New Roman" w:cs="Times New Roman"/>
          <w:b w:val="0"/>
          <w:bCs/>
          <w:snapToGrid w:val="0"/>
          <w:kern w:val="0"/>
          <w:sz w:val="24"/>
          <w:szCs w:val="24"/>
          <w:highlight w:val="none"/>
        </w:rPr>
        <w:t>/C</w:t>
      </w:r>
      <w:r>
        <w:rPr>
          <w:rFonts w:hint="default" w:ascii="Times New Roman" w:hAnsi="Times New Roman" w:cs="Times New Roman"/>
          <w:b w:val="0"/>
          <w:bCs/>
          <w:snapToGrid w:val="0"/>
          <w:kern w:val="0"/>
          <w:sz w:val="24"/>
          <w:szCs w:val="24"/>
          <w:highlight w:val="none"/>
          <w:vertAlign w:val="subscript"/>
        </w:rPr>
        <w:t>oi</w:t>
      </w:r>
      <w:r>
        <w:rPr>
          <w:rFonts w:hint="default" w:ascii="Times New Roman" w:hAnsi="Times New Roman" w:cs="Times New Roman"/>
          <w:b w:val="0"/>
          <w:bCs/>
          <w:snapToGrid w:val="0"/>
          <w:kern w:val="0"/>
          <w:sz w:val="24"/>
          <w:szCs w:val="24"/>
          <w:highlight w:val="none"/>
        </w:rPr>
        <w:t>×100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式中：Pi—占标率，%；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C</w:t>
      </w:r>
      <w:r>
        <w:rPr>
          <w:rFonts w:hint="default" w:ascii="Times New Roman" w:hAnsi="Times New Roman" w:cs="Times New Roman"/>
          <w:snapToGrid w:val="0"/>
          <w:kern w:val="0"/>
          <w:sz w:val="24"/>
          <w:szCs w:val="24"/>
          <w:highlight w:val="none"/>
          <w:vertAlign w:val="subscript"/>
        </w:rPr>
        <w:t>i</w:t>
      </w:r>
      <w:r>
        <w:rPr>
          <w:rFonts w:hint="default" w:ascii="Times New Roman" w:hAnsi="Times New Roman" w:cs="Times New Roman"/>
          <w:snapToGrid w:val="0"/>
          <w:kern w:val="0"/>
          <w:sz w:val="24"/>
          <w:szCs w:val="24"/>
          <w:highlight w:val="none"/>
        </w:rPr>
        <w:t>—实测污染物浓度值，mg/m</w:t>
      </w:r>
      <w:r>
        <w:rPr>
          <w:rFonts w:hint="default" w:ascii="Times New Roman" w:hAnsi="Times New Roman" w:cs="Times New Roman"/>
          <w:snapToGrid w:val="0"/>
          <w:kern w:val="0"/>
          <w:sz w:val="24"/>
          <w:szCs w:val="24"/>
          <w:highlight w:val="none"/>
          <w:vertAlign w:val="superscript"/>
        </w:rPr>
        <w:t>3</w:t>
      </w:r>
      <w:r>
        <w:rPr>
          <w:rFonts w:hint="default" w:ascii="Times New Roman" w:hAnsi="Times New Roman" w:cs="Times New Roman"/>
          <w:snapToGrid w:val="0"/>
          <w:ker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C</w:t>
      </w:r>
      <w:r>
        <w:rPr>
          <w:rFonts w:hint="default" w:ascii="Times New Roman" w:hAnsi="Times New Roman" w:cs="Times New Roman"/>
          <w:snapToGrid w:val="0"/>
          <w:kern w:val="0"/>
          <w:sz w:val="24"/>
          <w:szCs w:val="24"/>
          <w:highlight w:val="none"/>
          <w:vertAlign w:val="subscript"/>
        </w:rPr>
        <w:t>oi</w:t>
      </w:r>
      <w:r>
        <w:rPr>
          <w:rFonts w:hint="default" w:ascii="Times New Roman" w:hAnsi="Times New Roman" w:cs="Times New Roman"/>
          <w:snapToGrid w:val="0"/>
          <w:kern w:val="0"/>
          <w:sz w:val="24"/>
          <w:szCs w:val="24"/>
          <w:highlight w:val="none"/>
        </w:rPr>
        <w:t>—污染物的评价标准，mg/m</w:t>
      </w:r>
      <w:r>
        <w:rPr>
          <w:rFonts w:hint="default" w:ascii="Times New Roman" w:hAnsi="Times New Roman" w:cs="Times New Roman"/>
          <w:snapToGrid w:val="0"/>
          <w:kern w:val="0"/>
          <w:sz w:val="24"/>
          <w:szCs w:val="24"/>
          <w:highlight w:val="none"/>
          <w:vertAlign w:val="superscript"/>
        </w:rPr>
        <w:t>3</w:t>
      </w:r>
      <w:r>
        <w:rPr>
          <w:rFonts w:hint="default" w:ascii="Times New Roman" w:hAnsi="Times New Roman" w:cs="Times New Roman"/>
          <w:snapToGrid w:val="0"/>
          <w:ker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szCs w:val="24"/>
          <w:highlight w:val="none"/>
        </w:rPr>
        <w:t>如果P</w:t>
      </w:r>
      <w:r>
        <w:rPr>
          <w:rFonts w:hint="default" w:ascii="Times New Roman" w:hAnsi="Times New Roman" w:cs="Times New Roman"/>
          <w:snapToGrid w:val="0"/>
          <w:kern w:val="0"/>
          <w:sz w:val="24"/>
          <w:szCs w:val="24"/>
          <w:highlight w:val="none"/>
          <w:vertAlign w:val="subscript"/>
        </w:rPr>
        <w:t>i</w:t>
      </w:r>
      <w:r>
        <w:rPr>
          <w:rFonts w:hint="default" w:ascii="Times New Roman" w:hAnsi="Times New Roman" w:cs="Times New Roman"/>
          <w:snapToGrid w:val="0"/>
          <w:kern w:val="0"/>
          <w:sz w:val="24"/>
          <w:szCs w:val="24"/>
          <w:highlight w:val="none"/>
        </w:rPr>
        <w:t>≤100%，则表明不超标，P</w:t>
      </w:r>
      <w:r>
        <w:rPr>
          <w:rFonts w:hint="default" w:ascii="Times New Roman" w:hAnsi="Times New Roman" w:cs="Times New Roman"/>
          <w:snapToGrid w:val="0"/>
          <w:kern w:val="0"/>
          <w:sz w:val="24"/>
          <w:szCs w:val="24"/>
          <w:highlight w:val="none"/>
          <w:vertAlign w:val="subscript"/>
        </w:rPr>
        <w:t>i</w:t>
      </w:r>
      <w:r>
        <w:rPr>
          <w:rFonts w:hint="default" w:ascii="Times New Roman" w:hAnsi="Times New Roman" w:cs="Times New Roman"/>
          <w:snapToGrid w:val="0"/>
          <w:kern w:val="0"/>
          <w:sz w:val="24"/>
          <w:szCs w:val="24"/>
          <w:highlight w:val="none"/>
        </w:rPr>
        <w:t>＞100%，表明超标。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（5）其他污染物环境质量现状评价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sz w:val="24"/>
          <w:highlight w:val="none"/>
        </w:rPr>
      </w:pPr>
      <w:r>
        <w:rPr>
          <w:rFonts w:hint="default" w:ascii="Times New Roman" w:hAnsi="Times New Roman" w:cs="Times New Roman"/>
          <w:snapToGrid w:val="0"/>
          <w:kern w:val="0"/>
          <w:sz w:val="24"/>
          <w:highlight w:val="none"/>
        </w:rPr>
        <w:t>根据补充监测数据，其他微软无环境质量现状评价结果见下表：</w:t>
      </w:r>
    </w:p>
    <w:p>
      <w:pPr>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br w:type="page"/>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表3-5  其他污染物环境质量现状评价表 单位mg/m³</w:t>
      </w:r>
    </w:p>
    <w:tbl>
      <w:tblPr>
        <w:tblStyle w:val="80"/>
        <w:tblW w:w="5046" w:type="pct"/>
        <w:tblInd w:w="-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5"/>
        <w:gridCol w:w="702"/>
        <w:gridCol w:w="718"/>
        <w:gridCol w:w="925"/>
        <w:gridCol w:w="1181"/>
        <w:gridCol w:w="718"/>
        <w:gridCol w:w="1069"/>
        <w:gridCol w:w="878"/>
        <w:gridCol w:w="607"/>
        <w:gridCol w:w="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0" w:type="pct"/>
            <w:vMerge w:val="restar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b/>
                <w:bCs/>
                <w:szCs w:val="21"/>
                <w:highlight w:val="none"/>
              </w:rPr>
              <w:t>点位名称</w:t>
            </w:r>
          </w:p>
        </w:tc>
        <w:tc>
          <w:tcPr>
            <w:tcW w:w="825"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监测点坐标</w:t>
            </w:r>
          </w:p>
        </w:tc>
        <w:tc>
          <w:tcPr>
            <w:tcW w:w="537" w:type="pct"/>
            <w:vMerge w:val="restar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污染物</w:t>
            </w:r>
          </w:p>
        </w:tc>
        <w:tc>
          <w:tcPr>
            <w:tcW w:w="686" w:type="pct"/>
            <w:vMerge w:val="restar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平均指标</w:t>
            </w:r>
          </w:p>
        </w:tc>
        <w:tc>
          <w:tcPr>
            <w:tcW w:w="417" w:type="pct"/>
            <w:vMerge w:val="restar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评价标准</w:t>
            </w:r>
          </w:p>
        </w:tc>
        <w:tc>
          <w:tcPr>
            <w:tcW w:w="621" w:type="pct"/>
            <w:vMerge w:val="restar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现状浓度mg/m³</w:t>
            </w:r>
          </w:p>
        </w:tc>
        <w:tc>
          <w:tcPr>
            <w:tcW w:w="510" w:type="pct"/>
            <w:vMerge w:val="restar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最大浓度占标率%</w:t>
            </w:r>
          </w:p>
        </w:tc>
        <w:tc>
          <w:tcPr>
            <w:tcW w:w="352" w:type="pct"/>
            <w:vMerge w:val="restar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超标率</w:t>
            </w:r>
          </w:p>
        </w:tc>
        <w:tc>
          <w:tcPr>
            <w:tcW w:w="417" w:type="pct"/>
            <w:vMerge w:val="restar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0" w:type="pct"/>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p>
        </w:tc>
        <w:tc>
          <w:tcPr>
            <w:tcW w:w="408" w:type="pct"/>
            <w:tcBorders>
              <w:top w:val="single" w:color="000000" w:sz="4" w:space="0"/>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X</w:t>
            </w:r>
          </w:p>
        </w:tc>
        <w:tc>
          <w:tcPr>
            <w:tcW w:w="41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Y</w:t>
            </w:r>
          </w:p>
        </w:tc>
        <w:tc>
          <w:tcPr>
            <w:tcW w:w="537" w:type="pct"/>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p>
        </w:tc>
        <w:tc>
          <w:tcPr>
            <w:tcW w:w="686" w:type="pct"/>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p>
        </w:tc>
        <w:tc>
          <w:tcPr>
            <w:tcW w:w="417" w:type="pct"/>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p>
        </w:tc>
        <w:tc>
          <w:tcPr>
            <w:tcW w:w="621" w:type="pct"/>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p>
        </w:tc>
        <w:tc>
          <w:tcPr>
            <w:tcW w:w="510" w:type="pct"/>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p>
        </w:tc>
        <w:tc>
          <w:tcPr>
            <w:tcW w:w="352" w:type="pct"/>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p>
        </w:tc>
        <w:tc>
          <w:tcPr>
            <w:tcW w:w="417" w:type="pct"/>
            <w:vMerge w:val="continue"/>
            <w:tcBorders>
              <w:left w:val="single" w:color="000000" w:sz="4" w:space="0"/>
              <w:right w:val="single" w:color="000000" w:sz="4" w:space="0"/>
            </w:tcBorders>
            <w:vAlign w:val="center"/>
          </w:tcPr>
          <w:p>
            <w:pPr>
              <w:adjustRightInd w:val="0"/>
              <w:snapToGrid w:val="0"/>
              <w:jc w:val="center"/>
              <w:rPr>
                <w:rFonts w:hint="default" w:ascii="Times New Roman" w:hAnsi="Times New Roman" w:cs="Times New Roman"/>
                <w:b/>
                <w:bCs/>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0"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新一村</w:t>
            </w:r>
          </w:p>
        </w:tc>
        <w:tc>
          <w:tcPr>
            <w:tcW w:w="408" w:type="pct"/>
            <w:vMerge w:val="restart"/>
            <w:tcBorders>
              <w:top w:val="single" w:color="000000" w:sz="4" w:space="0"/>
              <w:left w:val="single" w:color="000000" w:sz="4" w:space="0"/>
              <w:bottom w:val="single" w:color="000000" w:sz="4" w:space="0"/>
              <w:right w:val="single" w:color="000000" w:sz="4" w:space="0"/>
            </w:tcBorders>
            <w:vAlign w:val="center"/>
          </w:tcPr>
          <w:p>
            <w:pPr>
              <w:pStyle w:val="43"/>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119.7696</w:t>
            </w:r>
          </w:p>
        </w:tc>
        <w:tc>
          <w:tcPr>
            <w:tcW w:w="417" w:type="pct"/>
            <w:vMerge w:val="restart"/>
            <w:tcBorders>
              <w:top w:val="single" w:color="000000" w:sz="4" w:space="0"/>
              <w:left w:val="single" w:color="000000" w:sz="4" w:space="0"/>
              <w:bottom w:val="single" w:color="000000" w:sz="4" w:space="0"/>
              <w:right w:val="single" w:color="000000" w:sz="4" w:space="0"/>
            </w:tcBorders>
            <w:vAlign w:val="center"/>
          </w:tcPr>
          <w:p>
            <w:pPr>
              <w:pStyle w:val="43"/>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40.0085</w:t>
            </w:r>
          </w:p>
        </w:tc>
        <w:tc>
          <w:tcPr>
            <w:tcW w:w="53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硫化氢</w:t>
            </w:r>
          </w:p>
        </w:tc>
        <w:tc>
          <w:tcPr>
            <w:tcW w:w="68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1小时平均浓度限值</w:t>
            </w:r>
          </w:p>
        </w:tc>
        <w:tc>
          <w:tcPr>
            <w:tcW w:w="41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0.01</w:t>
            </w:r>
          </w:p>
        </w:tc>
        <w:tc>
          <w:tcPr>
            <w:tcW w:w="6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0.003~0.008</w:t>
            </w:r>
          </w:p>
        </w:tc>
        <w:tc>
          <w:tcPr>
            <w:tcW w:w="5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80%</w:t>
            </w:r>
          </w:p>
        </w:tc>
        <w:tc>
          <w:tcPr>
            <w:tcW w:w="35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1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p>
        </w:tc>
        <w:tc>
          <w:tcPr>
            <w:tcW w:w="40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p>
        </w:tc>
        <w:tc>
          <w:tcPr>
            <w:tcW w:w="417"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p>
        </w:tc>
        <w:tc>
          <w:tcPr>
            <w:tcW w:w="53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氨</w:t>
            </w:r>
          </w:p>
        </w:tc>
        <w:tc>
          <w:tcPr>
            <w:tcW w:w="68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一次最大浓度</w:t>
            </w:r>
          </w:p>
        </w:tc>
        <w:tc>
          <w:tcPr>
            <w:tcW w:w="41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0.2</w:t>
            </w:r>
          </w:p>
        </w:tc>
        <w:tc>
          <w:tcPr>
            <w:tcW w:w="6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0.03~0.14</w:t>
            </w:r>
          </w:p>
        </w:tc>
        <w:tc>
          <w:tcPr>
            <w:tcW w:w="5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w:t>
            </w:r>
          </w:p>
        </w:tc>
        <w:tc>
          <w:tcPr>
            <w:tcW w:w="35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41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firstLineChars="200"/>
        <w:textAlignment w:val="auto"/>
        <w:rPr>
          <w:rFonts w:hint="default" w:ascii="Times New Roman" w:hAnsi="Times New Roman" w:eastAsia="宋体" w:cs="Times New Roman"/>
          <w:snapToGrid w:val="0"/>
          <w:kern w:val="0"/>
          <w:sz w:val="24"/>
          <w:highlight w:val="none"/>
        </w:rPr>
      </w:pPr>
      <w:r>
        <w:rPr>
          <w:rFonts w:hint="default" w:ascii="Times New Roman" w:hAnsi="Times New Roman" w:eastAsia="宋体" w:cs="Times New Roman"/>
          <w:snapToGrid w:val="0"/>
          <w:kern w:val="0"/>
          <w:sz w:val="24"/>
          <w:highlight w:val="none"/>
        </w:rPr>
        <w:t>由上表可知，补充监测的污染物均满足相应标准要求。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highlight w:val="none"/>
        </w:rPr>
      </w:pPr>
      <w:r>
        <w:rPr>
          <w:rFonts w:hint="default" w:ascii="Times New Roman" w:hAnsi="Times New Roman" w:eastAsia="宋体" w:cs="Times New Roman"/>
          <w:snapToGrid w:val="0"/>
          <w:kern w:val="0"/>
          <w:sz w:val="24"/>
          <w:highlight w:val="none"/>
        </w:rPr>
        <w:t>(3)评价结果及分析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highlight w:val="none"/>
        </w:rPr>
      </w:pPr>
      <w:r>
        <w:rPr>
          <w:rFonts w:hint="default" w:ascii="Times New Roman" w:hAnsi="Times New Roman" w:eastAsia="宋体" w:cs="Times New Roman"/>
          <w:snapToGrid w:val="0"/>
          <w:kern w:val="0"/>
          <w:sz w:val="24"/>
          <w:highlight w:val="none"/>
        </w:rPr>
        <w:t>综上，项目所在区域为城市环境空气质量不达标区域。NO</w:t>
      </w:r>
      <w:r>
        <w:rPr>
          <w:rFonts w:hint="default" w:ascii="Times New Roman" w:hAnsi="Times New Roman" w:eastAsia="宋体" w:cs="Times New Roman"/>
          <w:snapToGrid w:val="0"/>
          <w:kern w:val="0"/>
          <w:sz w:val="24"/>
          <w:highlight w:val="none"/>
          <w:vertAlign w:val="subscript"/>
        </w:rPr>
        <w:t>2</w:t>
      </w:r>
      <w:r>
        <w:rPr>
          <w:rFonts w:hint="default" w:ascii="Times New Roman" w:hAnsi="Times New Roman" w:eastAsia="宋体" w:cs="Times New Roman"/>
          <w:snapToGrid w:val="0"/>
          <w:kern w:val="0"/>
          <w:sz w:val="24"/>
          <w:highlight w:val="none"/>
        </w:rPr>
        <w:t>年平均浓度值为40</w:t>
      </w:r>
      <w:r>
        <w:rPr>
          <w:rFonts w:hint="default" w:ascii="Times New Roman" w:hAnsi="Times New Roman" w:eastAsia="宋体" w:cs="Times New Roman"/>
          <w:snapToGrid w:val="0"/>
          <w:kern w:val="0"/>
          <w:sz w:val="24"/>
          <w:szCs w:val="24"/>
          <w:highlight w:val="none"/>
        </w:rPr>
        <w:t>mg/m</w:t>
      </w:r>
      <w:r>
        <w:rPr>
          <w:rFonts w:hint="default" w:ascii="Times New Roman" w:hAnsi="Times New Roman" w:eastAsia="宋体" w:cs="Times New Roman"/>
          <w:snapToGrid w:val="0"/>
          <w:kern w:val="0"/>
          <w:sz w:val="24"/>
          <w:szCs w:val="24"/>
          <w:highlight w:val="none"/>
          <w:vertAlign w:val="superscript"/>
        </w:rPr>
        <w:t>3</w:t>
      </w:r>
      <w:r>
        <w:rPr>
          <w:rFonts w:hint="default" w:ascii="Times New Roman" w:hAnsi="Times New Roman" w:eastAsia="宋体" w:cs="Times New Roman"/>
          <w:snapToGrid w:val="0"/>
          <w:kern w:val="0"/>
          <w:sz w:val="24"/>
          <w:highlight w:val="none"/>
        </w:rPr>
        <w:t>，24小时平均第98百分位数浓度值为81</w:t>
      </w:r>
      <w:r>
        <w:rPr>
          <w:rFonts w:hint="default" w:ascii="Times New Roman" w:hAnsi="Times New Roman" w:eastAsia="宋体" w:cs="Times New Roman"/>
          <w:snapToGrid w:val="0"/>
          <w:kern w:val="0"/>
          <w:sz w:val="24"/>
          <w:szCs w:val="24"/>
          <w:highlight w:val="none"/>
        </w:rPr>
        <w:t>mg/m</w:t>
      </w:r>
      <w:r>
        <w:rPr>
          <w:rFonts w:hint="default" w:ascii="Times New Roman" w:hAnsi="Times New Roman" w:eastAsia="宋体" w:cs="Times New Roman"/>
          <w:snapToGrid w:val="0"/>
          <w:kern w:val="0"/>
          <w:sz w:val="24"/>
          <w:szCs w:val="24"/>
          <w:highlight w:val="none"/>
          <w:vertAlign w:val="superscript"/>
        </w:rPr>
        <w:t>3</w:t>
      </w:r>
      <w:r>
        <w:rPr>
          <w:rFonts w:hint="default" w:ascii="Times New Roman" w:hAnsi="Times New Roman" w:eastAsia="宋体" w:cs="Times New Roman"/>
          <w:snapToGrid w:val="0"/>
          <w:kern w:val="0"/>
          <w:sz w:val="24"/>
          <w:highlight w:val="none"/>
        </w:rPr>
        <w:t>，不满足《环境空气质量标准》（GB3095-2012）中相应浓度限值，超标率为2.0%；PM</w:t>
      </w:r>
      <w:r>
        <w:rPr>
          <w:rFonts w:hint="default" w:ascii="Times New Roman" w:hAnsi="Times New Roman" w:eastAsia="宋体" w:cs="Times New Roman"/>
          <w:snapToGrid w:val="0"/>
          <w:kern w:val="0"/>
          <w:sz w:val="24"/>
          <w:highlight w:val="none"/>
          <w:vertAlign w:val="subscript"/>
        </w:rPr>
        <w:t>10</w:t>
      </w:r>
      <w:r>
        <w:rPr>
          <w:rFonts w:hint="default" w:ascii="Times New Roman" w:hAnsi="Times New Roman" w:eastAsia="宋体" w:cs="Times New Roman"/>
          <w:snapToGrid w:val="0"/>
          <w:kern w:val="0"/>
          <w:sz w:val="24"/>
          <w:highlight w:val="none"/>
        </w:rPr>
        <w:t>年平均浓度值为107</w:t>
      </w:r>
      <w:r>
        <w:rPr>
          <w:rFonts w:hint="default" w:ascii="Times New Roman" w:hAnsi="Times New Roman" w:eastAsia="宋体" w:cs="Times New Roman"/>
          <w:snapToGrid w:val="0"/>
          <w:kern w:val="0"/>
          <w:sz w:val="24"/>
          <w:szCs w:val="24"/>
          <w:highlight w:val="none"/>
        </w:rPr>
        <w:t>mg/m</w:t>
      </w:r>
      <w:r>
        <w:rPr>
          <w:rFonts w:hint="default" w:ascii="Times New Roman" w:hAnsi="Times New Roman" w:eastAsia="宋体" w:cs="Times New Roman"/>
          <w:snapToGrid w:val="0"/>
          <w:kern w:val="0"/>
          <w:sz w:val="24"/>
          <w:szCs w:val="24"/>
          <w:highlight w:val="none"/>
          <w:vertAlign w:val="superscript"/>
        </w:rPr>
        <w:t>3</w:t>
      </w:r>
      <w:r>
        <w:rPr>
          <w:rFonts w:hint="default" w:ascii="Times New Roman" w:hAnsi="Times New Roman" w:eastAsia="宋体" w:cs="Times New Roman"/>
          <w:snapToGrid w:val="0"/>
          <w:kern w:val="0"/>
          <w:sz w:val="24"/>
          <w:highlight w:val="none"/>
        </w:rPr>
        <w:t>，24小时平均第95百分位数浓度值为445</w:t>
      </w:r>
      <w:r>
        <w:rPr>
          <w:rFonts w:hint="default" w:ascii="Times New Roman" w:hAnsi="Times New Roman" w:eastAsia="宋体" w:cs="Times New Roman"/>
          <w:snapToGrid w:val="0"/>
          <w:kern w:val="0"/>
          <w:sz w:val="24"/>
          <w:szCs w:val="24"/>
          <w:highlight w:val="none"/>
        </w:rPr>
        <w:t xml:space="preserve"> mg/m</w:t>
      </w:r>
      <w:r>
        <w:rPr>
          <w:rFonts w:hint="default" w:ascii="Times New Roman" w:hAnsi="Times New Roman" w:eastAsia="宋体" w:cs="Times New Roman"/>
          <w:snapToGrid w:val="0"/>
          <w:kern w:val="0"/>
          <w:sz w:val="24"/>
          <w:szCs w:val="24"/>
          <w:highlight w:val="none"/>
          <w:vertAlign w:val="superscript"/>
        </w:rPr>
        <w:t>3</w:t>
      </w:r>
      <w:r>
        <w:rPr>
          <w:rFonts w:hint="default" w:ascii="Times New Roman" w:hAnsi="Times New Roman" w:eastAsia="宋体" w:cs="Times New Roman"/>
          <w:snapToGrid w:val="0"/>
          <w:kern w:val="0"/>
          <w:sz w:val="24"/>
          <w:highlight w:val="none"/>
        </w:rPr>
        <w:t>，不满足《环境空气质量标准》（GB3095-2012）中相应浓度限值，超标率为17.7%；PM</w:t>
      </w:r>
      <w:r>
        <w:rPr>
          <w:rFonts w:hint="default" w:ascii="Times New Roman" w:hAnsi="Times New Roman" w:eastAsia="宋体" w:cs="Times New Roman"/>
          <w:snapToGrid w:val="0"/>
          <w:kern w:val="0"/>
          <w:sz w:val="24"/>
          <w:highlight w:val="none"/>
          <w:vertAlign w:val="subscript"/>
        </w:rPr>
        <w:t>2.5</w:t>
      </w:r>
      <w:r>
        <w:rPr>
          <w:rFonts w:hint="default" w:ascii="Times New Roman" w:hAnsi="Times New Roman" w:eastAsia="宋体" w:cs="Times New Roman"/>
          <w:snapToGrid w:val="0"/>
          <w:kern w:val="0"/>
          <w:sz w:val="24"/>
          <w:highlight w:val="none"/>
        </w:rPr>
        <w:t>年平均浓度值为66</w:t>
      </w:r>
      <w:r>
        <w:rPr>
          <w:rFonts w:hint="default" w:ascii="Times New Roman" w:hAnsi="Times New Roman" w:eastAsia="宋体" w:cs="Times New Roman"/>
          <w:snapToGrid w:val="0"/>
          <w:kern w:val="0"/>
          <w:sz w:val="24"/>
          <w:szCs w:val="24"/>
          <w:highlight w:val="none"/>
        </w:rPr>
        <w:t xml:space="preserve"> mg/m</w:t>
      </w:r>
      <w:r>
        <w:rPr>
          <w:rFonts w:hint="default" w:ascii="Times New Roman" w:hAnsi="Times New Roman" w:eastAsia="宋体" w:cs="Times New Roman"/>
          <w:snapToGrid w:val="0"/>
          <w:kern w:val="0"/>
          <w:sz w:val="24"/>
          <w:szCs w:val="24"/>
          <w:highlight w:val="none"/>
          <w:vertAlign w:val="superscript"/>
        </w:rPr>
        <w:t>3</w:t>
      </w:r>
      <w:r>
        <w:rPr>
          <w:rFonts w:hint="default" w:ascii="Times New Roman" w:hAnsi="Times New Roman" w:eastAsia="宋体" w:cs="Times New Roman"/>
          <w:snapToGrid w:val="0"/>
          <w:kern w:val="0"/>
          <w:sz w:val="24"/>
          <w:highlight w:val="none"/>
        </w:rPr>
        <w:t>，24小时平均第95百分位数浓度值288</w:t>
      </w:r>
      <w:r>
        <w:rPr>
          <w:rFonts w:hint="default" w:ascii="Times New Roman" w:hAnsi="Times New Roman" w:eastAsia="宋体" w:cs="Times New Roman"/>
          <w:snapToGrid w:val="0"/>
          <w:kern w:val="0"/>
          <w:sz w:val="24"/>
          <w:szCs w:val="24"/>
          <w:highlight w:val="none"/>
        </w:rPr>
        <w:t xml:space="preserve"> mg/m</w:t>
      </w:r>
      <w:r>
        <w:rPr>
          <w:rFonts w:hint="default" w:ascii="Times New Roman" w:hAnsi="Times New Roman" w:eastAsia="宋体" w:cs="Times New Roman"/>
          <w:snapToGrid w:val="0"/>
          <w:kern w:val="0"/>
          <w:sz w:val="24"/>
          <w:szCs w:val="24"/>
          <w:highlight w:val="none"/>
          <w:vertAlign w:val="superscript"/>
        </w:rPr>
        <w:t>3</w:t>
      </w:r>
      <w:r>
        <w:rPr>
          <w:rFonts w:hint="default" w:ascii="Times New Roman" w:hAnsi="Times New Roman" w:eastAsia="宋体" w:cs="Times New Roman"/>
          <w:snapToGrid w:val="0"/>
          <w:kern w:val="0"/>
          <w:sz w:val="24"/>
          <w:highlight w:val="none"/>
        </w:rPr>
        <w:t>，不满足《环境空气质量标准》（GB3095-2012）中相应浓度限值，超标率为31.5%；CO 24小时平均第95百分位数浓度值为3.6</w:t>
      </w:r>
      <w:r>
        <w:rPr>
          <w:rFonts w:hint="default" w:ascii="Times New Roman" w:hAnsi="Times New Roman" w:eastAsia="宋体" w:cs="Times New Roman"/>
          <w:snapToGrid w:val="0"/>
          <w:kern w:val="0"/>
          <w:sz w:val="24"/>
          <w:szCs w:val="24"/>
          <w:highlight w:val="none"/>
        </w:rPr>
        <w:t xml:space="preserve"> mg/m</w:t>
      </w:r>
      <w:r>
        <w:rPr>
          <w:rFonts w:hint="default" w:ascii="Times New Roman" w:hAnsi="Times New Roman" w:eastAsia="宋体" w:cs="Times New Roman"/>
          <w:snapToGrid w:val="0"/>
          <w:kern w:val="0"/>
          <w:sz w:val="24"/>
          <w:szCs w:val="24"/>
          <w:highlight w:val="none"/>
          <w:vertAlign w:val="superscript"/>
        </w:rPr>
        <w:t>3</w:t>
      </w:r>
      <w:r>
        <w:rPr>
          <w:rFonts w:hint="default" w:ascii="Times New Roman" w:hAnsi="Times New Roman" w:eastAsia="宋体" w:cs="Times New Roman"/>
          <w:snapToGrid w:val="0"/>
          <w:kern w:val="0"/>
          <w:sz w:val="24"/>
          <w:highlight w:val="none"/>
        </w:rPr>
        <w:t>，不满足《环境空气质量标准》（GB3095-2012）中相应浓度限值，超标率为4.5%；O</w:t>
      </w:r>
      <w:r>
        <w:rPr>
          <w:rFonts w:hint="default" w:ascii="Times New Roman" w:hAnsi="Times New Roman" w:eastAsia="宋体" w:cs="Times New Roman"/>
          <w:snapToGrid w:val="0"/>
          <w:kern w:val="0"/>
          <w:sz w:val="24"/>
          <w:highlight w:val="none"/>
          <w:vertAlign w:val="subscript"/>
        </w:rPr>
        <w:t>3</w:t>
      </w:r>
      <w:r>
        <w:rPr>
          <w:rFonts w:hint="default" w:ascii="Times New Roman" w:hAnsi="Times New Roman" w:eastAsia="宋体" w:cs="Times New Roman"/>
          <w:snapToGrid w:val="0"/>
          <w:kern w:val="0"/>
          <w:sz w:val="24"/>
          <w:highlight w:val="none"/>
        </w:rPr>
        <w:t>日最大8小时平均第90百分位数浓度值为208</w:t>
      </w:r>
      <w:r>
        <w:rPr>
          <w:rFonts w:hint="default" w:ascii="Times New Roman" w:hAnsi="Times New Roman" w:eastAsia="宋体" w:cs="Times New Roman"/>
          <w:snapToGrid w:val="0"/>
          <w:kern w:val="0"/>
          <w:sz w:val="24"/>
          <w:szCs w:val="24"/>
          <w:highlight w:val="none"/>
        </w:rPr>
        <w:t xml:space="preserve"> mg/m</w:t>
      </w:r>
      <w:r>
        <w:rPr>
          <w:rFonts w:hint="default" w:ascii="Times New Roman" w:hAnsi="Times New Roman" w:eastAsia="宋体" w:cs="Times New Roman"/>
          <w:snapToGrid w:val="0"/>
          <w:kern w:val="0"/>
          <w:sz w:val="24"/>
          <w:szCs w:val="24"/>
          <w:highlight w:val="none"/>
          <w:vertAlign w:val="superscript"/>
        </w:rPr>
        <w:t>3</w:t>
      </w:r>
      <w:r>
        <w:rPr>
          <w:rFonts w:hint="default" w:ascii="Times New Roman" w:hAnsi="Times New Roman" w:eastAsia="宋体" w:cs="Times New Roman"/>
          <w:snapToGrid w:val="0"/>
          <w:kern w:val="0"/>
          <w:sz w:val="24"/>
          <w:highlight w:val="none"/>
        </w:rPr>
        <w:t>，不满足《环境空气质量标准》（GB3095-2012）中相应浓度限值，超标率为16.8%。</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highlight w:val="none"/>
        </w:rPr>
      </w:pPr>
      <w:r>
        <w:rPr>
          <w:rFonts w:hint="default" w:ascii="Times New Roman" w:hAnsi="Times New Roman" w:eastAsia="宋体" w:cs="Times New Roman"/>
          <w:snapToGrid w:val="0"/>
          <w:kern w:val="0"/>
          <w:sz w:val="24"/>
          <w:highlight w:val="none"/>
        </w:rPr>
        <w:t>根据补充监测结果，补充监测期间补充监测点氨和硫化氢1小时平均浓度满足</w:t>
      </w:r>
      <w:r>
        <w:rPr>
          <w:rFonts w:hint="default" w:ascii="Times New Roman" w:hAnsi="Times New Roman" w:eastAsia="宋体" w:cs="Times New Roman"/>
          <w:snapToGrid w:val="0"/>
          <w:kern w:val="0"/>
          <w:sz w:val="24"/>
          <w:szCs w:val="24"/>
          <w:highlight w:val="none"/>
        </w:rPr>
        <w:t>《环境影响评价技术导则 大气环境》（HJ2.2-2018）附录D中要求。</w:t>
      </w:r>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90" w:name="_Toc277603660"/>
      <w:bookmarkStart w:id="91" w:name="_Toc281050929"/>
      <w:bookmarkStart w:id="92" w:name="_Toc295291710"/>
      <w:bookmarkStart w:id="93" w:name="_Toc324694088"/>
      <w:bookmarkStart w:id="94" w:name="_Toc141167923"/>
      <w:bookmarkStart w:id="95" w:name="_Toc136012854"/>
      <w:bookmarkStart w:id="96" w:name="_Toc137894729"/>
      <w:bookmarkStart w:id="97" w:name="_Toc290052012"/>
      <w:bookmarkStart w:id="98" w:name="_Toc195586289"/>
      <w:r>
        <w:rPr>
          <w:rFonts w:hint="default" w:ascii="Times New Roman" w:hAnsi="Times New Roman" w:eastAsia="黑体" w:cs="Times New Roman"/>
          <w:bCs/>
          <w:sz w:val="28"/>
          <w:szCs w:val="28"/>
          <w:highlight w:val="none"/>
        </w:rPr>
        <w:t>3.4.2声环境现状监测与评价</w:t>
      </w:r>
      <w:bookmarkEnd w:id="90"/>
      <w:bookmarkEnd w:id="91"/>
      <w:bookmarkEnd w:id="92"/>
      <w:bookmarkEnd w:id="93"/>
      <w:bookmarkEnd w:id="94"/>
      <w:bookmarkEnd w:id="95"/>
      <w:bookmarkEnd w:id="96"/>
      <w:bookmarkEnd w:id="97"/>
      <w:bookmarkEnd w:id="98"/>
    </w:p>
    <w:p>
      <w:pPr>
        <w:spacing w:before="120" w:beforeLines="50" w:after="120" w:afterLines="50"/>
        <w:jc w:val="left"/>
        <w:outlineLvl w:val="3"/>
        <w:rPr>
          <w:rFonts w:hint="default" w:ascii="Times New Roman" w:hAnsi="Times New Roman" w:eastAsia="黑体" w:cs="Times New Roman"/>
          <w:bCs/>
          <w:sz w:val="28"/>
          <w:szCs w:val="28"/>
          <w:highlight w:val="none"/>
        </w:rPr>
      </w:pPr>
      <w:bookmarkStart w:id="99" w:name="_Toc60025721"/>
      <w:bookmarkStart w:id="100" w:name="_Toc60021804"/>
      <w:bookmarkStart w:id="101" w:name="_Toc151547789"/>
      <w:r>
        <w:rPr>
          <w:rFonts w:hint="default" w:ascii="Times New Roman" w:hAnsi="Times New Roman" w:eastAsia="黑体" w:cs="Times New Roman"/>
          <w:bCs/>
          <w:sz w:val="28"/>
          <w:szCs w:val="28"/>
          <w:highlight w:val="none"/>
        </w:rPr>
        <w:t>3.4.2.1现状监测</w:t>
      </w:r>
      <w:bookmarkEnd w:id="99"/>
      <w:bookmarkEnd w:id="100"/>
      <w:bookmarkEnd w:id="101"/>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sz w:val="24"/>
          <w:highlight w:val="none"/>
        </w:rPr>
      </w:pPr>
      <w:r>
        <w:rPr>
          <w:rFonts w:hint="default" w:ascii="Times New Roman" w:hAnsi="Times New Roman" w:eastAsia="宋体" w:cs="Times New Roman"/>
          <w:spacing w:val="0"/>
          <w:sz w:val="24"/>
          <w:highlight w:val="none"/>
        </w:rPr>
        <w:t>（1）监测布点及监测因子：</w:t>
      </w:r>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textAlignment w:val="auto"/>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z w:val="24"/>
          <w:highlight w:val="none"/>
        </w:rPr>
        <w:t>厂界东、南、西、北侧各设一个监测点，</w:t>
      </w:r>
      <w:r>
        <w:rPr>
          <w:rFonts w:hint="default" w:ascii="Times New Roman" w:hAnsi="Times New Roman" w:eastAsia="宋体" w:cs="Times New Roman"/>
          <w:spacing w:val="0"/>
          <w:sz w:val="24"/>
          <w:highlight w:val="none"/>
        </w:rPr>
        <w:t>共4个点位</w:t>
      </w:r>
      <w:r>
        <w:rPr>
          <w:rFonts w:hint="default" w:ascii="Times New Roman" w:hAnsi="Times New Roman" w:eastAsia="宋体" w:cs="Times New Roman"/>
          <w:spacing w:val="0"/>
          <w:sz w:val="24"/>
          <w:szCs w:val="24"/>
          <w:highlight w:val="none"/>
        </w:rPr>
        <w:t>。监测因子为</w:t>
      </w:r>
      <w:r>
        <w:rPr>
          <w:rFonts w:hint="default" w:ascii="Times New Roman" w:hAnsi="Times New Roman" w:eastAsia="宋体" w:cs="Times New Roman"/>
          <w:spacing w:val="0"/>
          <w:sz w:val="24"/>
          <w:highlight w:val="none"/>
        </w:rPr>
        <w:t>等效A声级</w:t>
      </w:r>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sz w:val="24"/>
          <w:highlight w:val="none"/>
        </w:rPr>
      </w:pPr>
      <w:r>
        <w:rPr>
          <w:rFonts w:hint="default" w:ascii="Times New Roman" w:hAnsi="Times New Roman" w:eastAsia="宋体" w:cs="Times New Roman"/>
          <w:spacing w:val="0"/>
          <w:sz w:val="24"/>
          <w:highlight w:val="none"/>
        </w:rPr>
        <w:t>（2）监测时间频次：厂界噪声：监测时间为2019年11月2日~3日，昼间、夜间各监测一次。</w:t>
      </w:r>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0"/>
          <w:sz w:val="24"/>
          <w:highlight w:val="none"/>
        </w:rPr>
      </w:pPr>
      <w:r>
        <w:rPr>
          <w:rFonts w:hint="default" w:ascii="Times New Roman" w:hAnsi="Times New Roman" w:eastAsia="宋体" w:cs="Times New Roman"/>
          <w:spacing w:val="0"/>
          <w:sz w:val="24"/>
          <w:highlight w:val="none"/>
        </w:rPr>
        <w:t>（3）监测方法：</w:t>
      </w:r>
      <w:r>
        <w:rPr>
          <w:rFonts w:hint="default" w:ascii="Times New Roman" w:hAnsi="Times New Roman" w:eastAsia="宋体" w:cs="Times New Roman"/>
          <w:snapToGrid w:val="0"/>
          <w:spacing w:val="0"/>
          <w:sz w:val="24"/>
          <w:highlight w:val="none"/>
        </w:rPr>
        <w:t>厂界环境噪声</w:t>
      </w:r>
      <w:r>
        <w:rPr>
          <w:rFonts w:hint="default" w:ascii="Times New Roman" w:hAnsi="Times New Roman" w:eastAsia="宋体" w:cs="Times New Roman"/>
          <w:snapToGrid w:val="0"/>
          <w:spacing w:val="0"/>
          <w:sz w:val="24"/>
          <w:szCs w:val="24"/>
          <w:highlight w:val="none"/>
        </w:rPr>
        <w:t>按《声环境质量标准》（GB3096-2008）中规定进行</w:t>
      </w:r>
      <w:r>
        <w:rPr>
          <w:rFonts w:hint="default" w:ascii="Times New Roman" w:hAnsi="Times New Roman" w:eastAsia="宋体" w:cs="Times New Roman"/>
          <w:snapToGrid w:val="0"/>
          <w:spacing w:val="0"/>
          <w:sz w:val="24"/>
          <w:highlight w:val="none"/>
        </w:rPr>
        <w:t>。</w:t>
      </w:r>
    </w:p>
    <w:p>
      <w:pPr>
        <w:spacing w:before="120" w:beforeLines="50" w:after="120" w:afterLines="50"/>
        <w:jc w:val="left"/>
        <w:outlineLvl w:val="3"/>
        <w:rPr>
          <w:rFonts w:hint="default" w:ascii="Times New Roman" w:hAnsi="Times New Roman" w:eastAsia="黑体" w:cs="Times New Roman"/>
          <w:bCs/>
          <w:sz w:val="28"/>
          <w:szCs w:val="28"/>
          <w:highlight w:val="none"/>
        </w:rPr>
      </w:pPr>
      <w:bookmarkStart w:id="102" w:name="_Toc151547790"/>
      <w:bookmarkStart w:id="103" w:name="_Toc60021805"/>
      <w:bookmarkStart w:id="104" w:name="_Toc60025722"/>
      <w:r>
        <w:rPr>
          <w:rFonts w:hint="default" w:ascii="Times New Roman" w:hAnsi="Times New Roman" w:eastAsia="黑体" w:cs="Times New Roman"/>
          <w:bCs/>
          <w:sz w:val="28"/>
          <w:szCs w:val="28"/>
          <w:highlight w:val="none"/>
        </w:rPr>
        <w:t>3.4.2.2监测结果统计及评价</w:t>
      </w:r>
      <w:bookmarkEnd w:id="102"/>
      <w:bookmarkEnd w:id="103"/>
      <w:bookmarkEnd w:id="104"/>
    </w:p>
    <w:p>
      <w:pPr>
        <w:pStyle w:val="146"/>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pacing w:val="0"/>
          <w:sz w:val="24"/>
          <w:highlight w:val="none"/>
        </w:rPr>
      </w:pPr>
      <w:r>
        <w:rPr>
          <w:rFonts w:hint="default" w:ascii="Times New Roman" w:hAnsi="Times New Roman" w:cs="Times New Roman"/>
          <w:spacing w:val="0"/>
          <w:sz w:val="24"/>
          <w:highlight w:val="none"/>
        </w:rPr>
        <w:t>声环境质量监测及评价结果见下表。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表3-6  声环境监测及评价结果</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1161"/>
        <w:gridCol w:w="1161"/>
        <w:gridCol w:w="1022"/>
        <w:gridCol w:w="1023"/>
        <w:gridCol w:w="1192"/>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9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napToGrid w:val="0"/>
                <w:kern w:val="0"/>
                <w:szCs w:val="21"/>
                <w:highlight w:val="none"/>
              </w:rPr>
            </w:pPr>
            <w:r>
              <w:rPr>
                <w:rFonts w:hint="default" w:ascii="Times New Roman" w:hAnsi="Times New Roman" w:cs="Times New Roman"/>
                <w:b/>
                <w:bCs/>
                <w:snapToGrid w:val="0"/>
                <w:kern w:val="0"/>
                <w:szCs w:val="21"/>
                <w:highlight w:val="none"/>
              </w:rPr>
              <w:t>点位</w:t>
            </w:r>
          </w:p>
        </w:tc>
        <w:tc>
          <w:tcPr>
            <w:tcW w:w="232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napToGrid w:val="0"/>
                <w:kern w:val="0"/>
                <w:szCs w:val="21"/>
                <w:highlight w:val="none"/>
              </w:rPr>
            </w:pPr>
            <w:r>
              <w:rPr>
                <w:rFonts w:hint="default" w:ascii="Times New Roman" w:hAnsi="Times New Roman" w:cs="Times New Roman"/>
                <w:b/>
                <w:bCs/>
                <w:snapToGrid w:val="0"/>
                <w:kern w:val="0"/>
                <w:szCs w:val="21"/>
                <w:highlight w:val="none"/>
              </w:rPr>
              <w:t>现状值[dB(A)]</w:t>
            </w:r>
          </w:p>
        </w:tc>
        <w:tc>
          <w:tcPr>
            <w:tcW w:w="204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napToGrid w:val="0"/>
                <w:kern w:val="0"/>
                <w:szCs w:val="21"/>
                <w:highlight w:val="none"/>
              </w:rPr>
            </w:pPr>
            <w:r>
              <w:rPr>
                <w:rFonts w:hint="default" w:ascii="Times New Roman" w:hAnsi="Times New Roman" w:cs="Times New Roman"/>
                <w:b/>
                <w:bCs/>
                <w:snapToGrid w:val="0"/>
                <w:kern w:val="0"/>
                <w:szCs w:val="21"/>
                <w:highlight w:val="none"/>
              </w:rPr>
              <w:t>标准值[LeqdB(A)]</w:t>
            </w:r>
          </w:p>
        </w:tc>
        <w:tc>
          <w:tcPr>
            <w:tcW w:w="248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napToGrid w:val="0"/>
                <w:kern w:val="0"/>
                <w:szCs w:val="21"/>
                <w:highlight w:val="none"/>
              </w:rPr>
            </w:pPr>
            <w:r>
              <w:rPr>
                <w:rFonts w:hint="default" w:ascii="Times New Roman" w:hAnsi="Times New Roman" w:cs="Times New Roman"/>
                <w:b/>
                <w:bCs/>
                <w:snapToGrid w:val="0"/>
                <w:kern w:val="0"/>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9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b/>
                <w:bCs/>
                <w:snapToGrid w:val="0"/>
                <w:kern w:val="0"/>
                <w:szCs w:val="21"/>
                <w:highlight w:val="none"/>
              </w:rPr>
            </w:pP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napToGrid w:val="0"/>
                <w:kern w:val="0"/>
                <w:szCs w:val="21"/>
                <w:highlight w:val="none"/>
              </w:rPr>
            </w:pPr>
            <w:r>
              <w:rPr>
                <w:rFonts w:hint="default" w:ascii="Times New Roman" w:hAnsi="Times New Roman" w:cs="Times New Roman"/>
                <w:b/>
                <w:bCs/>
                <w:snapToGrid w:val="0"/>
                <w:kern w:val="0"/>
                <w:szCs w:val="21"/>
                <w:highlight w:val="none"/>
              </w:rPr>
              <w:t>昼间</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napToGrid w:val="0"/>
                <w:kern w:val="0"/>
                <w:szCs w:val="21"/>
                <w:highlight w:val="none"/>
              </w:rPr>
            </w:pPr>
            <w:r>
              <w:rPr>
                <w:rFonts w:hint="default" w:ascii="Times New Roman" w:hAnsi="Times New Roman" w:cs="Times New Roman"/>
                <w:b/>
                <w:bCs/>
                <w:snapToGrid w:val="0"/>
                <w:kern w:val="0"/>
                <w:szCs w:val="21"/>
                <w:highlight w:val="none"/>
              </w:rPr>
              <w:t>夜间</w:t>
            </w:r>
          </w:p>
        </w:tc>
        <w:tc>
          <w:tcPr>
            <w:tcW w:w="10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napToGrid w:val="0"/>
                <w:kern w:val="0"/>
                <w:szCs w:val="21"/>
                <w:highlight w:val="none"/>
              </w:rPr>
            </w:pPr>
            <w:r>
              <w:rPr>
                <w:rFonts w:hint="default" w:ascii="Times New Roman" w:hAnsi="Times New Roman" w:cs="Times New Roman"/>
                <w:b/>
                <w:bCs/>
                <w:snapToGrid w:val="0"/>
                <w:kern w:val="0"/>
                <w:szCs w:val="21"/>
                <w:highlight w:val="none"/>
              </w:rPr>
              <w:t>昼间</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napToGrid w:val="0"/>
                <w:kern w:val="0"/>
                <w:szCs w:val="21"/>
                <w:highlight w:val="none"/>
              </w:rPr>
            </w:pPr>
            <w:r>
              <w:rPr>
                <w:rFonts w:hint="default" w:ascii="Times New Roman" w:hAnsi="Times New Roman" w:cs="Times New Roman"/>
                <w:b/>
                <w:bCs/>
                <w:snapToGrid w:val="0"/>
                <w:kern w:val="0"/>
                <w:szCs w:val="21"/>
                <w:highlight w:val="none"/>
              </w:rPr>
              <w:t>夜间</w:t>
            </w:r>
          </w:p>
        </w:tc>
        <w:tc>
          <w:tcPr>
            <w:tcW w:w="1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napToGrid w:val="0"/>
                <w:kern w:val="0"/>
                <w:szCs w:val="21"/>
                <w:highlight w:val="none"/>
              </w:rPr>
            </w:pPr>
            <w:r>
              <w:rPr>
                <w:rFonts w:hint="default" w:ascii="Times New Roman" w:hAnsi="Times New Roman" w:cs="Times New Roman"/>
                <w:b/>
                <w:bCs/>
                <w:snapToGrid w:val="0"/>
                <w:kern w:val="0"/>
                <w:szCs w:val="21"/>
                <w:highlight w:val="none"/>
              </w:rPr>
              <w:t>昼间</w:t>
            </w:r>
          </w:p>
        </w:tc>
        <w:tc>
          <w:tcPr>
            <w:tcW w:w="12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napToGrid w:val="0"/>
                <w:kern w:val="0"/>
                <w:szCs w:val="21"/>
                <w:highlight w:val="none"/>
              </w:rPr>
            </w:pPr>
            <w:r>
              <w:rPr>
                <w:rFonts w:hint="default" w:ascii="Times New Roman" w:hAnsi="Times New Roman" w:cs="Times New Roman"/>
                <w:b/>
                <w:bCs/>
                <w:snapToGrid w:val="0"/>
                <w:kern w:val="0"/>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东厂界</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50~52</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42</w:t>
            </w:r>
          </w:p>
        </w:tc>
        <w:tc>
          <w:tcPr>
            <w:tcW w:w="10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55</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45</w:t>
            </w:r>
          </w:p>
        </w:tc>
        <w:tc>
          <w:tcPr>
            <w:tcW w:w="1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达标</w:t>
            </w:r>
          </w:p>
        </w:tc>
        <w:tc>
          <w:tcPr>
            <w:tcW w:w="12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南厂界</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51</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42</w:t>
            </w:r>
          </w:p>
        </w:tc>
        <w:tc>
          <w:tcPr>
            <w:tcW w:w="10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55</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45</w:t>
            </w:r>
          </w:p>
        </w:tc>
        <w:tc>
          <w:tcPr>
            <w:tcW w:w="1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达标</w:t>
            </w:r>
          </w:p>
        </w:tc>
        <w:tc>
          <w:tcPr>
            <w:tcW w:w="12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西厂界</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52</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43</w:t>
            </w:r>
          </w:p>
        </w:tc>
        <w:tc>
          <w:tcPr>
            <w:tcW w:w="10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55</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45</w:t>
            </w:r>
          </w:p>
        </w:tc>
        <w:tc>
          <w:tcPr>
            <w:tcW w:w="1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达标</w:t>
            </w:r>
          </w:p>
        </w:tc>
        <w:tc>
          <w:tcPr>
            <w:tcW w:w="12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北厂界</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52</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42~43</w:t>
            </w:r>
          </w:p>
        </w:tc>
        <w:tc>
          <w:tcPr>
            <w:tcW w:w="10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55</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45</w:t>
            </w:r>
          </w:p>
        </w:tc>
        <w:tc>
          <w:tcPr>
            <w:tcW w:w="1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达标</w:t>
            </w:r>
          </w:p>
        </w:tc>
        <w:tc>
          <w:tcPr>
            <w:tcW w:w="12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莫黑石村</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51~52</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42</w:t>
            </w:r>
          </w:p>
        </w:tc>
        <w:tc>
          <w:tcPr>
            <w:tcW w:w="10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55</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45</w:t>
            </w:r>
          </w:p>
        </w:tc>
        <w:tc>
          <w:tcPr>
            <w:tcW w:w="1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达标</w:t>
            </w:r>
          </w:p>
        </w:tc>
        <w:tc>
          <w:tcPr>
            <w:tcW w:w="12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达标</w:t>
            </w:r>
          </w:p>
        </w:tc>
      </w:tr>
    </w:tbl>
    <w:p>
      <w:pPr>
        <w:pStyle w:val="146"/>
        <w:keepNext w:val="0"/>
        <w:keepLines w:val="0"/>
        <w:pageBreakBefore w:val="0"/>
        <w:widowControl w:val="0"/>
        <w:kinsoku/>
        <w:wordWrap/>
        <w:overflowPunct/>
        <w:topLinePunct w:val="0"/>
        <w:autoSpaceDE/>
        <w:autoSpaceDN/>
        <w:bidi w:val="0"/>
        <w:adjustRightInd w:val="0"/>
        <w:snapToGrid w:val="0"/>
        <w:spacing w:before="120" w:beforeLines="50" w:line="480" w:lineRule="exact"/>
        <w:ind w:firstLine="480" w:firstLineChars="200"/>
        <w:textAlignment w:val="auto"/>
        <w:rPr>
          <w:rFonts w:hint="default" w:ascii="Times New Roman" w:hAnsi="Times New Roman" w:cs="Times New Roman"/>
          <w:spacing w:val="0"/>
          <w:sz w:val="24"/>
          <w:highlight w:val="none"/>
        </w:rPr>
      </w:pPr>
      <w:r>
        <w:rPr>
          <w:rFonts w:hint="default" w:ascii="Times New Roman" w:hAnsi="Times New Roman" w:cs="Times New Roman"/>
          <w:spacing w:val="0"/>
          <w:sz w:val="24"/>
          <w:highlight w:val="none"/>
        </w:rPr>
        <w:t>由表3-6监测结果与标准值比较可以看出，厂界声环境符合《声环境质量标准》（GB3096-2008）中1类功能区标准要求，声环境符合相应环境功能区划要求。</w:t>
      </w:r>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105" w:name="_Toc254602612"/>
      <w:bookmarkStart w:id="106" w:name="_Toc295291711"/>
      <w:bookmarkStart w:id="107" w:name="_Toc324694090"/>
      <w:r>
        <w:rPr>
          <w:rFonts w:hint="default" w:ascii="Times New Roman" w:hAnsi="Times New Roman" w:eastAsia="黑体" w:cs="Times New Roman"/>
          <w:bCs/>
          <w:sz w:val="28"/>
          <w:szCs w:val="28"/>
          <w:highlight w:val="none"/>
        </w:rPr>
        <w:t>3.4.3地下水环境质量现状监测与评价</w:t>
      </w:r>
      <w:bookmarkEnd w:id="105"/>
      <w:bookmarkEnd w:id="106"/>
      <w:bookmarkEnd w:id="107"/>
    </w:p>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3.4.3.1现状监测</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（1）监测布点：</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水质监测点位：分别位于</w:t>
      </w:r>
    </w:p>
    <w:p>
      <w:pPr>
        <w:adjustRightInd w:val="0"/>
        <w:snapToGrid w:val="0"/>
        <w:spacing w:line="360" w:lineRule="auto"/>
        <w:rPr>
          <w:rFonts w:hint="default" w:ascii="Times New Roman" w:hAnsi="Times New Roman" w:cs="Times New Roman"/>
          <w:snapToGrid w:val="0"/>
          <w:kern w:val="0"/>
          <w:sz w:val="24"/>
          <w:highlight w:val="none"/>
        </w:rPr>
      </w:pPr>
      <w:r>
        <w:rPr>
          <w:rFonts w:hint="default" w:ascii="Times New Roman" w:hAnsi="Times New Roman" w:cs="Times New Roman"/>
          <w:highlight w:val="none"/>
        </w:rPr>
        <w:drawing>
          <wp:inline distT="0" distB="0" distL="0" distR="0">
            <wp:extent cx="5274310" cy="307975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4310" cy="3080344"/>
                    </a:xfrm>
                    <a:prstGeom prst="rect">
                      <a:avLst/>
                    </a:prstGeom>
                  </pic:spPr>
                </pic:pic>
              </a:graphicData>
            </a:graphic>
          </wp:inline>
        </w:drawing>
      </w:r>
      <w:r>
        <w:rPr>
          <w:rFonts w:hint="default" w:ascii="Times New Roman" w:hAnsi="Times New Roman" w:cs="Times New Roman"/>
          <w:snapToGrid w:val="0"/>
          <w:kern w:val="0"/>
          <w:sz w:val="24"/>
          <w:highlight w:val="none"/>
        </w:rPr>
        <w:t>（2）监测因子：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napToGrid w:val="0"/>
          <w:kern w:val="0"/>
          <w:sz w:val="24"/>
          <w:highlight w:val="none"/>
        </w:rPr>
        <w:t>水质：</w:t>
      </w:r>
      <w:r>
        <w:rPr>
          <w:rFonts w:hint="default" w:ascii="Times New Roman" w:hAnsi="Times New Roman" w:cs="Times New Roman"/>
          <w:sz w:val="24"/>
          <w:highlight w:val="none"/>
        </w:rPr>
        <w:t>K</w:t>
      </w:r>
      <w:r>
        <w:rPr>
          <w:rFonts w:hint="default" w:ascii="Times New Roman" w:hAnsi="Times New Roman" w:cs="Times New Roman"/>
          <w:sz w:val="24"/>
          <w:highlight w:val="none"/>
          <w:vertAlign w:val="superscript"/>
        </w:rPr>
        <w:t>+</w:t>
      </w:r>
      <w:r>
        <w:rPr>
          <w:rFonts w:hint="default" w:ascii="Times New Roman" w:hAnsi="Times New Roman" w:cs="Times New Roman"/>
          <w:sz w:val="24"/>
          <w:highlight w:val="none"/>
        </w:rPr>
        <w:t>、Na</w:t>
      </w:r>
      <w:r>
        <w:rPr>
          <w:rFonts w:hint="default" w:ascii="Times New Roman" w:hAnsi="Times New Roman" w:cs="Times New Roman"/>
          <w:sz w:val="24"/>
          <w:highlight w:val="none"/>
          <w:vertAlign w:val="superscript"/>
        </w:rPr>
        <w:t>+</w:t>
      </w:r>
      <w:r>
        <w:rPr>
          <w:rFonts w:hint="default" w:ascii="Times New Roman" w:hAnsi="Times New Roman" w:cs="Times New Roman"/>
          <w:sz w:val="24"/>
          <w:highlight w:val="none"/>
        </w:rPr>
        <w:t>、Ca</w:t>
      </w:r>
      <w:r>
        <w:rPr>
          <w:rFonts w:hint="default" w:ascii="Times New Roman" w:hAnsi="Times New Roman" w:cs="Times New Roman"/>
          <w:sz w:val="24"/>
          <w:highlight w:val="none"/>
          <w:vertAlign w:val="superscript"/>
        </w:rPr>
        <w:t>2+</w:t>
      </w:r>
      <w:r>
        <w:rPr>
          <w:rFonts w:hint="default" w:ascii="Times New Roman" w:hAnsi="Times New Roman" w:cs="Times New Roman"/>
          <w:sz w:val="24"/>
          <w:highlight w:val="none"/>
        </w:rPr>
        <w:t>、Mg</w:t>
      </w:r>
      <w:r>
        <w:rPr>
          <w:rFonts w:hint="default" w:ascii="Times New Roman" w:hAnsi="Times New Roman" w:cs="Times New Roman"/>
          <w:sz w:val="24"/>
          <w:highlight w:val="none"/>
          <w:vertAlign w:val="superscript"/>
        </w:rPr>
        <w:t>2+</w:t>
      </w:r>
      <w:r>
        <w:rPr>
          <w:rFonts w:hint="default" w:ascii="Times New Roman" w:hAnsi="Times New Roman" w:cs="Times New Roman"/>
          <w:sz w:val="24"/>
          <w:highlight w:val="none"/>
        </w:rPr>
        <w:t>、CO</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、HCO</w:t>
      </w:r>
      <w:r>
        <w:rPr>
          <w:rFonts w:hint="default" w:ascii="Times New Roman" w:hAnsi="Times New Roman" w:cs="Times New Roman"/>
          <w:sz w:val="24"/>
          <w:highlight w:val="none"/>
          <w:vertAlign w:val="subscript"/>
        </w:rPr>
        <w:t>3</w:t>
      </w:r>
      <w:r>
        <w:rPr>
          <w:rFonts w:hint="default" w:ascii="Times New Roman" w:hAnsi="Times New Roman" w:cs="Times New Roman"/>
          <w:sz w:val="24"/>
          <w:highlight w:val="none"/>
          <w:vertAlign w:val="superscript"/>
        </w:rPr>
        <w:t>-</w:t>
      </w:r>
      <w:r>
        <w:rPr>
          <w:rFonts w:hint="default" w:ascii="Times New Roman" w:hAnsi="Times New Roman" w:cs="Times New Roman"/>
          <w:sz w:val="24"/>
          <w:highlight w:val="none"/>
        </w:rPr>
        <w:t>、Cl</w:t>
      </w:r>
      <w:r>
        <w:rPr>
          <w:rFonts w:hint="default" w:ascii="Times New Roman" w:hAnsi="Times New Roman" w:cs="Times New Roman"/>
          <w:sz w:val="24"/>
          <w:highlight w:val="none"/>
          <w:vertAlign w:val="superscript"/>
        </w:rPr>
        <w:t>-</w:t>
      </w:r>
      <w:r>
        <w:rPr>
          <w:rFonts w:hint="default" w:ascii="Times New Roman" w:hAnsi="Times New Roman" w:cs="Times New Roman"/>
          <w:sz w:val="24"/>
          <w:highlight w:val="none"/>
        </w:rPr>
        <w:t>、SO</w:t>
      </w:r>
      <w:r>
        <w:rPr>
          <w:rFonts w:hint="default" w:ascii="Times New Roman" w:hAnsi="Times New Roman" w:cs="Times New Roman"/>
          <w:sz w:val="24"/>
          <w:highlight w:val="none"/>
          <w:vertAlign w:val="subscript"/>
        </w:rPr>
        <w:t>4</w:t>
      </w:r>
      <w:r>
        <w:rPr>
          <w:rFonts w:hint="default" w:ascii="Times New Roman" w:hAnsi="Times New Roman" w:cs="Times New Roman"/>
          <w:sz w:val="24"/>
          <w:highlight w:val="none"/>
          <w:vertAlign w:val="superscript"/>
        </w:rPr>
        <w:t>2-</w:t>
      </w:r>
      <w:r>
        <w:rPr>
          <w:rFonts w:hint="default" w:ascii="Times New Roman" w:hAnsi="Times New Roman" w:cs="Times New Roman"/>
          <w:sz w:val="24"/>
          <w:highlight w:val="none"/>
        </w:rPr>
        <w:t xml:space="preserve"> 、pH、氨氮、总硬度、氯化物、硫酸盐、挥发酚、硝酸盐、溶解性总固体、耗氧量、砷、汞、铬（六价）、铁、铅；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水位：潜水含水层水位。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（3）监测时间与频率：2019年5月21日~22日，连续监测二天。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（4）监测分析方法：按《地下水质量标准》（GB/T14848-2017）中的方法进行分析。</w:t>
      </w:r>
    </w:p>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3.4.3.2监测结果统计及评价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（1）评价标准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评价标准采用《地下水质量标准》(GB/T14848-2017)中III类标准。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（2）评价方法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采用单因子指数法，公式如下：</w:t>
      </w:r>
    </w:p>
    <w:p>
      <w:pPr>
        <w:adjustRightInd w:val="0"/>
        <w:snapToGrid w:val="0"/>
        <w:spacing w:line="360" w:lineRule="auto"/>
        <w:ind w:firstLine="1020" w:firstLineChars="425"/>
        <w:jc w:val="center"/>
        <w:rPr>
          <w:rFonts w:hint="default" w:ascii="Times New Roman" w:hAnsi="Times New Roman" w:cs="Times New Roman"/>
          <w:snapToGrid w:val="0"/>
          <w:kern w:val="0"/>
          <w:sz w:val="24"/>
          <w:highlight w:val="none"/>
        </w:rPr>
      </w:pPr>
      <w:r>
        <w:rPr>
          <w:rFonts w:hint="default" w:ascii="Times New Roman" w:hAnsi="Times New Roman" w:cs="Times New Roman"/>
          <w:position w:val="-30"/>
          <w:sz w:val="24"/>
          <w:highlight w:val="none"/>
        </w:rPr>
        <w:object>
          <v:shape id="_x0000_i1029" o:spt="75" type="#_x0000_t75" style="height:35.25pt;width:44.25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30" r:id="rId2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left="991" w:leftChars="472"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P</w:t>
      </w:r>
      <w:r>
        <w:rPr>
          <w:rFonts w:hint="default" w:ascii="Times New Roman" w:hAnsi="Times New Roman" w:cs="Times New Roman"/>
          <w:snapToGrid w:val="0"/>
          <w:kern w:val="0"/>
          <w:sz w:val="24"/>
          <w:highlight w:val="none"/>
          <w:vertAlign w:val="subscript"/>
        </w:rPr>
        <w:t>i</w:t>
      </w:r>
      <w:r>
        <w:rPr>
          <w:rFonts w:hint="default" w:ascii="Times New Roman" w:hAnsi="Times New Roman" w:cs="Times New Roman"/>
          <w:snapToGrid w:val="0"/>
          <w:kern w:val="0"/>
          <w:sz w:val="24"/>
          <w:highlight w:val="none"/>
        </w:rPr>
        <w:t>——单因子污染指数；</w:t>
      </w:r>
    </w:p>
    <w:p>
      <w:pPr>
        <w:keepNext w:val="0"/>
        <w:keepLines w:val="0"/>
        <w:pageBreakBefore w:val="0"/>
        <w:widowControl w:val="0"/>
        <w:kinsoku/>
        <w:wordWrap/>
        <w:overflowPunct/>
        <w:topLinePunct w:val="0"/>
        <w:autoSpaceDE/>
        <w:autoSpaceDN/>
        <w:bidi w:val="0"/>
        <w:adjustRightInd w:val="0"/>
        <w:snapToGrid w:val="0"/>
        <w:spacing w:line="360" w:lineRule="auto"/>
        <w:ind w:left="991" w:leftChars="472"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C</w:t>
      </w:r>
      <w:r>
        <w:rPr>
          <w:rFonts w:hint="default" w:ascii="Times New Roman" w:hAnsi="Times New Roman" w:cs="Times New Roman"/>
          <w:snapToGrid w:val="0"/>
          <w:kern w:val="0"/>
          <w:sz w:val="24"/>
          <w:highlight w:val="none"/>
          <w:vertAlign w:val="subscript"/>
        </w:rPr>
        <w:t>i</w:t>
      </w:r>
      <w:r>
        <w:rPr>
          <w:rFonts w:hint="default" w:ascii="Times New Roman" w:hAnsi="Times New Roman" w:cs="Times New Roman"/>
          <w:snapToGrid w:val="0"/>
          <w:kern w:val="0"/>
          <w:sz w:val="24"/>
          <w:highlight w:val="none"/>
        </w:rPr>
        <w:t>——水质参数的监测浓度；</w:t>
      </w:r>
    </w:p>
    <w:p>
      <w:pPr>
        <w:keepNext w:val="0"/>
        <w:keepLines w:val="0"/>
        <w:pageBreakBefore w:val="0"/>
        <w:widowControl w:val="0"/>
        <w:kinsoku/>
        <w:wordWrap/>
        <w:overflowPunct/>
        <w:topLinePunct w:val="0"/>
        <w:autoSpaceDE/>
        <w:autoSpaceDN/>
        <w:bidi w:val="0"/>
        <w:adjustRightInd w:val="0"/>
        <w:snapToGrid w:val="0"/>
        <w:spacing w:line="360" w:lineRule="auto"/>
        <w:ind w:left="991" w:leftChars="472"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C</w:t>
      </w:r>
      <w:r>
        <w:rPr>
          <w:rFonts w:hint="default" w:ascii="Times New Roman" w:hAnsi="Times New Roman" w:cs="Times New Roman"/>
          <w:snapToGrid w:val="0"/>
          <w:kern w:val="0"/>
          <w:sz w:val="24"/>
          <w:highlight w:val="none"/>
          <w:vertAlign w:val="subscript"/>
        </w:rPr>
        <w:t>oi</w:t>
      </w:r>
      <w:r>
        <w:rPr>
          <w:rFonts w:hint="default" w:ascii="Times New Roman" w:hAnsi="Times New Roman" w:cs="Times New Roman"/>
          <w:snapToGrid w:val="0"/>
          <w:kern w:val="0"/>
          <w:sz w:val="24"/>
          <w:highlight w:val="none"/>
        </w:rPr>
        <w:t>——水质参数i的评价标准值。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pH值的评价公式如下：</w:t>
      </w:r>
    </w:p>
    <w:p>
      <w:pPr>
        <w:adjustRightInd w:val="0"/>
        <w:snapToGrid w:val="0"/>
        <w:spacing w:line="360" w:lineRule="auto"/>
        <w:ind w:firstLine="1080" w:firstLineChars="450"/>
        <w:jc w:val="center"/>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pH=</w:t>
      </w:r>
      <w:r>
        <w:rPr>
          <w:rFonts w:hint="default" w:ascii="Times New Roman" w:hAnsi="Times New Roman" w:cs="Times New Roman"/>
          <w:snapToGrid w:val="0"/>
          <w:kern w:val="0"/>
          <w:position w:val="-28"/>
          <w:sz w:val="24"/>
          <w:highlight w:val="none"/>
        </w:rPr>
        <w:object>
          <v:shape id="_x0000_i1030" o:spt="75" type="#_x0000_t75" style="height:33.75pt;width:59.25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1" r:id="rId23">
            <o:LockedField>false</o:LockedField>
          </o:OLEObject>
        </w:object>
      </w:r>
      <w:r>
        <w:rPr>
          <w:rFonts w:hint="default" w:ascii="Times New Roman" w:hAnsi="Times New Roman" w:cs="Times New Roman"/>
          <w:snapToGrid w:val="0"/>
          <w:kern w:val="0"/>
          <w:sz w:val="24"/>
          <w:highlight w:val="none"/>
        </w:rPr>
        <w:t xml:space="preserve">         pH≤7时；</w:t>
      </w:r>
    </w:p>
    <w:p>
      <w:pPr>
        <w:adjustRightInd w:val="0"/>
        <w:snapToGrid w:val="0"/>
        <w:spacing w:line="360" w:lineRule="auto"/>
        <w:ind w:firstLine="1080" w:firstLineChars="450"/>
        <w:jc w:val="center"/>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pH =</w:t>
      </w:r>
      <w:r>
        <w:rPr>
          <w:rFonts w:hint="default" w:ascii="Times New Roman" w:hAnsi="Times New Roman" w:cs="Times New Roman"/>
          <w:snapToGrid w:val="0"/>
          <w:kern w:val="0"/>
          <w:position w:val="-28"/>
          <w:sz w:val="24"/>
          <w:highlight w:val="none"/>
        </w:rPr>
        <w:object>
          <v:shape id="_x0000_i1031" o:spt="75" type="#_x0000_t75" style="height:33.75pt;width:58.5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2" r:id="rId25">
            <o:LockedField>false</o:LockedField>
          </o:OLEObject>
        </w:object>
      </w:r>
      <w:r>
        <w:rPr>
          <w:rFonts w:hint="default" w:ascii="Times New Roman" w:hAnsi="Times New Roman" w:cs="Times New Roman"/>
          <w:snapToGrid w:val="0"/>
          <w:kern w:val="0"/>
          <w:sz w:val="24"/>
          <w:highlight w:val="none"/>
        </w:rPr>
        <w:t xml:space="preserve">         pH≥7时；</w:t>
      </w:r>
    </w:p>
    <w:p>
      <w:pPr>
        <w:keepNext w:val="0"/>
        <w:keepLines w:val="0"/>
        <w:pageBreakBefore w:val="0"/>
        <w:widowControl w:val="0"/>
        <w:kinsoku/>
        <w:wordWrap/>
        <w:overflowPunct/>
        <w:topLinePunct w:val="0"/>
        <w:autoSpaceDE/>
        <w:autoSpaceDN/>
        <w:bidi w:val="0"/>
        <w:adjustRightInd w:val="0"/>
        <w:snapToGrid w:val="0"/>
        <w:spacing w:line="360" w:lineRule="auto"/>
        <w:ind w:firstLine="1416" w:firstLineChars="59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pH——pH的污染指数；</w:t>
      </w:r>
    </w:p>
    <w:p>
      <w:pPr>
        <w:keepNext w:val="0"/>
        <w:keepLines w:val="0"/>
        <w:pageBreakBefore w:val="0"/>
        <w:widowControl w:val="0"/>
        <w:kinsoku/>
        <w:wordWrap/>
        <w:overflowPunct/>
        <w:topLinePunct w:val="0"/>
        <w:autoSpaceDE/>
        <w:autoSpaceDN/>
        <w:bidi w:val="0"/>
        <w:adjustRightInd w:val="0"/>
        <w:snapToGrid w:val="0"/>
        <w:spacing w:line="360" w:lineRule="auto"/>
        <w:ind w:firstLine="1416" w:firstLineChars="59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pH</w:t>
      </w:r>
      <w:r>
        <w:rPr>
          <w:rFonts w:hint="default" w:ascii="Times New Roman" w:hAnsi="Times New Roman" w:cs="Times New Roman"/>
          <w:snapToGrid w:val="0"/>
          <w:kern w:val="0"/>
          <w:sz w:val="24"/>
          <w:highlight w:val="none"/>
          <w:vertAlign w:val="subscript"/>
        </w:rPr>
        <w:t xml:space="preserve"> i</w:t>
      </w:r>
      <w:r>
        <w:rPr>
          <w:rFonts w:hint="default" w:ascii="Times New Roman" w:hAnsi="Times New Roman" w:cs="Times New Roman"/>
          <w:snapToGrid w:val="0"/>
          <w:kern w:val="0"/>
          <w:sz w:val="24"/>
          <w:highlight w:val="none"/>
        </w:rPr>
        <w:t>——pH的实测值；</w:t>
      </w:r>
    </w:p>
    <w:p>
      <w:pPr>
        <w:keepNext w:val="0"/>
        <w:keepLines w:val="0"/>
        <w:pageBreakBefore w:val="0"/>
        <w:widowControl w:val="0"/>
        <w:kinsoku/>
        <w:wordWrap/>
        <w:overflowPunct/>
        <w:topLinePunct w:val="0"/>
        <w:autoSpaceDE/>
        <w:autoSpaceDN/>
        <w:bidi w:val="0"/>
        <w:adjustRightInd w:val="0"/>
        <w:snapToGrid w:val="0"/>
        <w:spacing w:line="360" w:lineRule="auto"/>
        <w:ind w:firstLine="1416" w:firstLineChars="59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pH</w:t>
      </w:r>
      <w:r>
        <w:rPr>
          <w:rFonts w:hint="default" w:ascii="Times New Roman" w:hAnsi="Times New Roman" w:cs="Times New Roman"/>
          <w:snapToGrid w:val="0"/>
          <w:kern w:val="0"/>
          <w:sz w:val="24"/>
          <w:highlight w:val="none"/>
          <w:vertAlign w:val="subscript"/>
        </w:rPr>
        <w:t xml:space="preserve"> sd</w:t>
      </w:r>
      <w:r>
        <w:rPr>
          <w:rFonts w:hint="default" w:ascii="Times New Roman" w:hAnsi="Times New Roman" w:cs="Times New Roman"/>
          <w:snapToGrid w:val="0"/>
          <w:kern w:val="0"/>
          <w:sz w:val="24"/>
          <w:highlight w:val="none"/>
        </w:rPr>
        <w:t>——评价标准中pH值的下限值；</w:t>
      </w:r>
    </w:p>
    <w:p>
      <w:pPr>
        <w:keepNext w:val="0"/>
        <w:keepLines w:val="0"/>
        <w:pageBreakBefore w:val="0"/>
        <w:widowControl w:val="0"/>
        <w:kinsoku/>
        <w:wordWrap/>
        <w:overflowPunct/>
        <w:topLinePunct w:val="0"/>
        <w:autoSpaceDE/>
        <w:autoSpaceDN/>
        <w:bidi w:val="0"/>
        <w:adjustRightInd w:val="0"/>
        <w:snapToGrid w:val="0"/>
        <w:spacing w:line="360" w:lineRule="auto"/>
        <w:ind w:firstLine="1416" w:firstLineChars="59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pH</w:t>
      </w:r>
      <w:r>
        <w:rPr>
          <w:rFonts w:hint="default" w:ascii="Times New Roman" w:hAnsi="Times New Roman" w:cs="Times New Roman"/>
          <w:snapToGrid w:val="0"/>
          <w:kern w:val="0"/>
          <w:sz w:val="24"/>
          <w:highlight w:val="none"/>
          <w:vertAlign w:val="subscript"/>
        </w:rPr>
        <w:t xml:space="preserve"> su</w:t>
      </w:r>
      <w:r>
        <w:rPr>
          <w:rFonts w:hint="default" w:ascii="Times New Roman" w:hAnsi="Times New Roman" w:cs="Times New Roman"/>
          <w:snapToGrid w:val="0"/>
          <w:kern w:val="0"/>
          <w:sz w:val="24"/>
          <w:highlight w:val="none"/>
        </w:rPr>
        <w:t>——评价标准中pH值的上限值。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fldChar w:fldCharType="begin"/>
      </w:r>
      <w:r>
        <w:rPr>
          <w:rFonts w:hint="default" w:ascii="Times New Roman" w:hAnsi="Times New Roman" w:cs="Times New Roman"/>
          <w:snapToGrid w:val="0"/>
          <w:kern w:val="0"/>
          <w:sz w:val="24"/>
          <w:highlight w:val="none"/>
        </w:rPr>
        <w:instrText xml:space="preserve"> = 3 \* GB2 </w:instrText>
      </w:r>
      <w:r>
        <w:rPr>
          <w:rFonts w:hint="default" w:ascii="Times New Roman" w:hAnsi="Times New Roman" w:cs="Times New Roman"/>
          <w:snapToGrid w:val="0"/>
          <w:kern w:val="0"/>
          <w:sz w:val="24"/>
          <w:highlight w:val="none"/>
        </w:rPr>
        <w:fldChar w:fldCharType="separate"/>
      </w:r>
      <w:r>
        <w:rPr>
          <w:rFonts w:hint="default" w:ascii="Times New Roman" w:hAnsi="Times New Roman" w:cs="Times New Roman"/>
          <w:snapToGrid w:val="0"/>
          <w:kern w:val="0"/>
          <w:sz w:val="24"/>
          <w:highlight w:val="none"/>
        </w:rPr>
        <w:t>⑶</w:t>
      </w:r>
      <w:r>
        <w:rPr>
          <w:rFonts w:hint="default" w:ascii="Times New Roman" w:hAnsi="Times New Roman" w:cs="Times New Roman"/>
          <w:snapToGrid w:val="0"/>
          <w:kern w:val="0"/>
          <w:sz w:val="24"/>
          <w:highlight w:val="none"/>
        </w:rPr>
        <w:fldChar w:fldCharType="end"/>
      </w:r>
      <w:r>
        <w:rPr>
          <w:rFonts w:hint="default" w:ascii="Times New Roman" w:hAnsi="Times New Roman" w:cs="Times New Roman"/>
          <w:snapToGrid w:val="0"/>
          <w:kern w:val="0"/>
          <w:sz w:val="24"/>
          <w:highlight w:val="none"/>
        </w:rPr>
        <w:t>评价结果分析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fldChar w:fldCharType="begin"/>
      </w:r>
      <w:r>
        <w:rPr>
          <w:rFonts w:hint="default" w:ascii="Times New Roman" w:hAnsi="Times New Roman" w:cs="Times New Roman"/>
          <w:snapToGrid w:val="0"/>
          <w:kern w:val="0"/>
          <w:sz w:val="24"/>
          <w:highlight w:val="none"/>
        </w:rPr>
        <w:instrText xml:space="preserve"> = 1 \* GB3 </w:instrText>
      </w:r>
      <w:r>
        <w:rPr>
          <w:rFonts w:hint="default" w:ascii="Times New Roman" w:hAnsi="Times New Roman" w:cs="Times New Roman"/>
          <w:snapToGrid w:val="0"/>
          <w:kern w:val="0"/>
          <w:sz w:val="24"/>
          <w:highlight w:val="none"/>
        </w:rPr>
        <w:fldChar w:fldCharType="separate"/>
      </w:r>
      <w:r>
        <w:rPr>
          <w:rFonts w:hint="default" w:ascii="Times New Roman" w:hAnsi="Times New Roman" w:cs="Times New Roman"/>
          <w:snapToGrid w:val="0"/>
          <w:kern w:val="0"/>
          <w:sz w:val="24"/>
          <w:highlight w:val="none"/>
        </w:rPr>
        <w:t>①</w:t>
      </w:r>
      <w:r>
        <w:rPr>
          <w:rFonts w:hint="default" w:ascii="Times New Roman" w:hAnsi="Times New Roman" w:cs="Times New Roman"/>
          <w:snapToGrid w:val="0"/>
          <w:kern w:val="0"/>
          <w:sz w:val="24"/>
          <w:highlight w:val="none"/>
        </w:rPr>
        <w:fldChar w:fldCharType="end"/>
      </w:r>
      <w:r>
        <w:rPr>
          <w:rFonts w:hint="default" w:ascii="Times New Roman" w:hAnsi="Times New Roman" w:cs="Times New Roman"/>
          <w:snapToGrid w:val="0"/>
          <w:kern w:val="0"/>
          <w:sz w:val="24"/>
          <w:highlight w:val="none"/>
        </w:rPr>
        <w:t>地下水水质环境现状分析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地下水水质现状监测及评价结果见表3-7。</w:t>
      </w:r>
    </w:p>
    <w:p>
      <w:pPr>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br w:type="page"/>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表3-7 地下水环境质量现状监测及评价表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szCs w:val="21"/>
          <w:highlight w:val="none"/>
        </w:rPr>
      </w:pPr>
      <w:r>
        <w:rPr>
          <w:rFonts w:hint="default" w:ascii="Times New Roman" w:hAnsi="Times New Roman" w:eastAsia="黑体" w:cs="Times New Roman"/>
          <w:sz w:val="24"/>
          <w:highlight w:val="none"/>
        </w:rPr>
        <w:t>（</w:t>
      </w:r>
      <w:r>
        <w:rPr>
          <w:rFonts w:hint="default" w:ascii="Times New Roman" w:hAnsi="Times New Roman" w:eastAsia="黑体" w:cs="Times New Roman"/>
          <w:szCs w:val="21"/>
          <w:highlight w:val="none"/>
        </w:rPr>
        <w:t>单位：mg/L，pH无量纲，总大肠菌群：个/L</w:t>
      </w:r>
      <w:r>
        <w:rPr>
          <w:rFonts w:hint="default" w:ascii="Times New Roman" w:hAnsi="Times New Roman" w:eastAsia="黑体" w:cs="Times New Roman"/>
          <w:sz w:val="24"/>
          <w:highlight w:val="none"/>
        </w:rPr>
        <w:t>）</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90"/>
        <w:gridCol w:w="1391"/>
        <w:gridCol w:w="1395"/>
        <w:gridCol w:w="1395"/>
        <w:gridCol w:w="1395"/>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监测项目</w:t>
            </w:r>
          </w:p>
        </w:tc>
        <w:tc>
          <w:tcPr>
            <w:tcW w:w="831"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标准值</w:t>
            </w:r>
          </w:p>
        </w:tc>
        <w:tc>
          <w:tcPr>
            <w:tcW w:w="2502" w:type="pct"/>
            <w:gridSpan w:val="3"/>
            <w:tcBorders>
              <w:top w:val="single" w:color="auto" w:sz="4" w:space="0"/>
              <w:left w:val="single" w:color="auto" w:sz="4" w:space="0"/>
              <w:bottom w:val="single" w:color="auto" w:sz="4" w:space="0"/>
              <w:right w:val="single" w:color="auto" w:sz="4" w:space="0"/>
            </w:tcBorders>
            <w:vAlign w:val="center"/>
          </w:tcPr>
          <w:p>
            <w:pPr>
              <w:tabs>
                <w:tab w:val="left" w:pos="8280"/>
              </w:tabs>
              <w:autoSpaceDE w:val="0"/>
              <w:autoSpaceDN w:val="0"/>
              <w:adjustRightInd w:val="0"/>
              <w:snapToGrid w:val="0"/>
              <w:jc w:val="center"/>
              <w:rPr>
                <w:rFonts w:hint="default" w:ascii="Times New Roman" w:hAnsi="Times New Roman" w:eastAsia="宋体" w:cs="Times New Roman"/>
                <w:b/>
                <w:bCs/>
                <w:szCs w:val="21"/>
                <w:highlight w:val="none"/>
                <w:lang w:eastAsia="zh-CN"/>
              </w:rPr>
            </w:pPr>
            <w:r>
              <w:rPr>
                <w:rFonts w:hint="default" w:ascii="Times New Roman" w:hAnsi="Times New Roman" w:cs="Times New Roman"/>
                <w:b/>
                <w:bCs/>
                <w:szCs w:val="21"/>
                <w:highlight w:val="none"/>
                <w:lang w:eastAsia="zh-CN"/>
              </w:rPr>
              <w:t>监测结果</w:t>
            </w:r>
          </w:p>
        </w:tc>
        <w:tc>
          <w:tcPr>
            <w:tcW w:w="834" w:type="pct"/>
            <w:vMerge w:val="restart"/>
            <w:tcBorders>
              <w:top w:val="single" w:color="auto" w:sz="4" w:space="0"/>
              <w:left w:val="single" w:color="auto" w:sz="4" w:space="0"/>
              <w:bottom w:val="single" w:color="auto" w:sz="4" w:space="0"/>
              <w:right w:val="single" w:color="auto" w:sz="4" w:space="0"/>
            </w:tcBorders>
            <w:vAlign w:val="center"/>
          </w:tcPr>
          <w:p>
            <w:pPr>
              <w:tabs>
                <w:tab w:val="left" w:pos="8280"/>
              </w:tabs>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b/>
                <w:bCs/>
                <w:szCs w:val="21"/>
                <w:highlight w:val="none"/>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b/>
                <w:bCs/>
                <w:szCs w:val="21"/>
                <w:highlight w:val="none"/>
              </w:rPr>
            </w:pPr>
          </w:p>
        </w:tc>
        <w:tc>
          <w:tcPr>
            <w:tcW w:w="831"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b/>
                <w:bCs/>
                <w:szCs w:val="21"/>
                <w:highlight w:val="none"/>
              </w:rPr>
            </w:pPr>
          </w:p>
        </w:tc>
        <w:tc>
          <w:tcPr>
            <w:tcW w:w="834" w:type="pct"/>
            <w:tcBorders>
              <w:top w:val="single" w:color="auto" w:sz="4" w:space="0"/>
              <w:left w:val="single" w:color="auto" w:sz="4" w:space="0"/>
              <w:bottom w:val="single" w:color="auto" w:sz="4" w:space="0"/>
              <w:right w:val="single" w:color="auto" w:sz="4" w:space="0"/>
            </w:tcBorders>
            <w:vAlign w:val="center"/>
          </w:tcPr>
          <w:p>
            <w:pPr>
              <w:widowControl/>
              <w:tabs>
                <w:tab w:val="left" w:pos="8280"/>
              </w:tabs>
              <w:autoSpaceDE w:val="0"/>
              <w:autoSpaceDN w:val="0"/>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监测值范围</w:t>
            </w:r>
          </w:p>
        </w:tc>
        <w:tc>
          <w:tcPr>
            <w:tcW w:w="834" w:type="pct"/>
            <w:tcBorders>
              <w:top w:val="single" w:color="auto" w:sz="4" w:space="0"/>
              <w:left w:val="single" w:color="auto" w:sz="4" w:space="0"/>
              <w:bottom w:val="single" w:color="auto" w:sz="4" w:space="0"/>
              <w:right w:val="single" w:color="auto" w:sz="4" w:space="0"/>
            </w:tcBorders>
            <w:vAlign w:val="center"/>
          </w:tcPr>
          <w:p>
            <w:pPr>
              <w:widowControl/>
              <w:tabs>
                <w:tab w:val="left" w:pos="8280"/>
              </w:tabs>
              <w:autoSpaceDE w:val="0"/>
              <w:autoSpaceDN w:val="0"/>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监测值范围</w:t>
            </w:r>
          </w:p>
        </w:tc>
        <w:tc>
          <w:tcPr>
            <w:tcW w:w="834" w:type="pct"/>
            <w:tcBorders>
              <w:top w:val="single" w:color="auto" w:sz="4" w:space="0"/>
              <w:left w:val="single" w:color="auto" w:sz="4" w:space="0"/>
              <w:bottom w:val="single" w:color="auto" w:sz="4" w:space="0"/>
              <w:right w:val="single" w:color="auto" w:sz="4" w:space="0"/>
            </w:tcBorders>
            <w:vAlign w:val="center"/>
          </w:tcPr>
          <w:p>
            <w:pPr>
              <w:widowControl/>
              <w:tabs>
                <w:tab w:val="left" w:pos="8280"/>
              </w:tabs>
              <w:autoSpaceDE w:val="0"/>
              <w:autoSpaceDN w:val="0"/>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监测值范围</w:t>
            </w:r>
          </w:p>
        </w:tc>
        <w:tc>
          <w:tcPr>
            <w:tcW w:w="834"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pH</w:t>
            </w:r>
          </w:p>
        </w:tc>
        <w:tc>
          <w:tcPr>
            <w:tcW w:w="83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6.5~8.5</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6.9~7.0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7.0~7.3</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7.2~7.5</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六价铬（mg/L）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0.05</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0.030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0.018</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0.021</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耗氧量（mg/L）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1.64~1.76</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1.57~1.72</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0.94~1.50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0.31~0.59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溶解性总固体（mg/L）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350~372</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836~912</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423~499</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0.35~0.91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总硬度（mg/L）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450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436~444</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407~430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413~425</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0.90~0.99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氨氮(以N计)（mg/L）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0.50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0.243~0.270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0.224~0.285</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0.233~0.264</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0.45~0.57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硝酸盐(以N计)（mg/L）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1.1~1.2</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1.0~1.1</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0.05~0.06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挥发酚（mg/L）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0.002</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0.0006~0.0008</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0.0003~0.0006</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0.0003~0.0007</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0.15~0.35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氯化物（mg/L）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250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33.2</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34.6~35.8</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36~38.5</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0.13~0.15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硫酸盐（mg/L）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250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7~9</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0.03~0.04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砷（ug/L）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0.01</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ND</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ND</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ND</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汞（ug/L）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0.001</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ND</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ND</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ND</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铁（mg/L）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0.3</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ND</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ND</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ND</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pacing w:val="6"/>
                <w:szCs w:val="21"/>
                <w:highlight w:val="none"/>
              </w:rPr>
              <w:t>铅（ug/L）</w:t>
            </w:r>
          </w:p>
        </w:tc>
        <w:tc>
          <w:tcPr>
            <w:tcW w:w="831" w:type="pct"/>
            <w:tcBorders>
              <w:top w:val="single" w:color="auto" w:sz="4" w:space="0"/>
              <w:left w:val="single" w:color="auto" w:sz="4" w:space="0"/>
              <w:bottom w:val="single" w:color="auto" w:sz="4" w:space="0"/>
              <w:right w:val="single" w:color="auto" w:sz="4" w:space="0"/>
            </w:tcBorders>
            <w:vAlign w:val="center"/>
          </w:tcPr>
          <w:p>
            <w:pPr>
              <w:tabs>
                <w:tab w:val="left" w:pos="8280"/>
              </w:tabs>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10</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3.5~4.1</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5.7~6.2</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5.3~7.4</w:t>
            </w:r>
          </w:p>
        </w:tc>
        <w:tc>
          <w:tcPr>
            <w:tcW w:w="83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0.35~0.74</w:t>
            </w: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由上表可知，评价区各监测因子符合《地下水质量标准》（GBT14848-2017）中III类标准要求。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fldChar w:fldCharType="begin"/>
      </w:r>
      <w:r>
        <w:rPr>
          <w:rFonts w:hint="default" w:ascii="Times New Roman" w:hAnsi="Times New Roman" w:cs="Times New Roman"/>
          <w:sz w:val="24"/>
          <w:highlight w:val="none"/>
        </w:rPr>
        <w:instrText xml:space="preserve"> = 2 \* GB3 </w:instrText>
      </w:r>
      <w:r>
        <w:rPr>
          <w:rFonts w:hint="default" w:ascii="Times New Roman" w:hAnsi="Times New Roman" w:cs="Times New Roman"/>
          <w:sz w:val="24"/>
          <w:highlight w:val="none"/>
        </w:rPr>
        <w:fldChar w:fldCharType="separate"/>
      </w:r>
      <w:r>
        <w:rPr>
          <w:rFonts w:hint="default" w:ascii="Times New Roman" w:hAnsi="Times New Roman" w:cs="Times New Roman"/>
          <w:sz w:val="24"/>
          <w:highlight w:val="none"/>
        </w:rPr>
        <w:t>②</w:t>
      </w:r>
      <w:r>
        <w:rPr>
          <w:rFonts w:hint="default" w:ascii="Times New Roman" w:hAnsi="Times New Roman" w:cs="Times New Roman"/>
          <w:sz w:val="24"/>
          <w:highlight w:val="none"/>
        </w:rPr>
        <w:fldChar w:fldCharType="end"/>
      </w:r>
      <w:r>
        <w:rPr>
          <w:rFonts w:hint="default" w:ascii="Times New Roman" w:hAnsi="Times New Roman" w:cs="Times New Roman"/>
          <w:sz w:val="24"/>
          <w:highlight w:val="none"/>
        </w:rPr>
        <w:t>地下水化学分析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地下水中的化学成分主要是以离子状态存在的，本次评价选用离子当量表示地下水各种离子间的数量关系和化学特征。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离子的当量=离子量（原子量）/离子价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1升水中某种离子的毫克当量数=该离子的毫克数/该离子的当量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采用上述公式进行计算，得到地下水化学成分分析见表3-8。</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 xml:space="preserve">表3-8 地下水化学成分分析表 </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094"/>
        <w:gridCol w:w="791"/>
        <w:gridCol w:w="791"/>
        <w:gridCol w:w="791"/>
        <w:gridCol w:w="793"/>
        <w:gridCol w:w="935"/>
        <w:gridCol w:w="831"/>
        <w:gridCol w:w="849"/>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2"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离子</w:t>
            </w:r>
          </w:p>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样品编号</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K</w:t>
            </w:r>
            <w:r>
              <w:rPr>
                <w:rFonts w:hint="default" w:ascii="Times New Roman" w:hAnsi="Times New Roman" w:cs="Times New Roman"/>
                <w:szCs w:val="21"/>
                <w:highlight w:val="none"/>
                <w:vertAlign w:val="superscript"/>
              </w:rPr>
              <w:t>+</w:t>
            </w:r>
          </w:p>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（39）</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Na</w:t>
            </w:r>
            <w:r>
              <w:rPr>
                <w:rFonts w:hint="default" w:ascii="Times New Roman" w:hAnsi="Times New Roman" w:cs="Times New Roman"/>
                <w:szCs w:val="21"/>
                <w:highlight w:val="none"/>
                <w:vertAlign w:val="superscript"/>
              </w:rPr>
              <w:t>+</w:t>
            </w:r>
          </w:p>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（24）</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Ca</w:t>
            </w:r>
            <w:r>
              <w:rPr>
                <w:rFonts w:hint="default" w:ascii="Times New Roman" w:hAnsi="Times New Roman" w:cs="Times New Roman"/>
                <w:szCs w:val="21"/>
                <w:highlight w:val="none"/>
                <w:vertAlign w:val="superscript"/>
              </w:rPr>
              <w:t>2+</w:t>
            </w:r>
          </w:p>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（40）</w:t>
            </w:r>
          </w:p>
        </w:tc>
        <w:tc>
          <w:tcPr>
            <w:tcW w:w="79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Mg</w:t>
            </w:r>
            <w:r>
              <w:rPr>
                <w:rFonts w:hint="default" w:ascii="Times New Roman" w:hAnsi="Times New Roman" w:cs="Times New Roman"/>
                <w:szCs w:val="21"/>
                <w:highlight w:val="none"/>
                <w:vertAlign w:val="superscript"/>
              </w:rPr>
              <w:t>2+</w:t>
            </w:r>
          </w:p>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（24）</w:t>
            </w:r>
          </w:p>
        </w:tc>
        <w:tc>
          <w:tcPr>
            <w:tcW w:w="93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CO</w:t>
            </w:r>
            <w:r>
              <w:rPr>
                <w:rFonts w:hint="default" w:ascii="Times New Roman" w:hAnsi="Times New Roman" w:cs="Times New Roman"/>
                <w:szCs w:val="21"/>
                <w:highlight w:val="none"/>
                <w:vertAlign w:val="subscript"/>
              </w:rPr>
              <w:t>3</w:t>
            </w:r>
            <w:r>
              <w:rPr>
                <w:rFonts w:hint="default" w:ascii="Times New Roman" w:hAnsi="Times New Roman" w:cs="Times New Roman"/>
                <w:szCs w:val="21"/>
                <w:highlight w:val="none"/>
                <w:vertAlign w:val="superscript"/>
              </w:rPr>
              <w:t>2-</w:t>
            </w:r>
          </w:p>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（60）</w:t>
            </w:r>
          </w:p>
        </w:tc>
        <w:tc>
          <w:tcPr>
            <w:tcW w:w="8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HCO</w:t>
            </w:r>
            <w:r>
              <w:rPr>
                <w:rFonts w:hint="default" w:ascii="Times New Roman" w:hAnsi="Times New Roman" w:cs="Times New Roman"/>
                <w:szCs w:val="21"/>
                <w:highlight w:val="none"/>
                <w:vertAlign w:val="subscript"/>
              </w:rPr>
              <w:t>3</w:t>
            </w:r>
            <w:r>
              <w:rPr>
                <w:rFonts w:hint="default" w:ascii="Times New Roman" w:hAnsi="Times New Roman" w:cs="Times New Roman"/>
                <w:szCs w:val="21"/>
                <w:highlight w:val="none"/>
                <w:vertAlign w:val="superscript"/>
              </w:rPr>
              <w:t>-</w:t>
            </w:r>
          </w:p>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（61）</w:t>
            </w: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Cl</w:t>
            </w:r>
            <w:r>
              <w:rPr>
                <w:rFonts w:hint="default" w:ascii="Times New Roman" w:hAnsi="Times New Roman" w:cs="Times New Roman"/>
                <w:szCs w:val="21"/>
                <w:highlight w:val="none"/>
                <w:vertAlign w:val="superscript"/>
              </w:rPr>
              <w:t>-</w:t>
            </w:r>
          </w:p>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（35.5）</w:t>
            </w:r>
          </w:p>
        </w:tc>
        <w:tc>
          <w:tcPr>
            <w:tcW w:w="78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SO</w:t>
            </w:r>
            <w:r>
              <w:rPr>
                <w:rFonts w:hint="default" w:ascii="Times New Roman" w:hAnsi="Times New Roman" w:cs="Times New Roman"/>
                <w:szCs w:val="21"/>
                <w:highlight w:val="none"/>
                <w:vertAlign w:val="subscript"/>
              </w:rPr>
              <w:t>4</w:t>
            </w:r>
            <w:r>
              <w:rPr>
                <w:rFonts w:hint="default" w:ascii="Times New Roman" w:hAnsi="Times New Roman" w:cs="Times New Roman"/>
                <w:szCs w:val="21"/>
                <w:highlight w:val="none"/>
                <w:vertAlign w:val="superscript"/>
              </w:rPr>
              <w:t>2-</w:t>
            </w:r>
          </w:p>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朱庄村水井</w:t>
            </w:r>
          </w:p>
        </w:tc>
        <w:tc>
          <w:tcPr>
            <w:tcW w:w="10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毫克浓度（</w:t>
            </w:r>
            <w:r>
              <w:rPr>
                <w:rFonts w:hint="default" w:ascii="Times New Roman" w:hAnsi="Times New Roman" w:cs="Times New Roman"/>
                <w:b/>
                <w:bCs/>
                <w:kern w:val="0"/>
                <w:szCs w:val="21"/>
                <w:highlight w:val="none"/>
              </w:rPr>
              <w:t>mg/L</w:t>
            </w:r>
            <w:r>
              <w:rPr>
                <w:rFonts w:hint="default" w:ascii="Times New Roman" w:hAnsi="Times New Roman" w:cs="Times New Roman"/>
                <w:b/>
                <w:bCs/>
                <w:szCs w:val="21"/>
                <w:highlight w:val="none"/>
              </w:rPr>
              <w:t>）</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3.53</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148.85</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225.6</w:t>
            </w:r>
          </w:p>
        </w:tc>
        <w:tc>
          <w:tcPr>
            <w:tcW w:w="79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41.5</w:t>
            </w:r>
          </w:p>
        </w:tc>
        <w:tc>
          <w:tcPr>
            <w:tcW w:w="93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未检出</w:t>
            </w:r>
          </w:p>
        </w:tc>
        <w:tc>
          <w:tcPr>
            <w:tcW w:w="8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312.5</w:t>
            </w: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32.7</w:t>
            </w:r>
          </w:p>
        </w:tc>
        <w:tc>
          <w:tcPr>
            <w:tcW w:w="78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cs="Times New Roman"/>
                <w:b/>
                <w:bCs/>
                <w:szCs w:val="21"/>
                <w:highlight w:val="none"/>
              </w:rPr>
            </w:pPr>
          </w:p>
        </w:tc>
        <w:tc>
          <w:tcPr>
            <w:tcW w:w="10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毫克当量</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0.09</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6.20</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11.28</w:t>
            </w:r>
          </w:p>
        </w:tc>
        <w:tc>
          <w:tcPr>
            <w:tcW w:w="79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3.46</w:t>
            </w:r>
          </w:p>
        </w:tc>
        <w:tc>
          <w:tcPr>
            <w:tcW w:w="93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8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5.12</w:t>
            </w: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0.92</w:t>
            </w:r>
          </w:p>
        </w:tc>
        <w:tc>
          <w:tcPr>
            <w:tcW w:w="78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cs="Times New Roman"/>
                <w:b/>
                <w:bCs/>
                <w:szCs w:val="21"/>
                <w:highlight w:val="none"/>
              </w:rPr>
            </w:pPr>
          </w:p>
        </w:tc>
        <w:tc>
          <w:tcPr>
            <w:tcW w:w="10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化学类型</w:t>
            </w:r>
          </w:p>
        </w:tc>
        <w:tc>
          <w:tcPr>
            <w:tcW w:w="6570" w:type="dxa"/>
            <w:gridSpan w:val="8"/>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莫黑石村水井</w:t>
            </w:r>
          </w:p>
        </w:tc>
        <w:tc>
          <w:tcPr>
            <w:tcW w:w="10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毫克浓度（mg/L）</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4.32</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154.65</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527.7</w:t>
            </w:r>
          </w:p>
        </w:tc>
        <w:tc>
          <w:tcPr>
            <w:tcW w:w="79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47.05</w:t>
            </w:r>
          </w:p>
        </w:tc>
        <w:tc>
          <w:tcPr>
            <w:tcW w:w="93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未检出</w:t>
            </w:r>
          </w:p>
        </w:tc>
        <w:tc>
          <w:tcPr>
            <w:tcW w:w="8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312</w:t>
            </w: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35.2</w:t>
            </w:r>
          </w:p>
        </w:tc>
        <w:tc>
          <w:tcPr>
            <w:tcW w:w="78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cs="Times New Roman"/>
                <w:b/>
                <w:bCs/>
                <w:szCs w:val="21"/>
                <w:highlight w:val="none"/>
              </w:rPr>
            </w:pPr>
          </w:p>
        </w:tc>
        <w:tc>
          <w:tcPr>
            <w:tcW w:w="10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毫克当量</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0.11</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6.44</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26.39</w:t>
            </w:r>
          </w:p>
        </w:tc>
        <w:tc>
          <w:tcPr>
            <w:tcW w:w="79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3.92</w:t>
            </w:r>
          </w:p>
        </w:tc>
        <w:tc>
          <w:tcPr>
            <w:tcW w:w="93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w:t>
            </w:r>
          </w:p>
        </w:tc>
        <w:tc>
          <w:tcPr>
            <w:tcW w:w="8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5.11</w:t>
            </w: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0.99</w:t>
            </w:r>
          </w:p>
        </w:tc>
        <w:tc>
          <w:tcPr>
            <w:tcW w:w="78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cs="Times New Roman"/>
                <w:b/>
                <w:bCs/>
                <w:szCs w:val="21"/>
                <w:highlight w:val="none"/>
              </w:rPr>
            </w:pPr>
          </w:p>
        </w:tc>
        <w:tc>
          <w:tcPr>
            <w:tcW w:w="10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化学类型</w:t>
            </w:r>
          </w:p>
        </w:tc>
        <w:tc>
          <w:tcPr>
            <w:tcW w:w="6570" w:type="dxa"/>
            <w:gridSpan w:val="8"/>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肖家沟村水井</w:t>
            </w:r>
          </w:p>
        </w:tc>
        <w:tc>
          <w:tcPr>
            <w:tcW w:w="10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毫克浓度（mg/L）</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1.92</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146.85</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613.65</w:t>
            </w:r>
          </w:p>
        </w:tc>
        <w:tc>
          <w:tcPr>
            <w:tcW w:w="79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50.35</w:t>
            </w:r>
          </w:p>
        </w:tc>
        <w:tc>
          <w:tcPr>
            <w:tcW w:w="93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未检出</w:t>
            </w:r>
          </w:p>
        </w:tc>
        <w:tc>
          <w:tcPr>
            <w:tcW w:w="8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312</w:t>
            </w: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37.25</w:t>
            </w:r>
          </w:p>
        </w:tc>
        <w:tc>
          <w:tcPr>
            <w:tcW w:w="78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cs="Times New Roman"/>
                <w:b/>
                <w:bCs/>
                <w:szCs w:val="21"/>
                <w:highlight w:val="none"/>
              </w:rPr>
            </w:pPr>
          </w:p>
        </w:tc>
        <w:tc>
          <w:tcPr>
            <w:tcW w:w="10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毫克当量</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0.05</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6.12</w:t>
            </w:r>
          </w:p>
        </w:tc>
        <w:tc>
          <w:tcPr>
            <w:tcW w:w="7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30.68</w:t>
            </w:r>
          </w:p>
        </w:tc>
        <w:tc>
          <w:tcPr>
            <w:tcW w:w="79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4.20</w:t>
            </w:r>
          </w:p>
        </w:tc>
        <w:tc>
          <w:tcPr>
            <w:tcW w:w="93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0.00</w:t>
            </w:r>
          </w:p>
        </w:tc>
        <w:tc>
          <w:tcPr>
            <w:tcW w:w="83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5.11</w:t>
            </w: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1.05</w:t>
            </w:r>
          </w:p>
        </w:tc>
        <w:tc>
          <w:tcPr>
            <w:tcW w:w="78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cs="Times New Roman"/>
                <w:b/>
                <w:bCs/>
                <w:szCs w:val="21"/>
                <w:highlight w:val="none"/>
              </w:rPr>
            </w:pPr>
          </w:p>
        </w:tc>
        <w:tc>
          <w:tcPr>
            <w:tcW w:w="10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化学类型</w:t>
            </w:r>
          </w:p>
        </w:tc>
        <w:tc>
          <w:tcPr>
            <w:tcW w:w="6570" w:type="dxa"/>
            <w:gridSpan w:val="8"/>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由上表可以看出，区内地下水中各离子含量均＜25%，没有明显的化学类型。</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3.4.4土壤环境质量现状监测与评价</w:t>
      </w:r>
    </w:p>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3.4.4.1现状监测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（1）监测布点：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表层采样点布设：项目厂址内项设3个。</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（2）监测项目：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厂区内监测项目：砷、镉、铬（六价）、铜、铅、汞、镍、四氯化碳、氯仿、氯甲烷、1,1-二氯乙烷、1,2-二氯乙烷、1,1-二氯乙烯、顺-1,2-二氯乙烯、反-1,2-二氯乙烯、二氯甲烷、1,2-二氯丙烷、1,1,1,2-四氯乙烷、1,1,2,2-四氯乙烷、四氯乙烯、1,1,1-三氯乙烷、1,1,2-三氯乙烷、三氯乙烯、1,2,3-三氯丙烷、氯乙烯、笨、氯苯、1,2-二氯苯、1,4-二氯苯、乙苯、苯乙烯、甲苯、间二甲苯+对二甲苯、邻二甲苯、硝基苯、苯胺、2-氯酚、苯并[a]蒽、苯并[a]芘、苯并[b]荧蒽、苯并[k]荧蒽、䓛、二苯并[a, h]蒽、茚并[1,2,3-cd]芘、萘；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z w:val="24"/>
          <w:highlight w:val="none"/>
        </w:rPr>
        <w:t>厂区外敏感目标监测项目：砷、镉、铬（六价）、铜、铅、汞、镍。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（3）监测时间与频率：2019年5月21日~22日。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sz w:val="24"/>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sz w:val="24"/>
          <w:highlight w:val="none"/>
        </w:rPr>
        <w:t>（4）监测分析方法：土壤环境质量检测项目分析方法及分析仪器见下表。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表3-9   土壤环境质量检测项目分析方法及分析仪器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6357"/>
        <w:gridCol w:w="3294"/>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13" w:type="pct"/>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spacing w:val="-6"/>
                <w:szCs w:val="21"/>
                <w:highlight w:val="none"/>
              </w:rPr>
            </w:pPr>
            <w:r>
              <w:rPr>
                <w:rFonts w:hint="default" w:ascii="Times New Roman" w:hAnsi="Times New Roman" w:cs="Times New Roman"/>
                <w:b/>
                <w:spacing w:val="-6"/>
                <w:szCs w:val="21"/>
                <w:highlight w:val="none"/>
              </w:rPr>
              <w:t>检测项目</w:t>
            </w:r>
          </w:p>
        </w:tc>
        <w:tc>
          <w:tcPr>
            <w:tcW w:w="2362" w:type="pct"/>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spacing w:val="-6"/>
                <w:szCs w:val="21"/>
                <w:highlight w:val="none"/>
              </w:rPr>
            </w:pPr>
            <w:r>
              <w:rPr>
                <w:rFonts w:hint="default" w:ascii="Times New Roman" w:hAnsi="Times New Roman" w:cs="Times New Roman"/>
                <w:b/>
                <w:spacing w:val="-6"/>
                <w:szCs w:val="21"/>
                <w:highlight w:val="none"/>
              </w:rPr>
              <w:t>分析方法及标准代号</w:t>
            </w:r>
          </w:p>
        </w:tc>
        <w:tc>
          <w:tcPr>
            <w:tcW w:w="1224" w:type="pct"/>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spacing w:val="-6"/>
                <w:szCs w:val="21"/>
                <w:highlight w:val="none"/>
              </w:rPr>
            </w:pPr>
            <w:r>
              <w:rPr>
                <w:rFonts w:hint="default" w:ascii="Times New Roman" w:hAnsi="Times New Roman" w:cs="Times New Roman"/>
                <w:b/>
                <w:spacing w:val="-6"/>
                <w:szCs w:val="21"/>
                <w:highlight w:val="none"/>
              </w:rPr>
              <w:t>仪器名称、编号</w:t>
            </w:r>
          </w:p>
        </w:tc>
        <w:tc>
          <w:tcPr>
            <w:tcW w:w="700" w:type="pct"/>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spacing w:val="-6"/>
                <w:szCs w:val="21"/>
                <w:highlight w:val="none"/>
              </w:rPr>
            </w:pPr>
            <w:r>
              <w:rPr>
                <w:rFonts w:hint="default" w:ascii="Times New Roman" w:hAnsi="Times New Roman" w:cs="Times New Roman"/>
                <w:b/>
                <w:spacing w:val="-6"/>
                <w:szCs w:val="21"/>
                <w:highlight w:val="none"/>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六价铬</w:t>
            </w:r>
          </w:p>
        </w:tc>
        <w:tc>
          <w:tcPr>
            <w:tcW w:w="2362"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EPA 7196A：1992，EPA 3060A：1996六价铬分光光度法，六价铬碱性萃取法</w:t>
            </w:r>
          </w:p>
        </w:tc>
        <w:tc>
          <w:tcPr>
            <w:tcW w:w="1224"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可见分光光度计</w:t>
            </w:r>
          </w:p>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G-005</w:t>
            </w:r>
          </w:p>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电子天平T-001</w:t>
            </w: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0.50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苯胺</w:t>
            </w:r>
          </w:p>
        </w:tc>
        <w:tc>
          <w:tcPr>
            <w:tcW w:w="2362"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气相色谱法/质谱分析法（气质联用仪）测试半挥发性有机化合物，加压流体萃取法 EPA 8270E-2018＆EPA 3545A-2007</w:t>
            </w:r>
          </w:p>
        </w:tc>
        <w:tc>
          <w:tcPr>
            <w:tcW w:w="1224"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气相色谱-质谱联用仪</w:t>
            </w:r>
          </w:p>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S-023</w:t>
            </w: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2-氯酚</w:t>
            </w:r>
          </w:p>
        </w:tc>
        <w:tc>
          <w:tcPr>
            <w:tcW w:w="2362" w:type="pct"/>
            <w:vMerge w:val="restar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r>
              <w:rPr>
                <w:rFonts w:hint="default" w:ascii="Times New Roman" w:hAnsi="Times New Roman" w:cs="Times New Roman"/>
                <w:szCs w:val="21"/>
                <w:highlight w:val="none"/>
              </w:rPr>
              <w:t>《土壤和沉积物 半挥发性有机化合物的测定 气相色谱-质谱法》 HJ 834-2017</w:t>
            </w:r>
          </w:p>
        </w:tc>
        <w:tc>
          <w:tcPr>
            <w:tcW w:w="1224" w:type="pct"/>
            <w:vMerge w:val="restar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气相色谱-质谱联用仪S-007</w:t>
            </w: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0.06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硝基苯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0.09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萘</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0.09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苯并[a]蒽</w:t>
            </w:r>
          </w:p>
        </w:tc>
        <w:tc>
          <w:tcPr>
            <w:tcW w:w="2362" w:type="pct"/>
            <w:vMerge w:val="restar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《土壤和沉积物 半挥发性有机化合物的测定 气相色谱-质谱法》 HJ 834-2017</w:t>
            </w:r>
          </w:p>
        </w:tc>
        <w:tc>
          <w:tcPr>
            <w:tcW w:w="1224" w:type="pct"/>
            <w:vMerge w:val="restar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气相色谱-质谱联用仪S-007</w:t>
            </w: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䓛</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苯并[b]荧蒽</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苯并[k]荧蒽</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苯并[a]芘</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茚并[1,2,3-cd]芘</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二苯并[a,h]蒽</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1,1-二氯乙烯</w:t>
            </w:r>
          </w:p>
        </w:tc>
        <w:tc>
          <w:tcPr>
            <w:tcW w:w="2362" w:type="pct"/>
            <w:vMerge w:val="restar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《土壤和沉积物 挥发性有机物的测定 吹扫捕集/气相色谱-质谱法》HJ 605-2011</w:t>
            </w:r>
          </w:p>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restar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气相色谱质谱仪</w:t>
            </w:r>
          </w:p>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S-007</w:t>
            </w: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二氯甲烷</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仿宋" w:cs="Times New Roman"/>
                <w:sz w:val="24"/>
                <w:highlight w:val="none"/>
              </w:rPr>
            </w:pPr>
            <w:r>
              <w:rPr>
                <w:rFonts w:hint="default" w:ascii="Times New Roman" w:hAnsi="Times New Roman" w:cs="Times New Roman"/>
                <w:szCs w:val="21"/>
                <w:highlight w:val="none"/>
              </w:rPr>
              <w:t>反式-1,2-二氯乙烯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1,1-二氯乙烷</w:t>
            </w:r>
          </w:p>
        </w:tc>
        <w:tc>
          <w:tcPr>
            <w:tcW w:w="2362" w:type="pct"/>
            <w:vMerge w:val="restar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《土壤和沉积物 挥发性有机物的测定 吹扫捕集/气相色谱-质谱法》HJ 605-2011</w:t>
            </w:r>
          </w:p>
        </w:tc>
        <w:tc>
          <w:tcPr>
            <w:tcW w:w="1224" w:type="pct"/>
            <w:vMerge w:val="restar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气相色谱质谱仪</w:t>
            </w:r>
          </w:p>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r>
              <w:rPr>
                <w:rFonts w:hint="default" w:ascii="Times New Roman" w:hAnsi="Times New Roman" w:cs="Times New Roman"/>
                <w:szCs w:val="21"/>
                <w:highlight w:val="none"/>
              </w:rPr>
              <w:t>S-007</w:t>
            </w: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顺式-1,2-二氯乙烯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氯仿</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1,1,1-三氯乙烷</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四氯化碳</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1.9μg/kg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1,2-二氯乙烷</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三氯乙烯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1,2-二氯丙烷</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甲苯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1,1,2-三氯乙烷</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四氯乙烯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pacing w:val="-6"/>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1.4μg/kg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氯苯</w:t>
            </w:r>
          </w:p>
        </w:tc>
        <w:tc>
          <w:tcPr>
            <w:tcW w:w="2362"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《土壤和沉积物 挥发性有机物的测定 吹扫捕集/气相色谱-质谱法》HJ 605-2011</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p>
        </w:tc>
        <w:tc>
          <w:tcPr>
            <w:tcW w:w="1224"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气相色谱质谱仪</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S-007</w:t>
            </w: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1,1,1,2-四氯乙烷</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乙苯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间,对-二甲苯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邻-二甲苯</w:t>
            </w:r>
          </w:p>
        </w:tc>
        <w:tc>
          <w:tcPr>
            <w:tcW w:w="2362"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《土壤和沉积物 挥发性有机物的测定 吹扫捕集/气相色谱-质谱法》HJ 605-2011</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p>
        </w:tc>
        <w:tc>
          <w:tcPr>
            <w:tcW w:w="1224"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气相色谱质谱仪</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S-007</w:t>
            </w: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苯乙烯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1,1,2,2-四氯乙烷</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1,2,3-三氯丙烷</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1,4-二氯苯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1.5μg/kg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1,2-二氯苯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1.5μg/kg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氯甲烷</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氯乙烯</w:t>
            </w:r>
          </w:p>
        </w:tc>
        <w:tc>
          <w:tcPr>
            <w:tcW w:w="2362"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1224"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砷</w:t>
            </w:r>
          </w:p>
        </w:tc>
        <w:tc>
          <w:tcPr>
            <w:tcW w:w="2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《土壤质量 总汞、总砷、总铅的测定 原子荧光法 第2部分：土壤中总砷的测定》（GB/T22105.2-2008）</w:t>
            </w:r>
          </w:p>
        </w:tc>
        <w:tc>
          <w:tcPr>
            <w:tcW w:w="1224"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双道氢化物-原子荧光光度计AF-7500B/F-012</w:t>
            </w: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汞</w:t>
            </w:r>
          </w:p>
        </w:tc>
        <w:tc>
          <w:tcPr>
            <w:tcW w:w="2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《土壤质量 总汞、总砷、总铅的测定 原子荧光法 第2部分：土壤中总砷的测定》（GB/T22105.2-2008）</w:t>
            </w:r>
          </w:p>
        </w:tc>
        <w:tc>
          <w:tcPr>
            <w:tcW w:w="1224"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双道氢化物-原子荧光光度计AF-7500B/F-012</w:t>
            </w: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0.002mg/kg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镉</w:t>
            </w:r>
          </w:p>
        </w:tc>
        <w:tc>
          <w:tcPr>
            <w:tcW w:w="2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《土壤质量 铅、镉的测定 石墨炉原子吸收分光光度法》（GB/T17141-1997）</w:t>
            </w:r>
          </w:p>
        </w:tc>
        <w:tc>
          <w:tcPr>
            <w:tcW w:w="1224"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原子吸收分光光度计AA-7003/F-011-01</w:t>
            </w: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铜</w:t>
            </w:r>
          </w:p>
        </w:tc>
        <w:tc>
          <w:tcPr>
            <w:tcW w:w="2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《土壤质量 铜、锌的测定 火焰原子吸收分光光度法》（GB/T17138-1997）</w:t>
            </w:r>
          </w:p>
        </w:tc>
        <w:tc>
          <w:tcPr>
            <w:tcW w:w="1224"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原子吸收分光光度计AA-7003/F-011-01</w:t>
            </w: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铅</w:t>
            </w:r>
          </w:p>
        </w:tc>
        <w:tc>
          <w:tcPr>
            <w:tcW w:w="2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《土壤质量 铅、镉的测定 石墨炉原子吸收分光光度法》（GB/T17141-1997）</w:t>
            </w:r>
          </w:p>
        </w:tc>
        <w:tc>
          <w:tcPr>
            <w:tcW w:w="1224"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原子吸收分光光度计AA-7003/F-011-01</w:t>
            </w: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3" w:type="pct"/>
            <w:vAlign w:val="center"/>
          </w:tcPr>
          <w:p>
            <w:pPr>
              <w:keepNext w:val="0"/>
              <w:keepLines w:val="0"/>
              <w:pageBreakBefore w:val="0"/>
              <w:tabs>
                <w:tab w:val="left" w:pos="860"/>
              </w:tabs>
              <w:kinsoku/>
              <w:wordWrap/>
              <w:overflowPunct/>
              <w:topLinePunct w:val="0"/>
              <w:autoSpaceDE/>
              <w:autoSpaceDN/>
              <w:bidi w:val="0"/>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镍</w:t>
            </w:r>
          </w:p>
        </w:tc>
        <w:tc>
          <w:tcPr>
            <w:tcW w:w="2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《土壤质量 镍的测定　火焰原子吸收分光光度法》（GB/T17139-1997）</w:t>
            </w:r>
          </w:p>
        </w:tc>
        <w:tc>
          <w:tcPr>
            <w:tcW w:w="1224"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原子吸收分光光度计AA-7003/F-011-01</w:t>
            </w:r>
          </w:p>
        </w:tc>
        <w:tc>
          <w:tcPr>
            <w:tcW w:w="700"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Cs w:val="21"/>
                <w:highlight w:val="none"/>
              </w:rPr>
            </w:pPr>
            <w:r>
              <w:rPr>
                <w:rFonts w:hint="default" w:ascii="Times New Roman" w:hAnsi="Times New Roman" w:cs="Times New Roman"/>
                <w:szCs w:val="21"/>
                <w:highlight w:val="none"/>
              </w:rPr>
              <w:t>5mg/kg</w:t>
            </w:r>
          </w:p>
        </w:tc>
      </w:tr>
    </w:tbl>
    <w:p>
      <w:pPr>
        <w:adjustRightInd w:val="0"/>
        <w:snapToGrid w:val="0"/>
        <w:spacing w:before="120" w:beforeLines="50" w:after="120" w:afterLines="50"/>
        <w:jc w:val="both"/>
        <w:rPr>
          <w:rFonts w:hint="default" w:ascii="Times New Roman" w:hAnsi="Times New Roman" w:eastAsia="黑体" w:cs="Times New Roman"/>
          <w:sz w:val="24"/>
          <w:highlight w:val="none"/>
        </w:rPr>
      </w:pPr>
    </w:p>
    <w:p>
      <w:pPr>
        <w:adjustRightInd w:val="0"/>
        <w:snapToGrid w:val="0"/>
        <w:spacing w:before="120" w:beforeLines="50" w:after="120" w:afterLines="50"/>
        <w:jc w:val="center"/>
        <w:rPr>
          <w:rFonts w:hint="default" w:ascii="Times New Roman" w:hAnsi="Times New Roman" w:eastAsia="黑体" w:cs="Times New Roman"/>
          <w:sz w:val="24"/>
          <w:highlight w:val="none"/>
        </w:rPr>
      </w:pPr>
    </w:p>
    <w:p>
      <w:pPr>
        <w:spacing w:before="120" w:beforeLines="50" w:after="120" w:afterLines="50"/>
        <w:jc w:val="left"/>
        <w:outlineLvl w:val="3"/>
        <w:rPr>
          <w:rFonts w:hint="default" w:ascii="Times New Roman" w:hAnsi="Times New Roman" w:eastAsia="黑体" w:cs="Times New Roman"/>
          <w:bCs/>
          <w:sz w:val="28"/>
          <w:szCs w:val="28"/>
          <w:highlight w:val="none"/>
        </w:rPr>
        <w:sectPr>
          <w:pgSz w:w="16838" w:h="11906" w:orient="landscape"/>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p>
    <w:p>
      <w:pPr>
        <w:spacing w:before="120" w:beforeLines="50" w:after="120" w:afterLines="50"/>
        <w:jc w:val="left"/>
        <w:outlineLvl w:val="3"/>
        <w:rPr>
          <w:rFonts w:hint="default" w:ascii="Times New Roman" w:hAnsi="Times New Roman" w:cs="Times New Roman"/>
          <w:sz w:val="24"/>
          <w:szCs w:val="24"/>
          <w:highlight w:val="none"/>
        </w:rPr>
      </w:pPr>
      <w:r>
        <w:rPr>
          <w:rFonts w:hint="default" w:ascii="Times New Roman" w:hAnsi="Times New Roman" w:eastAsia="黑体" w:cs="Times New Roman"/>
          <w:bCs/>
          <w:sz w:val="28"/>
          <w:szCs w:val="28"/>
          <w:highlight w:val="none"/>
        </w:rPr>
        <w:t>3.</w:t>
      </w:r>
      <w:r>
        <w:rPr>
          <w:rFonts w:hint="eastAsia" w:ascii="Times New Roman" w:hAnsi="Times New Roman" w:eastAsia="黑体" w:cs="Times New Roman"/>
          <w:bCs/>
          <w:sz w:val="28"/>
          <w:szCs w:val="28"/>
          <w:highlight w:val="none"/>
          <w:lang w:val="en-US" w:eastAsia="zh-CN"/>
        </w:rPr>
        <w:t>4</w:t>
      </w:r>
      <w:r>
        <w:rPr>
          <w:rFonts w:hint="default" w:ascii="Times New Roman" w:hAnsi="Times New Roman" w:eastAsia="黑体" w:cs="Times New Roman"/>
          <w:bCs/>
          <w:sz w:val="28"/>
          <w:szCs w:val="28"/>
          <w:highlight w:val="none"/>
        </w:rPr>
        <w:t>.4.2监测结果统计及评价</w:t>
      </w:r>
    </w:p>
    <w:p>
      <w:pPr>
        <w:adjustRightInd w:val="0"/>
        <w:snapToGrid w:val="0"/>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本项目周边均为建设用地</w:t>
      </w:r>
      <w:r>
        <w:rPr>
          <w:rFonts w:hint="default" w:ascii="Times New Roman" w:hAnsi="Times New Roman" w:cs="Times New Roman"/>
          <w:sz w:val="24"/>
          <w:szCs w:val="24"/>
          <w:highlight w:val="none"/>
        </w:rPr>
        <w:tab/>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表3-10  建设用地土壤现状监测结果 单位mg/kg</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2"/>
        <w:gridCol w:w="2756"/>
        <w:gridCol w:w="2756"/>
        <w:gridCol w:w="2299"/>
        <w:gridCol w:w="2299"/>
        <w:gridCol w:w="2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87"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序号</w:t>
            </w:r>
          </w:p>
        </w:tc>
        <w:tc>
          <w:tcPr>
            <w:tcW w:w="1024"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污染物项目</w:t>
            </w:r>
          </w:p>
        </w:tc>
        <w:tc>
          <w:tcPr>
            <w:tcW w:w="1024"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第二类建设用地筛选值</w:t>
            </w:r>
          </w:p>
        </w:tc>
        <w:tc>
          <w:tcPr>
            <w:tcW w:w="2563" w:type="pct"/>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监测结果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87"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int="default" w:ascii="Times New Roman" w:hAnsi="Times New Roman" w:cs="Times New Roman"/>
                <w:b/>
                <w:bCs/>
                <w:highlight w:val="none"/>
              </w:rPr>
            </w:pPr>
          </w:p>
        </w:tc>
        <w:tc>
          <w:tcPr>
            <w:tcW w:w="1024"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int="default" w:ascii="Times New Roman" w:hAnsi="Times New Roman" w:cs="Times New Roman"/>
                <w:b/>
                <w:bCs/>
                <w:highlight w:val="none"/>
              </w:rPr>
            </w:pPr>
          </w:p>
        </w:tc>
        <w:tc>
          <w:tcPr>
            <w:tcW w:w="1024"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int="default" w:ascii="Times New Roman" w:hAnsi="Times New Roman" w:cs="Times New Roman"/>
                <w:b/>
                <w:bCs/>
                <w:highlight w:val="none"/>
              </w:rPr>
            </w:pP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厂区西北表层</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厂区西北侧中层</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厂区西北侧深层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六价铬</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5.7</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苯胺</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260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2-氯酚</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2256</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硝基苯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76</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萘</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70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苯并[a]蒽</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䓛</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1293</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苯并[b]荧蒽</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苯并[k]荧蒽</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151</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苯并[a]芘</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茚并[1,2,3-cd]芘</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二苯并[a,h]蒽</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13</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1,1-二氯乙烯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66</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二氯甲烷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616</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反式-1,2-二氯乙烯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54</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16</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1,1-二氯乙烷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9</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顺式-1,2-二氯乙烯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596</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18</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氯仿</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0.9</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19</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1,1,1-三氯乙烷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840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四氯化碳</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4</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1,2-二氯乙烷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23</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三氯乙烯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24</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1,2-二氯丙烷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25</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甲苯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1200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26</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邻-二甲苯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640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27</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间,对-二甲苯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570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28</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1290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29</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1,1,2,2-四氯乙烷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6.8</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1,2,3-三氯丙烷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0.5</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1,4-二氯苯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32</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1,2-二氯苯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560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33</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氯甲烷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37</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34</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0.43</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35</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四氯乙烯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53</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36</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270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37</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1,1,1,2-四氯乙烷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38</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乙苯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39</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1,1,2-三氯乙烷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40</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砷（mg/kg）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3.98</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3.99</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41</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汞（mg/kg）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38</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0.024</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0.013</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0.017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42</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镉（mg/kg）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65</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4.56</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2.60</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43</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铜（mg/kg）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18000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483</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315</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44</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铅（mg/kg）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800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28.6</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22.1</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45</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镍（mg/kg）</w:t>
            </w:r>
          </w:p>
        </w:tc>
        <w:tc>
          <w:tcPr>
            <w:tcW w:w="102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900</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335</w:t>
            </w:r>
          </w:p>
        </w:tc>
        <w:tc>
          <w:tcPr>
            <w:tcW w:w="854"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508</w:t>
            </w:r>
          </w:p>
        </w:tc>
        <w:tc>
          <w:tcPr>
            <w:tcW w:w="85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283</w:t>
            </w:r>
          </w:p>
        </w:tc>
      </w:tr>
    </w:tbl>
    <w:p>
      <w:pPr>
        <w:adjustRightInd w:val="0"/>
        <w:snapToGrid w:val="0"/>
        <w:rPr>
          <w:rFonts w:hint="default" w:ascii="Times New Roman" w:hAnsi="Times New Roman" w:cs="Times New Roman"/>
          <w:highlight w:val="none"/>
        </w:rPr>
      </w:pPr>
    </w:p>
    <w:p>
      <w:pPr>
        <w:spacing w:before="120" w:beforeLines="50" w:after="120" w:afterLines="50"/>
        <w:jc w:val="left"/>
        <w:outlineLvl w:val="3"/>
        <w:rPr>
          <w:rFonts w:hint="default" w:ascii="Times New Roman" w:hAnsi="Times New Roman" w:eastAsia="黑体" w:cs="Times New Roman"/>
          <w:bCs/>
          <w:sz w:val="28"/>
          <w:szCs w:val="28"/>
          <w:highlight w:val="none"/>
        </w:rPr>
        <w:sectPr>
          <w:pgSz w:w="16838" w:h="11906" w:orient="landscape"/>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p>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3.4.4.</w:t>
      </w:r>
      <w:r>
        <w:rPr>
          <w:rFonts w:hint="eastAsia" w:ascii="Times New Roman" w:hAnsi="Times New Roman" w:eastAsia="黑体" w:cs="Times New Roman"/>
          <w:bCs/>
          <w:sz w:val="28"/>
          <w:szCs w:val="28"/>
          <w:highlight w:val="none"/>
          <w:lang w:val="en-US" w:eastAsia="zh-CN"/>
        </w:rPr>
        <w:t>3</w:t>
      </w:r>
      <w:r>
        <w:rPr>
          <w:rFonts w:hint="default" w:ascii="Times New Roman" w:hAnsi="Times New Roman" w:eastAsia="黑体" w:cs="Times New Roman"/>
          <w:bCs/>
          <w:sz w:val="28"/>
          <w:szCs w:val="28"/>
          <w:highlight w:val="none"/>
        </w:rPr>
        <w:t>土壤现状评价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1、评价方法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采用标准指数法进行评价，计算公式为：</w:t>
      </w:r>
    </w:p>
    <w:p>
      <w:pPr>
        <w:adjustRightInd w:val="0"/>
        <w:snapToGrid w:val="0"/>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drawing>
          <wp:inline distT="0" distB="0" distL="0" distR="0">
            <wp:extent cx="3571875" cy="1202055"/>
            <wp:effectExtent l="0" t="0" r="0" b="0"/>
            <wp:docPr id="11" name="图片 6"/>
            <wp:cNvGraphicFramePr/>
            <a:graphic xmlns:a="http://schemas.openxmlformats.org/drawingml/2006/main">
              <a:graphicData uri="http://schemas.openxmlformats.org/drawingml/2006/picture">
                <pic:pic xmlns:pic="http://schemas.openxmlformats.org/drawingml/2006/picture">
                  <pic:nvPicPr>
                    <pic:cNvPr id="11" name="图片 6"/>
                    <pic:cNvPicPr/>
                  </pic:nvPicPr>
                  <pic:blipFill>
                    <a:blip r:embed="rId27">
                      <a:extLst>
                        <a:ext uri="{28A0092B-C50C-407E-A947-70E740481C1C}">
                          <a14:useLocalDpi xmlns:a14="http://schemas.microsoft.com/office/drawing/2010/main" val="0"/>
                        </a:ext>
                      </a:extLst>
                    </a:blip>
                    <a:srcRect/>
                    <a:stretch>
                      <a:fillRect/>
                    </a:stretch>
                  </pic:blipFill>
                  <pic:spPr>
                    <a:xfrm>
                      <a:off x="0" y="0"/>
                      <a:ext cx="3571875" cy="12020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2、评价标准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建设用地土壤执行《土壤环境质量 建设用地土壤污染风险管控标准（试行）》（GB36600-2018）筛选值。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3、评价结果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评价结果见下表：</w:t>
      </w:r>
    </w:p>
    <w:p>
      <w:pPr>
        <w:adjustRightInd w:val="0"/>
        <w:snapToGrid w:val="0"/>
        <w:spacing w:before="120" w:beforeLines="50" w:after="120" w:afterLines="50" w:line="360" w:lineRule="auto"/>
        <w:jc w:val="center"/>
        <w:rPr>
          <w:rFonts w:hint="default" w:ascii="Times New Roman" w:hAnsi="Times New Roman" w:eastAsia="宋体" w:cs="Times New Roman"/>
          <w:sz w:val="24"/>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 xml:space="preserve">表3-12  建设用地土壤现状评价结果 </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0"/>
        <w:gridCol w:w="2816"/>
        <w:gridCol w:w="2637"/>
        <w:gridCol w:w="1948"/>
        <w:gridCol w:w="1948"/>
        <w:gridCol w:w="1963"/>
        <w:gridCol w:w="1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321"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序号</w:t>
            </w:r>
          </w:p>
        </w:tc>
        <w:tc>
          <w:tcPr>
            <w:tcW w:w="993"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污染物项目</w:t>
            </w:r>
          </w:p>
        </w:tc>
        <w:tc>
          <w:tcPr>
            <w:tcW w:w="930"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第二类建设用地筛选值</w:t>
            </w:r>
          </w:p>
        </w:tc>
        <w:tc>
          <w:tcPr>
            <w:tcW w:w="2066" w:type="pct"/>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监测结果</w:t>
            </w:r>
          </w:p>
        </w:tc>
        <w:tc>
          <w:tcPr>
            <w:tcW w:w="688"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b/>
                <w:bCs/>
                <w:highlight w:val="none"/>
              </w:rPr>
              <w:t>标准满足情况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321"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int="default" w:ascii="Times New Roman" w:hAnsi="Times New Roman" w:cs="Times New Roman"/>
                <w:b/>
                <w:bCs/>
                <w:highlight w:val="none"/>
              </w:rPr>
            </w:pPr>
          </w:p>
        </w:tc>
        <w:tc>
          <w:tcPr>
            <w:tcW w:w="99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int="default" w:ascii="Times New Roman" w:hAnsi="Times New Roman" w:cs="Times New Roman"/>
                <w:b/>
                <w:bCs/>
                <w:highlight w:val="none"/>
              </w:rPr>
            </w:pPr>
          </w:p>
        </w:tc>
        <w:tc>
          <w:tcPr>
            <w:tcW w:w="93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int="default" w:ascii="Times New Roman" w:hAnsi="Times New Roman" w:cs="Times New Roman"/>
                <w:b/>
                <w:bCs/>
                <w:highlight w:val="none"/>
              </w:rPr>
            </w:pP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厂区西北表层</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厂区西北侧中层</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b/>
                <w:bCs/>
                <w:highlight w:val="none"/>
              </w:rPr>
            </w:pPr>
            <w:r>
              <w:rPr>
                <w:rFonts w:hint="default" w:ascii="Times New Roman" w:hAnsi="Times New Roman" w:cs="Times New Roman"/>
                <w:b/>
                <w:bCs/>
                <w:highlight w:val="none"/>
              </w:rPr>
              <w:t>厂区西北侧深层</w:t>
            </w:r>
          </w:p>
        </w:tc>
        <w:tc>
          <w:tcPr>
            <w:tcW w:w="6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int="default" w:ascii="Times New Roman" w:hAnsi="Times New Roman" w:cs="Times New Roman"/>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六价铬</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5.7</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苯胺</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260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2-氯酚</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2256</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硝基苯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76</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萘</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70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苯并[a]蒽</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䓛</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1293</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苯并[b]荧蒽</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苯并[k]荧蒽</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151</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苯并[a]芘</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茚并[1,2,3-cd]芘</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二苯并[a,h]蒽</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13</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1,1-二氯乙烯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66</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二氯甲烷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616</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反式-1,2-二氯乙烯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54</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16</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1,1-二氯乙烷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9</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顺式-1,2-二氯乙烯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596</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18</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氯仿</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0.9</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19</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1,1,1-三氯乙烷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840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四氯化碳</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4</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1,2-二氯乙烷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23</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三氯乙烯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24</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1,2-二氯丙烷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25</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甲苯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1200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26</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邻-二甲苯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640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27</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间,对-二甲苯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570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28</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1290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29</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1,1,2,2-四氯乙烷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6.8</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1,2,3-三氯丙烷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0.5</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1,4-二氯苯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32</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1,2-二氯苯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560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33</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氯甲烷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37</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34</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0.43</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35</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四氯乙烯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53</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36</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氯苯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270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37</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1,1,1,2-四氯乙烷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38</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乙苯</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39</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1,1,2-三氯乙烷</w:t>
            </w:r>
            <w:r>
              <w:rPr>
                <w:rFonts w:hint="default" w:ascii="Times New Roman" w:hAnsi="Times New Roman" w:cs="Times New Roman"/>
                <w:szCs w:val="21"/>
                <w:highlight w:val="none"/>
                <w:vertAlign w:val="superscript"/>
              </w:rPr>
              <w:t>#</w:t>
            </w:r>
            <w:r>
              <w:rPr>
                <w:rFonts w:hint="default" w:ascii="Times New Roman" w:hAnsi="Times New Roman" w:cs="Times New Roman"/>
                <w:szCs w:val="21"/>
                <w:highlight w:val="none"/>
              </w:rPr>
              <w:t>（μg/kg）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2.8</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未检出</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40</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砷（mg/kg）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0.07 </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0.07 </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0.06 </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41</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汞（mg/kg）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38</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0.00 </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0.00 </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0.00 </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42</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镉（mg/kg）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65</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0.07 </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0.04 </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0.06 </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43</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铜（mg/kg）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18000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0.03 </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0.02 </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0.01 </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44</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铅（mg/kg）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800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0.04 </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0.03 </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0.02 </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45</w:t>
            </w:r>
          </w:p>
        </w:tc>
        <w:tc>
          <w:tcPr>
            <w:tcW w:w="99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镍（mg/kg）</w:t>
            </w:r>
          </w:p>
        </w:tc>
        <w:tc>
          <w:tcPr>
            <w:tcW w:w="93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900</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0.37 </w:t>
            </w:r>
          </w:p>
        </w:tc>
        <w:tc>
          <w:tcPr>
            <w:tcW w:w="68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0.56 </w:t>
            </w:r>
          </w:p>
        </w:tc>
        <w:tc>
          <w:tcPr>
            <w:tcW w:w="69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 xml:space="preserve">0.31 </w:t>
            </w:r>
          </w:p>
        </w:tc>
        <w:tc>
          <w:tcPr>
            <w:tcW w:w="68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满足</w:t>
            </w:r>
          </w:p>
        </w:tc>
      </w:tr>
    </w:tbl>
    <w:p>
      <w:pPr>
        <w:adjustRightInd w:val="0"/>
        <w:snapToGrid w:val="0"/>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由上表可知，厂区内监测点位全部监测因子均满足第二类建设用地筛选值。其他监测因子均满足建设用地筛选值要求</w:t>
      </w:r>
      <w:r>
        <w:rPr>
          <w:rFonts w:hint="default" w:ascii="Times New Roman" w:hAnsi="Times New Roman" w:cs="Times New Roman"/>
          <w:b/>
          <w:sz w:val="24"/>
          <w:highlight w:val="none"/>
        </w:rPr>
        <w:t>。</w:t>
      </w:r>
      <w:r>
        <w:rPr>
          <w:rFonts w:hint="default" w:ascii="Times New Roman" w:hAnsi="Times New Roman" w:cs="Times New Roman"/>
          <w:sz w:val="24"/>
          <w:highlight w:val="none"/>
        </w:rPr>
        <w:t xml:space="preserve"> </w:t>
      </w:r>
    </w:p>
    <w:p>
      <w:pPr>
        <w:rPr>
          <w:rFonts w:hint="default" w:ascii="Times New Roman" w:hAnsi="Times New Roman" w:eastAsia="黑体" w:cs="Times New Roman"/>
          <w:bCs/>
          <w:sz w:val="28"/>
          <w:szCs w:val="28"/>
          <w:highlight w:val="none"/>
        </w:rPr>
        <w:sectPr>
          <w:pgSz w:w="16838" w:h="11906" w:orient="landscape"/>
          <w:pgMar w:top="1800" w:right="1440" w:bottom="1800" w:left="1440" w:header="708" w:footer="708" w:gutter="0"/>
          <w:pgBorders>
            <w:top w:val="none" w:sz="0" w:space="0"/>
            <w:left w:val="none" w:sz="0" w:space="0"/>
            <w:bottom w:val="none" w:sz="0" w:space="0"/>
            <w:right w:val="none" w:sz="0" w:space="0"/>
          </w:pgBorders>
          <w:pgNumType w:fmt="decimal"/>
          <w:cols w:space="720" w:num="1"/>
          <w:docGrid w:linePitch="286" w:charSpace="0"/>
        </w:sectPr>
      </w:pPr>
      <w:r>
        <w:rPr>
          <w:rFonts w:hint="default" w:ascii="Times New Roman" w:hAnsi="Times New Roman" w:eastAsia="黑体" w:cs="Times New Roman"/>
          <w:bCs/>
          <w:sz w:val="28"/>
          <w:szCs w:val="28"/>
          <w:highlight w:val="none"/>
        </w:rPr>
        <w:br w:type="page"/>
      </w:r>
      <w:bookmarkStart w:id="108" w:name="_Toc1527"/>
      <w:bookmarkStart w:id="109" w:name="_Toc521334390"/>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3.4.5生态现状调查与评价</w:t>
      </w:r>
    </w:p>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w:t>
      </w:r>
      <w:r>
        <w:rPr>
          <w:rFonts w:hint="eastAsia" w:ascii="Times New Roman" w:hAnsi="Times New Roman" w:eastAsia="黑体" w:cs="Times New Roman"/>
          <w:bCs/>
          <w:sz w:val="28"/>
          <w:szCs w:val="28"/>
          <w:highlight w:val="none"/>
          <w:lang w:val="en-US" w:eastAsia="zh-CN"/>
        </w:rPr>
        <w:t>4</w:t>
      </w:r>
      <w:r>
        <w:rPr>
          <w:rFonts w:hint="default" w:ascii="Times New Roman" w:hAnsi="Times New Roman" w:eastAsia="黑体" w:cs="Times New Roman"/>
          <w:bCs/>
          <w:sz w:val="28"/>
          <w:szCs w:val="28"/>
          <w:highlight w:val="none"/>
        </w:rPr>
        <w:t>.</w:t>
      </w:r>
      <w:r>
        <w:rPr>
          <w:rFonts w:hint="eastAsia" w:ascii="Times New Roman" w:hAnsi="Times New Roman" w:eastAsia="黑体" w:cs="Times New Roman"/>
          <w:bCs/>
          <w:sz w:val="28"/>
          <w:szCs w:val="28"/>
          <w:highlight w:val="none"/>
          <w:lang w:val="en-US" w:eastAsia="zh-CN"/>
        </w:rPr>
        <w:t>5</w:t>
      </w:r>
      <w:r>
        <w:rPr>
          <w:rFonts w:hint="default" w:ascii="Times New Roman" w:hAnsi="Times New Roman" w:eastAsia="黑体" w:cs="Times New Roman"/>
          <w:bCs/>
          <w:sz w:val="28"/>
          <w:szCs w:val="28"/>
          <w:highlight w:val="none"/>
        </w:rPr>
        <w:t>.1 地形地貌</w:t>
      </w:r>
    </w:p>
    <w:p>
      <w:pPr>
        <w:adjustRightInd w:val="0"/>
        <w:snapToGrid w:val="0"/>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卢龙地处燕山山脉东段，为西北、东南延伸的低山丘陵区，北部和东南部多山丘，西部相对平缓。卢龙县城，位于青龙河东畔，流水地貌为典型的地貌类型。洪流地貌分布广泛，在地形平缓或坡角较小的谷坡地带侧流面地貌更为常见，坡积物多由黄土和粘土组成。</w:t>
      </w:r>
    </w:p>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w:t>
      </w:r>
      <w:r>
        <w:rPr>
          <w:rFonts w:hint="eastAsia" w:ascii="Times New Roman" w:hAnsi="Times New Roman" w:eastAsia="黑体" w:cs="Times New Roman"/>
          <w:bCs/>
          <w:sz w:val="28"/>
          <w:szCs w:val="28"/>
          <w:highlight w:val="none"/>
          <w:lang w:val="en-US" w:eastAsia="zh-CN"/>
        </w:rPr>
        <w:t>4</w:t>
      </w:r>
      <w:r>
        <w:rPr>
          <w:rFonts w:hint="default" w:ascii="Times New Roman" w:hAnsi="Times New Roman" w:eastAsia="黑体" w:cs="Times New Roman"/>
          <w:bCs/>
          <w:sz w:val="28"/>
          <w:szCs w:val="28"/>
          <w:highlight w:val="none"/>
        </w:rPr>
        <w:t>.</w:t>
      </w:r>
      <w:r>
        <w:rPr>
          <w:rFonts w:hint="eastAsia" w:ascii="Times New Roman" w:hAnsi="Times New Roman" w:eastAsia="黑体" w:cs="Times New Roman"/>
          <w:bCs/>
          <w:sz w:val="28"/>
          <w:szCs w:val="28"/>
          <w:highlight w:val="none"/>
          <w:lang w:val="en-US" w:eastAsia="zh-CN"/>
        </w:rPr>
        <w:t>5</w:t>
      </w:r>
      <w:r>
        <w:rPr>
          <w:rFonts w:hint="default" w:ascii="Times New Roman" w:hAnsi="Times New Roman" w:eastAsia="黑体" w:cs="Times New Roman"/>
          <w:bCs/>
          <w:sz w:val="28"/>
          <w:szCs w:val="28"/>
          <w:highlight w:val="none"/>
        </w:rPr>
        <w:t>.2 植被类型现状</w:t>
      </w:r>
    </w:p>
    <w:p>
      <w:pPr>
        <w:adjustRightInd w:val="0"/>
        <w:snapToGrid w:val="0"/>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本项目位于华北、东北温带落叶阔叶林区域，并有温性针叶林分布。落叶阔叶林树种以落叶栎类为主。在山谷比较湿润的地带有椴属、核桃楸、杨属、柳属等组成的落叶阔叶杂木林。灌木层和林下草本种类丰富。项目区占地类型单一，主要植被类型是落叶阔叶林、灌木丛和草地为主，主要树种杨树、柳树，刺槐等。</w:t>
      </w:r>
    </w:p>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w:t>
      </w:r>
      <w:r>
        <w:rPr>
          <w:rFonts w:hint="eastAsia" w:ascii="Times New Roman" w:hAnsi="Times New Roman" w:eastAsia="黑体" w:cs="Times New Roman"/>
          <w:bCs/>
          <w:sz w:val="28"/>
          <w:szCs w:val="28"/>
          <w:highlight w:val="none"/>
          <w:lang w:val="en-US" w:eastAsia="zh-CN"/>
        </w:rPr>
        <w:t>4</w:t>
      </w:r>
      <w:r>
        <w:rPr>
          <w:rFonts w:hint="default" w:ascii="Times New Roman" w:hAnsi="Times New Roman" w:eastAsia="黑体" w:cs="Times New Roman"/>
          <w:bCs/>
          <w:sz w:val="28"/>
          <w:szCs w:val="28"/>
          <w:highlight w:val="none"/>
        </w:rPr>
        <w:t>.</w:t>
      </w:r>
      <w:r>
        <w:rPr>
          <w:rFonts w:hint="eastAsia" w:ascii="Times New Roman" w:hAnsi="Times New Roman" w:eastAsia="黑体" w:cs="Times New Roman"/>
          <w:bCs/>
          <w:sz w:val="28"/>
          <w:szCs w:val="28"/>
          <w:highlight w:val="none"/>
          <w:lang w:val="en-US" w:eastAsia="zh-CN"/>
        </w:rPr>
        <w:t>5</w:t>
      </w:r>
      <w:r>
        <w:rPr>
          <w:rFonts w:hint="default" w:ascii="Times New Roman" w:hAnsi="Times New Roman" w:eastAsia="黑体" w:cs="Times New Roman"/>
          <w:bCs/>
          <w:sz w:val="28"/>
          <w:szCs w:val="28"/>
          <w:highlight w:val="none"/>
        </w:rPr>
        <w:t>.3 野生动物</w:t>
      </w:r>
    </w:p>
    <w:p>
      <w:pPr>
        <w:adjustRightInd w:val="0"/>
        <w:snapToGrid w:val="0"/>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野生动物调查主要通过直观调查法、访谈法，并参阅有关资料。根据《国家重点保护野生动物名录》，本项目评价范围内无国家重点保护的珍稀野生动物，区域人类生产、生活活动相对频繁，目前已调查不到大型野生兽类出没，动物种类属小型，以适应性广、繁殖能力强的类动物为主，如山鸡、麻雀、蛇、老鼠等。</w:t>
      </w:r>
    </w:p>
    <w:p>
      <w:pPr>
        <w:spacing w:before="120" w:beforeLines="50" w:after="120" w:afterLines="5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3.</w:t>
      </w:r>
      <w:r>
        <w:rPr>
          <w:rFonts w:hint="eastAsia" w:ascii="Times New Roman" w:hAnsi="Times New Roman" w:eastAsia="黑体" w:cs="Times New Roman"/>
          <w:bCs/>
          <w:sz w:val="28"/>
          <w:szCs w:val="28"/>
          <w:highlight w:val="none"/>
          <w:lang w:val="en-US" w:eastAsia="zh-CN"/>
        </w:rPr>
        <w:t>4</w:t>
      </w:r>
      <w:r>
        <w:rPr>
          <w:rFonts w:hint="default" w:ascii="Times New Roman" w:hAnsi="Times New Roman" w:eastAsia="黑体" w:cs="Times New Roman"/>
          <w:bCs/>
          <w:sz w:val="28"/>
          <w:szCs w:val="28"/>
          <w:highlight w:val="none"/>
        </w:rPr>
        <w:t>.</w:t>
      </w:r>
      <w:r>
        <w:rPr>
          <w:rFonts w:hint="eastAsia" w:ascii="Times New Roman" w:hAnsi="Times New Roman" w:eastAsia="黑体" w:cs="Times New Roman"/>
          <w:bCs/>
          <w:sz w:val="28"/>
          <w:szCs w:val="28"/>
          <w:highlight w:val="none"/>
          <w:lang w:val="en-US" w:eastAsia="zh-CN"/>
        </w:rPr>
        <w:t>5</w:t>
      </w:r>
      <w:r>
        <w:rPr>
          <w:rFonts w:hint="default" w:ascii="Times New Roman" w:hAnsi="Times New Roman" w:eastAsia="黑体" w:cs="Times New Roman"/>
          <w:bCs/>
          <w:sz w:val="28"/>
          <w:szCs w:val="28"/>
          <w:highlight w:val="none"/>
        </w:rPr>
        <w:t>.4 土壤现状</w:t>
      </w:r>
    </w:p>
    <w:p>
      <w:pPr>
        <w:adjustRightInd w:val="0"/>
        <w:snapToGrid w:val="0"/>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根据《土壤侵蚀分类分级标准》（SL190－2007），项目区属北方土石山区范围内，项目属于低山丘陵地貌，土壤类型为褐土；地表层土壤为盐碱土、风沙土、潮土，土体结构为：表土层黄色，砂壤质；心土层淡黄色，砂质；底土层淡黄棕色，砂质。全剖面无游离碳酸钙，含少量氧化钙。根据现场调查及主体地质勘查报告中介绍，工程所在区土壤厚度不小于0.5m。</w:t>
      </w:r>
    </w:p>
    <w:p>
      <w:pPr>
        <w:pStyle w:val="4"/>
        <w:adjustRightInd w:val="0"/>
        <w:snapToGrid w:val="0"/>
        <w:spacing w:before="120" w:beforeLines="50" w:after="120" w:afterLines="50" w:line="360" w:lineRule="auto"/>
        <w:rPr>
          <w:rFonts w:hint="default" w:ascii="Times New Roman" w:hAnsi="Times New Roman" w:eastAsia="黑体" w:cs="Times New Roman"/>
          <w:b w:val="0"/>
          <w:sz w:val="36"/>
          <w:szCs w:val="32"/>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286" w:charSpace="0"/>
        </w:sectPr>
      </w:pPr>
    </w:p>
    <w:p>
      <w:pPr>
        <w:spacing w:before="120" w:beforeLines="50" w:after="120" w:afterLines="50"/>
        <w:jc w:val="left"/>
        <w:outlineLvl w:val="0"/>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4环境影响预测分析与评价</w:t>
      </w:r>
      <w:bookmarkEnd w:id="108"/>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10" w:name="_Toc2420"/>
      <w:r>
        <w:rPr>
          <w:rFonts w:hint="default" w:ascii="Times New Roman" w:hAnsi="Times New Roman" w:eastAsia="黑体" w:cs="Times New Roman"/>
          <w:bCs/>
          <w:sz w:val="30"/>
          <w:szCs w:val="30"/>
          <w:highlight w:val="none"/>
        </w:rPr>
        <w:t>4.1施工期环境影响分析</w:t>
      </w:r>
      <w:bookmarkEnd w:id="11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eastAsia="宋体" w:cs="Times New Roman"/>
          <w:sz w:val="24"/>
          <w:szCs w:val="24"/>
          <w:highlight w:val="none"/>
        </w:rPr>
        <w:t>项目总建筑面积 16542㎡，主要建筑为猪舍、办公室、粪污处理设施等。</w:t>
      </w:r>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111" w:name="OLE_LINK11"/>
      <w:bookmarkStart w:id="112" w:name="OLE_LINK10"/>
      <w:r>
        <w:rPr>
          <w:rFonts w:hint="default" w:ascii="Times New Roman" w:hAnsi="Times New Roman" w:eastAsia="黑体" w:cs="Times New Roman"/>
          <w:bCs/>
          <w:sz w:val="28"/>
          <w:szCs w:val="28"/>
          <w:highlight w:val="none"/>
        </w:rPr>
        <w:t>4.1.1</w:t>
      </w:r>
      <w:bookmarkEnd w:id="111"/>
      <w:bookmarkEnd w:id="112"/>
      <w:r>
        <w:rPr>
          <w:rFonts w:hint="default" w:ascii="Times New Roman" w:hAnsi="Times New Roman" w:eastAsia="黑体" w:cs="Times New Roman"/>
          <w:bCs/>
          <w:sz w:val="28"/>
          <w:szCs w:val="28"/>
          <w:highlight w:val="none"/>
        </w:rPr>
        <w:t>声环境影响分析</w:t>
      </w:r>
    </w:p>
    <w:p>
      <w:pPr>
        <w:spacing w:before="120" w:beforeLines="50" w:after="120" w:afterLines="50"/>
        <w:ind w:firstLine="480" w:firstLineChars="200"/>
        <w:jc w:val="left"/>
        <w:outlineLvl w:val="3"/>
        <w:rPr>
          <w:rFonts w:hint="default" w:ascii="Times New Roman" w:hAnsi="Times New Roman" w:eastAsia="黑体" w:cs="Times New Roman"/>
          <w:bCs/>
          <w:sz w:val="28"/>
          <w:szCs w:val="28"/>
          <w:highlight w:val="none"/>
        </w:rPr>
      </w:pPr>
      <w:r>
        <w:rPr>
          <w:rFonts w:hint="default" w:ascii="Times New Roman" w:hAnsi="Times New Roman" w:eastAsia="黑体" w:cs="Times New Roman"/>
          <w:sz w:val="24"/>
          <w:szCs w:val="24"/>
          <w:highlight w:val="none"/>
        </w:rPr>
        <w:t>4.1.1.1 施工期噪声源分析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施工期噪声源主要是施工现场的各类施工机械设备噪声和车辆运输噪声。主要施工设备有挖掘机、装载机、推土机和搅拌机等。各类施工机械噪声源强见下：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表4-1 源强分析</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0" w:type="dxa"/>
            <w:shd w:val="clear" w:color="auto" w:fill="auto"/>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机械设备名称</w:t>
            </w:r>
          </w:p>
        </w:tc>
        <w:tc>
          <w:tcPr>
            <w:tcW w:w="2841" w:type="dxa"/>
            <w:shd w:val="clear" w:color="auto" w:fill="auto"/>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测点距施工机械距离</w:t>
            </w:r>
          </w:p>
        </w:tc>
        <w:tc>
          <w:tcPr>
            <w:tcW w:w="2841" w:type="dxa"/>
            <w:shd w:val="clear" w:color="auto" w:fill="auto"/>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最大声级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0"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推土机</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2840"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挖掘机</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0"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搅拌机</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0"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振捣机</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0"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装载机</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0"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汽车</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2841" w:type="dxa"/>
            <w:shd w:val="clear" w:color="auto" w:fill="auto"/>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75</w:t>
            </w:r>
          </w:p>
        </w:tc>
      </w:tr>
    </w:tbl>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4.1.1.2 施工期噪声影响预测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按能量叠加法预测施工期施工机械满负荷运行状态下噪声影响。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（1）预测模型：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施工期的各种施工机械噪声多为点源。点声源衰减模式为：</w:t>
      </w:r>
    </w:p>
    <w:p>
      <w:pPr>
        <w:spacing w:line="360" w:lineRule="auto"/>
        <w:ind w:firstLine="420" w:firstLineChars="200"/>
        <w:jc w:val="left"/>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2428875" cy="5524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2428875" cy="552450"/>
                    </a:xfrm>
                    <a:prstGeom prst="rect">
                      <a:avLst/>
                    </a:prstGeom>
                  </pic:spPr>
                </pic:pic>
              </a:graphicData>
            </a:graphic>
          </wp:inline>
        </w:drawing>
      </w:r>
    </w:p>
    <w:p>
      <w:pPr>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式中：LA（r）——距声源 r 处的 A 声级</w:t>
      </w:r>
    </w:p>
    <w:p>
      <w:pPr>
        <w:spacing w:line="360" w:lineRule="auto"/>
        <w:ind w:firstLine="1200" w:firstLineChars="5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LA（r0）——距声源 r0 处的 A 声级</w:t>
      </w:r>
    </w:p>
    <w:p>
      <w:pPr>
        <w:spacing w:line="360" w:lineRule="auto"/>
        <w:ind w:firstLine="1200" w:firstLineChars="5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L——其它衰减作用减小的噪声级</w:t>
      </w:r>
    </w:p>
    <w:p>
      <w:pPr>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声级叠加模式为：</w:t>
      </w:r>
    </w:p>
    <w:p>
      <w:pPr>
        <w:spacing w:line="360" w:lineRule="auto"/>
        <w:ind w:firstLine="1050" w:firstLineChars="500"/>
        <w:jc w:val="left"/>
        <w:rPr>
          <w:rFonts w:hint="default" w:ascii="Times New Roman" w:hAnsi="Times New Roman" w:cs="Times New Roman"/>
          <w:sz w:val="24"/>
          <w:szCs w:val="24"/>
          <w:highlight w:val="none"/>
        </w:rPr>
      </w:pPr>
      <w:r>
        <w:rPr>
          <w:rFonts w:hint="default" w:ascii="Times New Roman" w:hAnsi="Times New Roman" w:cs="Times New Roman"/>
          <w:highlight w:val="none"/>
        </w:rPr>
        <w:drawing>
          <wp:inline distT="0" distB="0" distL="0" distR="0">
            <wp:extent cx="2552700" cy="5238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a:off x="0" y="0"/>
                      <a:ext cx="2552700" cy="523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式中：Leq——预测点的总等效 A 声级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LAi——第 i 个噪声源在预测点产生的 A 声级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LAX——预测点的现状值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(2)距声源不同距离处噪声预测值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施工场地噪声在不同距离处的预测结果见表 4-2。</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 4-2</w:t>
      </w:r>
      <w:r>
        <w:rPr>
          <w:rFonts w:hint="default" w:ascii="Times New Roman" w:hAnsi="Times New Roman" w:eastAsia="黑体" w:cs="Times New Roman"/>
          <w:bCs/>
          <w:sz w:val="24"/>
          <w:szCs w:val="24"/>
          <w:highlight w:val="none"/>
        </w:rPr>
        <w:tab/>
      </w:r>
      <w:r>
        <w:rPr>
          <w:rFonts w:hint="default" w:ascii="Times New Roman" w:hAnsi="Times New Roman" w:eastAsia="黑体" w:cs="Times New Roman"/>
          <w:bCs/>
          <w:sz w:val="24"/>
          <w:szCs w:val="24"/>
          <w:highlight w:val="none"/>
        </w:rPr>
        <w:t>距声源不同距离处的噪声预测值</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4"/>
        <w:gridCol w:w="774"/>
        <w:gridCol w:w="775"/>
        <w:gridCol w:w="775"/>
        <w:gridCol w:w="775"/>
        <w:gridCol w:w="774"/>
        <w:gridCol w:w="775"/>
        <w:gridCol w:w="775"/>
        <w:gridCol w:w="775"/>
        <w:gridCol w:w="775"/>
        <w:gridCol w:w="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75" w:type="dxa"/>
            <w:vMerge w:val="restart"/>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施工阶段</w:t>
            </w:r>
          </w:p>
        </w:tc>
        <w:tc>
          <w:tcPr>
            <w:tcW w:w="775" w:type="dxa"/>
            <w:vMerge w:val="restart"/>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施工机械</w:t>
            </w:r>
          </w:p>
        </w:tc>
        <w:tc>
          <w:tcPr>
            <w:tcW w:w="775" w:type="dxa"/>
            <w:vMerge w:val="restart"/>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源强</w:t>
            </w:r>
          </w:p>
        </w:tc>
        <w:tc>
          <w:tcPr>
            <w:tcW w:w="6197" w:type="dxa"/>
            <w:gridSpan w:val="8"/>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距声源不同距离处的噪声值dB(A)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75" w:type="dxa"/>
            <w:vMerge w:val="continue"/>
            <w:vAlign w:val="center"/>
          </w:tcPr>
          <w:p>
            <w:pPr>
              <w:jc w:val="center"/>
              <w:rPr>
                <w:rFonts w:hint="default" w:ascii="Times New Roman" w:hAnsi="Times New Roman" w:cs="Times New Roman"/>
                <w:b/>
                <w:bCs/>
                <w:szCs w:val="21"/>
                <w:highlight w:val="none"/>
              </w:rPr>
            </w:pPr>
          </w:p>
        </w:tc>
        <w:tc>
          <w:tcPr>
            <w:tcW w:w="775" w:type="dxa"/>
            <w:vMerge w:val="continue"/>
            <w:vAlign w:val="center"/>
          </w:tcPr>
          <w:p>
            <w:pPr>
              <w:jc w:val="center"/>
              <w:rPr>
                <w:rFonts w:hint="default" w:ascii="Times New Roman" w:hAnsi="Times New Roman" w:cs="Times New Roman"/>
                <w:b/>
                <w:bCs/>
                <w:szCs w:val="21"/>
                <w:highlight w:val="none"/>
              </w:rPr>
            </w:pPr>
          </w:p>
        </w:tc>
        <w:tc>
          <w:tcPr>
            <w:tcW w:w="775" w:type="dxa"/>
            <w:vMerge w:val="continue"/>
            <w:vAlign w:val="center"/>
          </w:tcPr>
          <w:p>
            <w:pPr>
              <w:jc w:val="center"/>
              <w:rPr>
                <w:rFonts w:hint="default" w:ascii="Times New Roman" w:hAnsi="Times New Roman" w:cs="Times New Roman"/>
                <w:b/>
                <w:bCs/>
                <w:szCs w:val="21"/>
                <w:highlight w:val="none"/>
              </w:rPr>
            </w:pPr>
          </w:p>
        </w:tc>
        <w:tc>
          <w:tcPr>
            <w:tcW w:w="774"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20m</w:t>
            </w:r>
          </w:p>
        </w:tc>
        <w:tc>
          <w:tcPr>
            <w:tcW w:w="775"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40m</w:t>
            </w:r>
          </w:p>
        </w:tc>
        <w:tc>
          <w:tcPr>
            <w:tcW w:w="774"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60m</w:t>
            </w:r>
          </w:p>
        </w:tc>
        <w:tc>
          <w:tcPr>
            <w:tcW w:w="775"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80m</w:t>
            </w:r>
          </w:p>
        </w:tc>
        <w:tc>
          <w:tcPr>
            <w:tcW w:w="775"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100m</w:t>
            </w:r>
          </w:p>
        </w:tc>
        <w:tc>
          <w:tcPr>
            <w:tcW w:w="774"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150m</w:t>
            </w:r>
          </w:p>
        </w:tc>
        <w:tc>
          <w:tcPr>
            <w:tcW w:w="775"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200m</w:t>
            </w:r>
          </w:p>
        </w:tc>
        <w:tc>
          <w:tcPr>
            <w:tcW w:w="775" w:type="dxa"/>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250m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75"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土石方</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装载机</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73.0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66.9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63.4</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59.0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53.0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75" w:type="dxa"/>
            <w:vMerge w:val="continue"/>
            <w:vAlign w:val="center"/>
          </w:tcPr>
          <w:p>
            <w:pPr>
              <w:jc w:val="center"/>
              <w:rPr>
                <w:rFonts w:hint="default" w:ascii="Times New Roman" w:hAnsi="Times New Roman" w:cs="Times New Roman"/>
                <w:szCs w:val="21"/>
                <w:highlight w:val="none"/>
              </w:rPr>
            </w:pP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挖掘机</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84</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72.0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65.9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62.4</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59.9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58.0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54.5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52.0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75" w:type="dxa"/>
            <w:vMerge w:val="continue"/>
            <w:vAlign w:val="center"/>
          </w:tcPr>
          <w:p>
            <w:pPr>
              <w:jc w:val="center"/>
              <w:rPr>
                <w:rFonts w:hint="default" w:ascii="Times New Roman" w:hAnsi="Times New Roman" w:cs="Times New Roman"/>
                <w:szCs w:val="21"/>
                <w:highlight w:val="none"/>
              </w:rPr>
            </w:pP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推土机</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86</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74.0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67.9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64.4</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61.9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56.5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54.0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75" w:type="dxa"/>
            <w:vMerge w:val="continue"/>
            <w:vAlign w:val="center"/>
          </w:tcPr>
          <w:p>
            <w:pPr>
              <w:jc w:val="center"/>
              <w:rPr>
                <w:rFonts w:hint="default" w:ascii="Times New Roman" w:hAnsi="Times New Roman" w:cs="Times New Roman"/>
                <w:szCs w:val="21"/>
                <w:highlight w:val="none"/>
              </w:rPr>
            </w:pP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w w:val="99"/>
                <w:szCs w:val="21"/>
                <w:highlight w:val="none"/>
              </w:rPr>
              <w:t>汽车</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63.0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56.9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53.4</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49.0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45.5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43.0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75" w:type="dxa"/>
            <w:vMerge w:val="continue"/>
            <w:vAlign w:val="center"/>
          </w:tcPr>
          <w:p>
            <w:pPr>
              <w:jc w:val="center"/>
              <w:rPr>
                <w:rFonts w:hint="default" w:ascii="Times New Roman" w:hAnsi="Times New Roman" w:cs="Times New Roman"/>
                <w:szCs w:val="21"/>
                <w:highlight w:val="none"/>
              </w:rPr>
            </w:pP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叠加</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76.54</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70.4</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66.9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64.4</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62.5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59.0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56.5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75"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结构施工</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振捣机</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73.0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66.9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63.4</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59.0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53.0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75" w:type="dxa"/>
            <w:vMerge w:val="continue"/>
            <w:vAlign w:val="center"/>
          </w:tcPr>
          <w:p>
            <w:pPr>
              <w:jc w:val="center"/>
              <w:rPr>
                <w:rFonts w:hint="default" w:ascii="Times New Roman" w:hAnsi="Times New Roman" w:cs="Times New Roman"/>
                <w:szCs w:val="21"/>
                <w:highlight w:val="none"/>
              </w:rPr>
            </w:pP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搅拌机</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87</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75.0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68.9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65.4</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62.9</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61.0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57.5</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55.0</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75" w:type="dxa"/>
            <w:vMerge w:val="continue"/>
            <w:vAlign w:val="center"/>
          </w:tcPr>
          <w:p>
            <w:pPr>
              <w:jc w:val="center"/>
              <w:rPr>
                <w:rFonts w:hint="default" w:ascii="Times New Roman" w:hAnsi="Times New Roman" w:cs="Times New Roman"/>
                <w:szCs w:val="21"/>
                <w:highlight w:val="none"/>
              </w:rPr>
            </w:pP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叠加</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77.1</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71.0</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67.5</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65.0</w:t>
            </w:r>
          </w:p>
        </w:tc>
        <w:tc>
          <w:tcPr>
            <w:tcW w:w="774"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63.1</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59.6</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57.1</w:t>
            </w:r>
          </w:p>
        </w:tc>
        <w:tc>
          <w:tcPr>
            <w:tcW w:w="775"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55.1</w:t>
            </w:r>
          </w:p>
        </w:tc>
      </w:tr>
    </w:tbl>
    <w:p>
      <w:pPr>
        <w:rPr>
          <w:rFonts w:hint="default" w:ascii="Times New Roman" w:hAnsi="Times New Roman" w:cs="Times New Roman"/>
          <w:highlight w:val="none"/>
        </w:rPr>
      </w:pPr>
    </w:p>
    <w:p>
      <w:pPr>
        <w:spacing w:line="20" w:lineRule="exac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mc:AlternateContent>
          <mc:Choice Requires="wps">
            <w:drawing>
              <wp:anchor distT="0" distB="0" distL="114300" distR="114300" simplePos="0" relativeHeight="251681792" behindDoc="1" locked="0" layoutInCell="0" allowOverlap="1">
                <wp:simplePos x="0" y="0"/>
                <wp:positionH relativeFrom="column">
                  <wp:posOffset>149225</wp:posOffset>
                </wp:positionH>
                <wp:positionV relativeFrom="paragraph">
                  <wp:posOffset>-2566035</wp:posOffset>
                </wp:positionV>
                <wp:extent cx="12065" cy="12065"/>
                <wp:effectExtent l="0" t="0" r="0" b="0"/>
                <wp:wrapNone/>
                <wp:docPr id="144" name="Shape 144"/>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144" o:spid="_x0000_s1026" o:spt="1" style="position:absolute;left:0pt;margin-left:11.75pt;margin-top:-202.05pt;height:0.95pt;width:0.95pt;z-index:-251634688;mso-width-relative:page;mso-height-relative:page;" fillcolor="#000000" filled="t" stroked="f" coordsize="21600,21600" o:allowincell="f" o:gfxdata="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">
                <v:fill on="t" focussize="0,0"/>
                <v:stroke on="f"/>
                <v:imagedata o:title=""/>
                <o:lock v:ext="edit" aspectratio="f"/>
              </v:rect>
            </w:pict>
          </mc:Fallback>
        </mc:AlternateContent>
      </w:r>
      <w:r>
        <w:rPr>
          <w:rFonts w:hint="default" w:ascii="Times New Roman" w:hAnsi="Times New Roman" w:cs="Times New Roman"/>
          <w:sz w:val="20"/>
          <w:szCs w:val="20"/>
          <w:highlight w:val="none"/>
        </w:rPr>
        <mc:AlternateContent>
          <mc:Choice Requires="wps">
            <w:drawing>
              <wp:anchor distT="0" distB="0" distL="114300" distR="114300" simplePos="0" relativeHeight="251682816" behindDoc="1" locked="0" layoutInCell="0" allowOverlap="1">
                <wp:simplePos x="0" y="0"/>
                <wp:positionH relativeFrom="column">
                  <wp:posOffset>581025</wp:posOffset>
                </wp:positionH>
                <wp:positionV relativeFrom="paragraph">
                  <wp:posOffset>-2566035</wp:posOffset>
                </wp:positionV>
                <wp:extent cx="12700" cy="12065"/>
                <wp:effectExtent l="0" t="0" r="0" b="0"/>
                <wp:wrapNone/>
                <wp:docPr id="145" name="Shape 145"/>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145" o:spid="_x0000_s1026" o:spt="1" style="position:absolute;left:0pt;margin-left:45.75pt;margin-top:-202.05pt;height:0.95pt;width:1pt;z-index:-251633664;mso-width-relative:page;mso-height-relative:page;" fillcolor="#000000" filled="t" stroked="f" coordsize="21600,21600" o:allowincell="f" o:gfxdata="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ChL2pPZAAAA&#10;CwEAAA8AAAAAAAAAAQAgAAAAIgAAAGRycy9kb3ducmV2LnhtbFBLAQIUABQAAAAIAIdO4kC13sBC&#10;cQEAAO0CAAAOAAAAAAAAAAEAIAAAACgBAABkcnMvZTJvRG9jLnhtbFBLBQYAAAAABgAGAFkBAAAL&#10;BQAAAAA=&#10;">
                <v:fill on="t" focussize="0,0"/>
                <v:stroke on="f"/>
                <v:imagedata o:title=""/>
                <o:lock v:ext="edit" aspectratio="f"/>
              </v:rect>
            </w:pict>
          </mc:Fallback>
        </mc:AlternateContent>
      </w:r>
      <w:r>
        <w:rPr>
          <w:rFonts w:hint="default" w:ascii="Times New Roman" w:hAnsi="Times New Roman" w:cs="Times New Roman"/>
          <w:sz w:val="20"/>
          <w:szCs w:val="20"/>
          <w:highlight w:val="none"/>
        </w:rPr>
        <mc:AlternateContent>
          <mc:Choice Requires="wps">
            <w:drawing>
              <wp:anchor distT="0" distB="0" distL="114300" distR="114300" simplePos="0" relativeHeight="251683840" behindDoc="1" locked="0" layoutInCell="0" allowOverlap="1">
                <wp:simplePos x="0" y="0"/>
                <wp:positionH relativeFrom="column">
                  <wp:posOffset>1297940</wp:posOffset>
                </wp:positionH>
                <wp:positionV relativeFrom="paragraph">
                  <wp:posOffset>-2566035</wp:posOffset>
                </wp:positionV>
                <wp:extent cx="12700" cy="12065"/>
                <wp:effectExtent l="0" t="0" r="0" b="0"/>
                <wp:wrapNone/>
                <wp:docPr id="146" name="Shape 146"/>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146" o:spid="_x0000_s1026" o:spt="1" style="position:absolute;left:0pt;margin-left:102.2pt;margin-top:-202.05pt;height:0.95pt;width:1pt;z-index:-251632640;mso-width-relative:page;mso-height-relative:page;" fillcolor="#000000" filled="t" stroked="f" coordsize="21600,21600" o:allowincell="f" o:gfxdata="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AAAAAZHJzL1BLAQIUABQAAAAIAIdO4kDx4yJP2QAA&#10;AA0BAAAPAAAAAAAAAAEAIAAAACIAAABkcnMvZG93bnJldi54bWxQSwECFAAUAAAACACHTuJA0kpn&#10;RXIBAADtAgAADgAAAAAAAAABACAAAAAoAQAAZHJzL2Uyb0RvYy54bWxQSwUGAAAAAAYABgBZAQAA&#10;DAUAAAAA&#10;">
                <v:fill on="t" focussize="0,0"/>
                <v:stroke on="f"/>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施工场界环境噪声排放标准》，250m 处能达到夜间标准要求。本项目 200m 范围内无敏感目标分布，施工期不会对其产生噪声影响。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（3）减缓措施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为减少施工噪声对周围环境及敏感点的影响，评价要求采取如下减缓措施：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①选用低噪声设备，注意保养和正确操作高噪声机械，使施工机械的噪声维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持在最低声级水平；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②建设期间应合理布置施工现场，高噪设备布置在距北厂界较远的地方；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③尽量避免多台施工机械同时作业；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④使用商品混凝土，现场不进行混凝土搅拌作业；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⑤靠近敏感点的一侧厂界设置临时隔声屏障；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⑥中午及夜间不施工；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⑦施工单位做好车辆的维修保养工作，限制车速，使车辆的噪声级维持在较低水平，并限制车辆在施工场地附近行驶时鸣笛。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采取以上措施后，项目夜间不施工，夜间对声环境无影响；昼间项目在敏感点居民住宅处噪声贡献值可削减15dB(A)以上，施工阶段噪声在该敏感点处的昼间贡献值为47.5~48.1dB(A)，满足 1 类区标准要求，对其影响较小。</w:t>
      </w:r>
    </w:p>
    <w:p>
      <w:pPr>
        <w:spacing w:before="120" w:beforeLines="50" w:after="120" w:afterLines="50" w:line="360" w:lineRule="auto"/>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4.1.2大气环境影响分析</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施工期间大气污染主要来自建筑施工产生的扬尘和施工机械废气。</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（1）扬尘产生源分析</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施工期扬尘产声源主要有：场地清理、土方挖掘扬尘及现场堆放扬尘；建筑材料（土、水泥、砂子、砖等）的运输、现场装卸、搬运及堆放扬尘；车辆行驶造成的道路扬尘。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1）输车辆扬尘分析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据有关调查显示，施工工地的扬尘主要是由运输车辆的行驶产生，约占扬尘总量的 60%，在完全干燥情况下，可按下列经验公式计算：</w:t>
      </w:r>
    </w:p>
    <w:p>
      <w:pPr>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114675" cy="17907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3114675" cy="17907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下表为一辆载重5t的卡车，通过一段长度为500ｍ的路面时，不同路面清洁程度、不同行驶速度情况下产生的扬尘量。由此可见，在同样路面清洁情况下，车速越快，扬尘量越大；而在同样车速情况下，路面清洁度越差，则扬尘量越大。</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表4-3 不同车速和地面清洁程度时的汽车扬尘 单位：kg/辆▪km</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9"/>
        <w:gridCol w:w="1118"/>
        <w:gridCol w:w="1119"/>
        <w:gridCol w:w="1119"/>
        <w:gridCol w:w="1119"/>
        <w:gridCol w:w="1119"/>
        <w:gridCol w:w="1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09" w:type="dxa"/>
            <w:tcBorders>
              <w:tl2br w:val="single" w:color="auto" w:sz="4" w:space="0"/>
            </w:tcBorders>
            <w:vAlign w:val="center"/>
          </w:tcPr>
          <w:p>
            <w:pPr>
              <w:ind w:firstLine="422" w:firstLineChars="20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路面粉尘量</w:t>
            </w:r>
          </w:p>
          <w:p>
            <w:pPr>
              <w:jc w:val="both"/>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车速km/h</w:t>
            </w:r>
          </w:p>
        </w:tc>
        <w:tc>
          <w:tcPr>
            <w:tcW w:w="1118"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0.1</w:t>
            </w:r>
          </w:p>
        </w:tc>
        <w:tc>
          <w:tcPr>
            <w:tcW w:w="1119"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0.2</w:t>
            </w:r>
          </w:p>
        </w:tc>
        <w:tc>
          <w:tcPr>
            <w:tcW w:w="1119"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0.3</w:t>
            </w:r>
          </w:p>
        </w:tc>
        <w:tc>
          <w:tcPr>
            <w:tcW w:w="1119"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0.4</w:t>
            </w:r>
          </w:p>
        </w:tc>
        <w:tc>
          <w:tcPr>
            <w:tcW w:w="1119"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0.5</w:t>
            </w:r>
          </w:p>
        </w:tc>
        <w:tc>
          <w:tcPr>
            <w:tcW w:w="1119"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0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p>
        </w:tc>
        <w:tc>
          <w:tcPr>
            <w:tcW w:w="1118"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0.0283</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0.0476</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0.0646</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0.0801</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0.0947</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0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c>
          <w:tcPr>
            <w:tcW w:w="1118"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0.0566</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0.0953</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0.1291</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0.1602</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0.1894</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0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1118"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0.0850</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0.1429</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0.1937</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0.2403</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0.2841</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0.4778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0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p>
        </w:tc>
        <w:tc>
          <w:tcPr>
            <w:tcW w:w="1118"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0.1133</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0.1905</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0.2583</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0.3204</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0.3788</w:t>
            </w:r>
          </w:p>
        </w:tc>
        <w:tc>
          <w:tcPr>
            <w:tcW w:w="111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0.6371</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如果在施工期间对车辆行驶的路面进行洒水抑尘，每天洒水 4～5 次，即可使扬尘减少 70%左右。表 4-4 为施工场地洒水抑尘的试验结果。结果表明，采取每天洒水 4～5 次进行抑尘，可有效地控制施工扬尘，将 TSP 污染距离缩小到 20m～50m 范围。</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表4-4  施工场地洒水抑尘实验效果</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6"/>
        <w:gridCol w:w="1244"/>
        <w:gridCol w:w="1420"/>
        <w:gridCol w:w="1420"/>
        <w:gridCol w:w="1421"/>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0" w:type="dxa"/>
            <w:gridSpan w:val="2"/>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距离</w:t>
            </w:r>
          </w:p>
        </w:tc>
        <w:tc>
          <w:tcPr>
            <w:tcW w:w="1420"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5m</w:t>
            </w:r>
          </w:p>
        </w:tc>
        <w:tc>
          <w:tcPr>
            <w:tcW w:w="1420"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20m</w:t>
            </w:r>
          </w:p>
        </w:tc>
        <w:tc>
          <w:tcPr>
            <w:tcW w:w="1421"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50m</w:t>
            </w:r>
          </w:p>
        </w:tc>
        <w:tc>
          <w:tcPr>
            <w:tcW w:w="1421"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100m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596" w:type="dxa"/>
            <w:vMerge w:val="restart"/>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TSP小时平均浓度mg/m³</w:t>
            </w:r>
          </w:p>
        </w:tc>
        <w:tc>
          <w:tcPr>
            <w:tcW w:w="1244"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不洒水</w:t>
            </w:r>
          </w:p>
        </w:tc>
        <w:tc>
          <w:tcPr>
            <w:tcW w:w="1420"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10.14</w:t>
            </w:r>
          </w:p>
        </w:tc>
        <w:tc>
          <w:tcPr>
            <w:tcW w:w="1420"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2.89</w:t>
            </w:r>
          </w:p>
        </w:tc>
        <w:tc>
          <w:tcPr>
            <w:tcW w:w="1421"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1.15</w:t>
            </w:r>
          </w:p>
        </w:tc>
        <w:tc>
          <w:tcPr>
            <w:tcW w:w="1421"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596" w:type="dxa"/>
            <w:vMerge w:val="continue"/>
            <w:vAlign w:val="center"/>
          </w:tcPr>
          <w:p>
            <w:pPr>
              <w:jc w:val="center"/>
              <w:rPr>
                <w:rFonts w:hint="default" w:ascii="Times New Roman" w:hAnsi="Times New Roman" w:cs="Times New Roman"/>
                <w:sz w:val="21"/>
                <w:szCs w:val="21"/>
                <w:highlight w:val="none"/>
              </w:rPr>
            </w:pPr>
          </w:p>
        </w:tc>
        <w:tc>
          <w:tcPr>
            <w:tcW w:w="1244"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洒水</w:t>
            </w:r>
          </w:p>
        </w:tc>
        <w:tc>
          <w:tcPr>
            <w:tcW w:w="1420"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2.01</w:t>
            </w:r>
          </w:p>
        </w:tc>
        <w:tc>
          <w:tcPr>
            <w:tcW w:w="1420"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1.40</w:t>
            </w:r>
          </w:p>
        </w:tc>
        <w:tc>
          <w:tcPr>
            <w:tcW w:w="1421"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0.67</w:t>
            </w:r>
          </w:p>
        </w:tc>
        <w:tc>
          <w:tcPr>
            <w:tcW w:w="1421"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0.60</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综合以上分析，限速行驶及保持路面清洁，同时适当洒水是减少汽车扬尘的有效手段。 </w:t>
      </w:r>
    </w:p>
    <w:p>
      <w:pPr>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②施工扬尘和施工材料堆放扬尘分析 </w:t>
      </w:r>
    </w:p>
    <w:p>
      <w:pPr>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扬尘主要为建筑垃圾、施工材料堆放时产生，和施工扬尘的另一种情况——露天堆场和裸露场地的风力扬尘一样，其扬尘量可按堆场起尘的经验公式计算：</w:t>
      </w:r>
      <w:r>
        <w:rPr>
          <w:rFonts w:hint="default" w:ascii="Times New Roman" w:hAnsi="Times New Roman" w:cs="Times New Roman"/>
          <w:highlight w:val="none"/>
        </w:rPr>
        <w:drawing>
          <wp:inline distT="0" distB="0" distL="0" distR="0">
            <wp:extent cx="2819400" cy="14192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2819400" cy="1419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由此可见，这类扬尘的主要特点是与风速和尘粒含水率有关。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因此，采取的环保措施是：产生的建筑垃圾及时清运，减少建材露天堆放的时间以及和保证尘粒一定的含水率（＞8%）。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（2）扬尘影响分析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尘粒在空气中的传播扩散情况与风速等气象条件有关，也与尘粒本身的沉降速度有关。以沙尘土为例，其沉降速度随粒径的增大而迅速增大。当粒径为250μm 时，沉降速度为 1.005m/s，因此当尘粒大于 250μm 时，主要影响范围在扬尘点下风向近距离范围内。施工现场的扬尘产生及扩散与施工现场条件、管理水平、机械化程度及施工季节、土质及天气等诸多因素有关，较难定量。本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评价采用类比法对施工场地扬尘情况进行简要分析。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sz w:val="24"/>
          <w:szCs w:val="24"/>
          <w:highlight w:val="none"/>
        </w:rPr>
        <w:t>表 4-5 为北京环科院对 7 个建筑施工工地的扬尘情况进行的测定结果，测定时风速为2.4m/s。</w:t>
      </w:r>
      <w:r>
        <w:rPr>
          <w:rFonts w:hint="default" w:ascii="Times New Roman" w:hAnsi="Times New Roman" w:cs="Times New Roman"/>
          <w:color w:val="000000"/>
          <w:kern w:val="0"/>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表4-5 建筑施工扬尘污染情况 单位：μg/m³</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02"/>
        <w:gridCol w:w="1054"/>
        <w:gridCol w:w="1739"/>
        <w:gridCol w:w="1261"/>
        <w:gridCol w:w="1260"/>
        <w:gridCol w:w="1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2" w:type="dxa"/>
            <w:vMerge w:val="restart"/>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工程名称</w:t>
            </w:r>
          </w:p>
        </w:tc>
        <w:tc>
          <w:tcPr>
            <w:tcW w:w="1054" w:type="dxa"/>
            <w:vMerge w:val="restart"/>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工地内</w:t>
            </w:r>
          </w:p>
        </w:tc>
        <w:tc>
          <w:tcPr>
            <w:tcW w:w="1739" w:type="dxa"/>
            <w:vMerge w:val="restart"/>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工地上风向50m</w:t>
            </w:r>
          </w:p>
        </w:tc>
        <w:tc>
          <w:tcPr>
            <w:tcW w:w="3527" w:type="dxa"/>
            <w:gridSpan w:val="3"/>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工地下风向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2" w:type="dxa"/>
            <w:vMerge w:val="continue"/>
            <w:vAlign w:val="center"/>
          </w:tcPr>
          <w:p>
            <w:pPr>
              <w:jc w:val="center"/>
              <w:rPr>
                <w:rFonts w:hint="default" w:ascii="Times New Roman" w:hAnsi="Times New Roman" w:cs="Times New Roman"/>
                <w:b/>
                <w:bCs/>
                <w:sz w:val="21"/>
                <w:szCs w:val="21"/>
                <w:highlight w:val="none"/>
              </w:rPr>
            </w:pPr>
          </w:p>
        </w:tc>
        <w:tc>
          <w:tcPr>
            <w:tcW w:w="1054" w:type="dxa"/>
            <w:vMerge w:val="continue"/>
            <w:vAlign w:val="center"/>
          </w:tcPr>
          <w:p>
            <w:pPr>
              <w:jc w:val="center"/>
              <w:rPr>
                <w:rFonts w:hint="default" w:ascii="Times New Roman" w:hAnsi="Times New Roman" w:cs="Times New Roman"/>
                <w:b/>
                <w:bCs/>
                <w:sz w:val="21"/>
                <w:szCs w:val="21"/>
                <w:highlight w:val="none"/>
              </w:rPr>
            </w:pPr>
          </w:p>
        </w:tc>
        <w:tc>
          <w:tcPr>
            <w:tcW w:w="1739" w:type="dxa"/>
            <w:vMerge w:val="continue"/>
            <w:vAlign w:val="center"/>
          </w:tcPr>
          <w:p>
            <w:pPr>
              <w:jc w:val="center"/>
              <w:rPr>
                <w:rFonts w:hint="default" w:ascii="Times New Roman" w:hAnsi="Times New Roman" w:cs="Times New Roman"/>
                <w:b/>
                <w:bCs/>
                <w:sz w:val="21"/>
                <w:szCs w:val="21"/>
                <w:highlight w:val="none"/>
              </w:rPr>
            </w:pPr>
          </w:p>
        </w:tc>
        <w:tc>
          <w:tcPr>
            <w:tcW w:w="1261"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50m</w:t>
            </w:r>
          </w:p>
        </w:tc>
        <w:tc>
          <w:tcPr>
            <w:tcW w:w="1260"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100m</w:t>
            </w:r>
          </w:p>
        </w:tc>
        <w:tc>
          <w:tcPr>
            <w:tcW w:w="1006"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150m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2"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color w:val="000000"/>
                <w:sz w:val="21"/>
                <w:szCs w:val="21"/>
                <w:highlight w:val="none"/>
              </w:rPr>
              <w:t>侨办工地</w:t>
            </w:r>
          </w:p>
        </w:tc>
        <w:tc>
          <w:tcPr>
            <w:tcW w:w="1054"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759</w:t>
            </w:r>
          </w:p>
        </w:tc>
        <w:tc>
          <w:tcPr>
            <w:tcW w:w="173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328</w:t>
            </w:r>
          </w:p>
        </w:tc>
        <w:tc>
          <w:tcPr>
            <w:tcW w:w="1261"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502</w:t>
            </w:r>
          </w:p>
        </w:tc>
        <w:tc>
          <w:tcPr>
            <w:tcW w:w="1260"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367</w:t>
            </w:r>
          </w:p>
        </w:tc>
        <w:tc>
          <w:tcPr>
            <w:tcW w:w="1006"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2"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color w:val="000000"/>
                <w:sz w:val="21"/>
                <w:szCs w:val="21"/>
                <w:highlight w:val="none"/>
              </w:rPr>
              <w:t>金属材料总公司工地</w:t>
            </w:r>
          </w:p>
        </w:tc>
        <w:tc>
          <w:tcPr>
            <w:tcW w:w="1054"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618</w:t>
            </w:r>
          </w:p>
        </w:tc>
        <w:tc>
          <w:tcPr>
            <w:tcW w:w="173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325</w:t>
            </w:r>
          </w:p>
        </w:tc>
        <w:tc>
          <w:tcPr>
            <w:tcW w:w="1261"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472</w:t>
            </w:r>
          </w:p>
        </w:tc>
        <w:tc>
          <w:tcPr>
            <w:tcW w:w="1260"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356</w:t>
            </w:r>
          </w:p>
        </w:tc>
        <w:tc>
          <w:tcPr>
            <w:tcW w:w="1006"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2"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color w:val="000000"/>
                <w:sz w:val="21"/>
                <w:szCs w:val="21"/>
                <w:highlight w:val="none"/>
              </w:rPr>
              <w:t>广播电视部工地</w:t>
            </w:r>
          </w:p>
        </w:tc>
        <w:tc>
          <w:tcPr>
            <w:tcW w:w="1054"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596</w:t>
            </w:r>
          </w:p>
        </w:tc>
        <w:tc>
          <w:tcPr>
            <w:tcW w:w="173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311</w:t>
            </w:r>
          </w:p>
        </w:tc>
        <w:tc>
          <w:tcPr>
            <w:tcW w:w="1261"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434</w:t>
            </w:r>
          </w:p>
        </w:tc>
        <w:tc>
          <w:tcPr>
            <w:tcW w:w="1260"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376</w:t>
            </w:r>
          </w:p>
        </w:tc>
        <w:tc>
          <w:tcPr>
            <w:tcW w:w="1006"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2"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color w:val="000000"/>
                <w:sz w:val="21"/>
                <w:szCs w:val="21"/>
                <w:highlight w:val="none"/>
              </w:rPr>
              <w:t>劲松小区 5#、11#、12#楼工地</w:t>
            </w:r>
          </w:p>
        </w:tc>
        <w:tc>
          <w:tcPr>
            <w:tcW w:w="1054"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5#509</w:t>
            </w:r>
          </w:p>
        </w:tc>
        <w:tc>
          <w:tcPr>
            <w:tcW w:w="173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303</w:t>
            </w:r>
          </w:p>
        </w:tc>
        <w:tc>
          <w:tcPr>
            <w:tcW w:w="1261"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11#538</w:t>
            </w:r>
          </w:p>
        </w:tc>
        <w:tc>
          <w:tcPr>
            <w:tcW w:w="1260"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12#465</w:t>
            </w:r>
          </w:p>
        </w:tc>
        <w:tc>
          <w:tcPr>
            <w:tcW w:w="1006"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2"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平均值</w:t>
            </w:r>
          </w:p>
        </w:tc>
        <w:tc>
          <w:tcPr>
            <w:tcW w:w="1054"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620.5</w:t>
            </w:r>
          </w:p>
        </w:tc>
        <w:tc>
          <w:tcPr>
            <w:tcW w:w="1739"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316.7</w:t>
            </w:r>
          </w:p>
        </w:tc>
        <w:tc>
          <w:tcPr>
            <w:tcW w:w="1261"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486.5</w:t>
            </w:r>
          </w:p>
        </w:tc>
        <w:tc>
          <w:tcPr>
            <w:tcW w:w="1260"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390</w:t>
            </w:r>
          </w:p>
        </w:tc>
        <w:tc>
          <w:tcPr>
            <w:tcW w:w="1006"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322</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从以上数据可以看出：当风速为 2.4m/s 时，工地内 TSP 浓度是上风向对照点的 1.5～2.3 倍，平均 1.88 倍，污染浓度较高。建筑施工扬尘主要影响范围在下风向 150m 之内，被影响地区的 TSP 浓度平均值为 491μg/m3，为上风向对照点的 1.5 倍。在施工现场 150m 外，施工扬尘对环境影响已很小。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其它相关的施工现场类比调查资料也表明，小风静风天气作业时，距源 110m 左右处，TSP 日平均浓度为 0.04～0.26mg/m3，对远距离环境影响不大，主要影响运输沿线、堆场及作业区周围环境。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对本工程而言，项目施工区距离居民敏感点大于 130m，施工期粉尘对其影响较小，而施工期是暂时的，并且施工单位将采取相应的洒水抑尘、设置围挡等措施，施工期所带来的环境影响会随着建设施工进度完成而消失。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（3）扬尘影响的减缓措施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为控制上述无组织排放源对附近环境空气及敏感点的影响，建设单位要严格按照《中共秦皇岛市委秦皇岛市人民政府关于强力推进大气污染综合治理的实施意见》（秦发[2017]5 号）要求，严格执行《河北省建筑施工扬尘防治强化措施 18 条》（冀建安〔2016〕27 号），采取以下措施控制扬尘污染：必须在施工现场出入口明显位置设置扬尘防治公示牌，内容包括建设、施工、监理及监管等单位名称、扬尘防治负责人的名称、联系电话、举报电话等；施工现场必须连续设置硬质围挡，围挡应坚固、美观，严禁围挡不严或敞开式施工，高度不低于1.8 米；施工现场出入口和场内施工道路、材料加工堆放区、办公区、生活区必须采用混凝土硬化或用硬质砌块铺设，硬化后的地面应清扫整洁无浮土、积土，严禁使用其他软质材料铺设；施工现场出入口必须配备车辆冲洗设施，设置排水、泥浆沉淀池等设施，建立冲洗制度并设专人管理，严禁车辆带泥上路，收集的冲洗废水经沉淀后回用或用作道路喷洒用水；施工现场出入口、加工区和主作业区等处必须安装视频监控系统，对施工扬尘实时监控；施工现场集中堆放的土方和裸露场地必须采取覆盖、固化或绿化等防尘措施，严禁裸露；施工现场易飞扬的细颗粒建筑材料必须密闭存放或严密覆盖，严禁露天放置，搬运时应有降尘措施，余料及时回收；施工现场必须使用商品混凝土、预拌砂浆，严禁现场搅拌；施工现场运送土方、渣土的车辆必须封闭或遮盖严密，严禁使用未办理相关手续的渣土等运输车辆，严禁沿路遗撒和随意倾倒；建筑物内应保持干净整洁，清扫垃圾时要洒水抑尘，严禁焚烧垃圾；施工现场的建筑垃圾设置垃圾存放点,集中堆放并严密覆盖，及时清运；生活垃圾应用封闭式容器存放，日产日清，严禁随意丢弃，统一由环卫部门清运处理；施工现场建立洒水清扫抑尘制度，配备洒水设备，非冰冻期每天洒水不少于 2 次，并有专人负责，重污染天气时相应增加洒水频次；建筑工程主体外侧脚手架及临边防护栏杆必须使用符合标准的密目式安全网封闭施工，并保持整洁、牢固、无破损；遇有 4 级以上大风或重污染天气预警时，必须采取扬尘防治应急措施，严禁土方开挖、土方回填、材料切割、金属焊接、喷涂或其他有可能产生扬尘的作业；建设单位必须组织相关单位做好绿化施工阶段的扬尘防治工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项目采取以上措施后，可有效地抑制扬尘的产生，满足《大气污染物综合排放标准》（GB16297—1996）表 2 无组织排放限值要求，对周边地区及敏感点环境空气质量影响较小。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4.1.3 废水影响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施工过程中有施工废水和生活污水产生。施工废水主要产生于施工机械设备和车辆的冲洗。废水中主要污染物为 SS，经收集沉淀后用于喷洒施工场地和道路，对环境影响较小。混凝土拌合和养护时消耗的水全部蒸发损耗掉，无废水排出。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施工现场设旱厕，不设食堂，故施工时产生的污水主要为施工人员盥洗水，污水量不大，主要污染物为 SS，直接就地泼洒抑尘，对环境影响较小。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4.1.4 固体废物影响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施工现场产生的固体废物主要是建筑垃圾和生活垃圾。建筑垃圾如废砂石料、弃土、清理现场杂物等，建筑垃圾产生量按照每 1m</w:t>
      </w:r>
      <w:r>
        <w:rPr>
          <w:rFonts w:hint="default" w:ascii="Times New Roman" w:hAnsi="Times New Roman" w:cs="Times New Roman"/>
          <w:sz w:val="24"/>
          <w:szCs w:val="24"/>
          <w:highlight w:val="none"/>
          <w:vertAlign w:val="superscript"/>
        </w:rPr>
        <w:t>2</w:t>
      </w:r>
      <w:r>
        <w:rPr>
          <w:rFonts w:hint="default" w:ascii="Times New Roman" w:hAnsi="Times New Roman" w:cs="Times New Roman"/>
          <w:sz w:val="24"/>
          <w:szCs w:val="24"/>
          <w:highlight w:val="none"/>
        </w:rPr>
        <w:t xml:space="preserve">建筑面积产生 1.5kg 的垃圾计算，则建筑垃圾产生量约为 40.5t，属无毒无害垃圾，及时组织人员清除，按政府指定路线运至政府指定地点处理，对环境影响较小。建筑垃圾及时清运，运输时采用蓬布遮盖，避免沿途洒落，施工固废对环境影响较小。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施工期的生活垃圾量很小，但如不及时清理，在气温较高的条件下会滋生蚊虫，产生恶臭，传播疾病。因此，对施工期产生的生活垃圾要即产即清，及时清运到指定地点交由环卫部门送至生活垃圾填埋场填埋处理，则施工期的生活垃圾对环境影响较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sz w:val="24"/>
          <w:szCs w:val="24"/>
          <w:highlight w:val="none"/>
        </w:rPr>
        <w:t>此外，评价要求项目施工期间进行施工期监理，施工期明确落实各分区防渗措施及防渗效果。</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13" w:name="_Toc20224"/>
      <w:r>
        <w:rPr>
          <w:rFonts w:hint="default" w:ascii="Times New Roman" w:hAnsi="Times New Roman" w:eastAsia="黑体" w:cs="Times New Roman"/>
          <w:bCs/>
          <w:sz w:val="30"/>
          <w:szCs w:val="30"/>
          <w:highlight w:val="none"/>
        </w:rPr>
        <w:t>4.2运营期环境影响预测与评价</w:t>
      </w:r>
      <w:bookmarkEnd w:id="113"/>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4.2.1大气环境影响分析与评价</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4.2.1.1 地面气象资料分析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（1）污染气象特征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评价收集秦皇岛市气象站近5年的常规气象资料和近30年的气候资料，整理统计地面风向、风速、稳定度，编制联合频率表，绘制风向、风速、污染系数玫瑰图，并分析评价区污染气象特征。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风向、风速污染物在风的制约下向源的下风向输送并扩散，风向频率的大小反映了下风区域污染时间的长短。市气象站近3年的常规气象资料统计表明，</w:t>
      </w:r>
      <w:r>
        <w:rPr>
          <w:rFonts w:hint="default" w:ascii="Times New Roman" w:hAnsi="Times New Roman" w:cs="Times New Roman"/>
          <w:sz w:val="24"/>
          <w:szCs w:val="24"/>
          <w:highlight w:val="green"/>
        </w:rPr>
        <w:t>秦皇岛常年盛行SW和W风</w:t>
      </w:r>
      <w:r>
        <w:rPr>
          <w:rFonts w:hint="default" w:ascii="Times New Roman" w:hAnsi="Times New Roman" w:cs="Times New Roman"/>
          <w:sz w:val="24"/>
          <w:szCs w:val="24"/>
          <w:highlight w:val="none"/>
        </w:rPr>
        <w:t>，频率分别为9.49%和8.31%。SSE风频最低，频率为3.5%。年及各季代表月的风向频率见表4-1和图4-1。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sz w:val="24"/>
          <w:szCs w:val="24"/>
          <w:highlight w:val="none"/>
        </w:rPr>
        <w:t>各季节的主导风向频率有所不同，冬季（代表月1月）主导风向为W风和N风，其风频分别为10.84%和9.39%，春季（代表月4月）主导风向为SSW风和SW风，其频率分别为13.83%和12.17%，夏季（代表月7月）主导风向为SW和S风，频率分别为12.26%和11.45%，秋季（代表月10月）主导风向为W风和WSW风，其频率分别为12.32%和10.7%。</w:t>
      </w:r>
    </w:p>
    <w:p>
      <w:pPr>
        <w:adjustRightInd w:val="0"/>
        <w:snapToGrid w:val="0"/>
        <w:spacing w:line="360" w:lineRule="auto"/>
        <w:ind w:firstLine="480" w:firstLineChars="200"/>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pict>
          <v:shape id="对象 1893" o:spid="_x0000_s4097" o:spt="75" type="#_x0000_t75" style="position:absolute;left:0pt;margin-left:119.85pt;margin-top:82.35pt;height:520.5pt;width:355.5pt;mso-position-horizontal-relative:page;mso-position-vertical-relative:page;z-index:251669504;mso-width-relative:page;mso-height-relative:page;" o:ole="t" filled="f" o:preferrelative="t" stroked="f" coordsize="21600,21600">
            <v:path/>
            <v:fill on="f" focussize="0,0"/>
            <v:stroke on="f" joinstyle="miter"/>
            <v:imagedata r:id="rId33" o:title=""/>
            <o:lock v:ext="edit" aspectratio="t"/>
          </v:shape>
          <o:OLEObject Type="Embed" ProgID="Word.Picture.8" ShapeID="对象 1893" DrawAspect="Content" ObjectID="_1468075733" r:id="rId32">
            <o:LockedField>false</o:LockedField>
          </o:OLEObject>
        </w:pict>
      </w:r>
    </w:p>
    <w:p>
      <w:pPr>
        <w:pStyle w:val="383"/>
        <w:adjustRightInd w:val="0"/>
        <w:snapToGrid w:val="0"/>
        <w:spacing w:line="360" w:lineRule="auto"/>
        <w:ind w:left="840" w:firstLine="0" w:firstLineChars="0"/>
        <w:rPr>
          <w:rFonts w:hint="default" w:ascii="Times New Roman" w:hAnsi="Times New Roman" w:cs="Times New Roman"/>
          <w:snapToGrid w:val="0"/>
          <w:sz w:val="24"/>
          <w:szCs w:val="25"/>
          <w:highlight w:val="none"/>
        </w:rPr>
      </w:pPr>
    </w:p>
    <w:p>
      <w:pPr>
        <w:pStyle w:val="383"/>
        <w:adjustRightInd w:val="0"/>
        <w:snapToGrid w:val="0"/>
        <w:spacing w:line="360" w:lineRule="auto"/>
        <w:ind w:left="840" w:firstLine="0" w:firstLineChars="0"/>
        <w:rPr>
          <w:rFonts w:hint="default" w:ascii="Times New Roman" w:hAnsi="Times New Roman" w:cs="Times New Roman"/>
          <w:snapToGrid w:val="0"/>
          <w:sz w:val="24"/>
          <w:szCs w:val="25"/>
          <w:highlight w:val="none"/>
        </w:rPr>
      </w:pPr>
    </w:p>
    <w:p>
      <w:pPr>
        <w:pStyle w:val="383"/>
        <w:adjustRightInd w:val="0"/>
        <w:snapToGrid w:val="0"/>
        <w:spacing w:line="360" w:lineRule="auto"/>
        <w:ind w:left="840" w:firstLine="0" w:firstLineChars="0"/>
        <w:rPr>
          <w:rFonts w:hint="default" w:ascii="Times New Roman" w:hAnsi="Times New Roman" w:cs="Times New Roman"/>
          <w:snapToGrid w:val="0"/>
          <w:sz w:val="24"/>
          <w:szCs w:val="25"/>
          <w:highlight w:val="none"/>
        </w:rPr>
      </w:pPr>
    </w:p>
    <w:p>
      <w:pPr>
        <w:pStyle w:val="383"/>
        <w:adjustRightInd w:val="0"/>
        <w:snapToGrid w:val="0"/>
        <w:spacing w:line="360" w:lineRule="auto"/>
        <w:ind w:left="840" w:firstLine="0" w:firstLineChars="0"/>
        <w:rPr>
          <w:rFonts w:hint="default" w:ascii="Times New Roman" w:hAnsi="Times New Roman" w:cs="Times New Roman"/>
          <w:snapToGrid w:val="0"/>
          <w:sz w:val="24"/>
          <w:szCs w:val="25"/>
          <w:highlight w:val="none"/>
        </w:rPr>
      </w:pPr>
    </w:p>
    <w:p>
      <w:pPr>
        <w:pStyle w:val="383"/>
        <w:adjustRightInd w:val="0"/>
        <w:snapToGrid w:val="0"/>
        <w:spacing w:line="360" w:lineRule="auto"/>
        <w:ind w:left="840" w:firstLine="0" w:firstLineChars="0"/>
        <w:rPr>
          <w:rFonts w:hint="default" w:ascii="Times New Roman" w:hAnsi="Times New Roman" w:cs="Times New Roman"/>
          <w:snapToGrid w:val="0"/>
          <w:sz w:val="24"/>
          <w:szCs w:val="25"/>
          <w:highlight w:val="none"/>
        </w:rPr>
      </w:pPr>
    </w:p>
    <w:p>
      <w:pPr>
        <w:pStyle w:val="383"/>
        <w:adjustRightInd w:val="0"/>
        <w:snapToGrid w:val="0"/>
        <w:spacing w:line="360" w:lineRule="auto"/>
        <w:ind w:left="840" w:firstLine="0" w:firstLineChars="0"/>
        <w:rPr>
          <w:rFonts w:hint="default" w:ascii="Times New Roman" w:hAnsi="Times New Roman" w:cs="Times New Roman"/>
          <w:snapToGrid w:val="0"/>
          <w:sz w:val="24"/>
          <w:szCs w:val="25"/>
          <w:highlight w:val="none"/>
        </w:rPr>
      </w:pPr>
    </w:p>
    <w:p>
      <w:pPr>
        <w:pStyle w:val="383"/>
        <w:adjustRightInd w:val="0"/>
        <w:snapToGrid w:val="0"/>
        <w:spacing w:line="360" w:lineRule="auto"/>
        <w:ind w:left="840" w:firstLine="0" w:firstLineChars="0"/>
        <w:rPr>
          <w:rFonts w:hint="default" w:ascii="Times New Roman" w:hAnsi="Times New Roman" w:cs="Times New Roman"/>
          <w:snapToGrid w:val="0"/>
          <w:sz w:val="24"/>
          <w:szCs w:val="25"/>
          <w:highlight w:val="none"/>
        </w:rPr>
      </w:pPr>
    </w:p>
    <w:p>
      <w:pPr>
        <w:pStyle w:val="383"/>
        <w:adjustRightInd w:val="0"/>
        <w:snapToGrid w:val="0"/>
        <w:spacing w:line="360" w:lineRule="auto"/>
        <w:ind w:left="840" w:firstLine="0" w:firstLineChars="0"/>
        <w:rPr>
          <w:rFonts w:hint="default" w:ascii="Times New Roman" w:hAnsi="Times New Roman" w:cs="Times New Roman"/>
          <w:snapToGrid w:val="0"/>
          <w:sz w:val="24"/>
          <w:szCs w:val="25"/>
          <w:highlight w:val="none"/>
        </w:rPr>
      </w:pPr>
    </w:p>
    <w:p>
      <w:pPr>
        <w:pStyle w:val="383"/>
        <w:adjustRightInd w:val="0"/>
        <w:snapToGrid w:val="0"/>
        <w:spacing w:line="360" w:lineRule="auto"/>
        <w:ind w:left="840" w:firstLine="0" w:firstLineChars="0"/>
        <w:rPr>
          <w:rFonts w:hint="default" w:ascii="Times New Roman" w:hAnsi="Times New Roman" w:cs="Times New Roman"/>
          <w:snapToGrid w:val="0"/>
          <w:sz w:val="24"/>
          <w:szCs w:val="25"/>
          <w:highlight w:val="none"/>
        </w:rPr>
      </w:pPr>
    </w:p>
    <w:p>
      <w:pPr>
        <w:pStyle w:val="383"/>
        <w:adjustRightInd w:val="0"/>
        <w:snapToGrid w:val="0"/>
        <w:spacing w:line="360" w:lineRule="auto"/>
        <w:ind w:left="840" w:firstLine="0" w:firstLineChars="0"/>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图4-1 风频玫瑰图</w:t>
      </w:r>
    </w:p>
    <w:p>
      <w:pPr>
        <w:adjustRightInd w:val="0"/>
        <w:snapToGrid w:val="0"/>
        <w:spacing w:line="360" w:lineRule="auto"/>
        <w:ind w:firstLine="480" w:firstLineChars="200"/>
        <w:rPr>
          <w:rFonts w:hint="default" w:ascii="Times New Roman" w:hAnsi="Times New Roman" w:cs="Times New Roman"/>
          <w:snapToGrid w:val="0"/>
          <w:sz w:val="24"/>
          <w:szCs w:val="25"/>
          <w:highlight w:val="none"/>
        </w:rPr>
      </w:pPr>
    </w:p>
    <w:p>
      <w:pPr>
        <w:pStyle w:val="709"/>
        <w:adjustRightInd w:val="0"/>
        <w:snapToGrid w:val="0"/>
        <w:ind w:firstLine="422"/>
        <w:rPr>
          <w:rFonts w:hint="default" w:ascii="Times New Roman" w:hAnsi="Times New Roman" w:cs="Times New Roman"/>
          <w:highlight w:val="none"/>
        </w:rPr>
      </w:pPr>
    </w:p>
    <w:p>
      <w:pPr>
        <w:pStyle w:val="709"/>
        <w:adjustRightInd w:val="0"/>
        <w:snapToGrid w:val="0"/>
        <w:ind w:firstLine="422"/>
        <w:rPr>
          <w:rFonts w:hint="default" w:ascii="Times New Roman" w:hAnsi="Times New Roman" w:cs="Times New Roman"/>
          <w:highlight w:val="none"/>
        </w:rPr>
      </w:pPr>
    </w:p>
    <w:p>
      <w:pPr>
        <w:pStyle w:val="709"/>
        <w:adjustRightInd w:val="0"/>
        <w:snapToGrid w:val="0"/>
        <w:ind w:firstLine="422"/>
        <w:rPr>
          <w:rFonts w:hint="default" w:ascii="Times New Roman" w:hAnsi="Times New Roman" w:cs="Times New Roman"/>
          <w:highlight w:val="none"/>
        </w:rPr>
      </w:pPr>
    </w:p>
    <w:p>
      <w:pPr>
        <w:pStyle w:val="709"/>
        <w:adjustRightInd w:val="0"/>
        <w:snapToGrid w:val="0"/>
        <w:ind w:firstLine="422"/>
        <w:rPr>
          <w:rFonts w:hint="default" w:ascii="Times New Roman" w:hAnsi="Times New Roman" w:cs="Times New Roman"/>
          <w:highlight w:val="none"/>
        </w:rPr>
      </w:pPr>
    </w:p>
    <w:p>
      <w:pPr>
        <w:pStyle w:val="709"/>
        <w:adjustRightInd w:val="0"/>
        <w:snapToGrid w:val="0"/>
        <w:ind w:firstLine="422"/>
        <w:rPr>
          <w:rFonts w:hint="default" w:ascii="Times New Roman" w:hAnsi="Times New Roman" w:cs="Times New Roman"/>
          <w:highlight w:val="none"/>
        </w:rPr>
      </w:pPr>
    </w:p>
    <w:p>
      <w:pPr>
        <w:pStyle w:val="709"/>
        <w:adjustRightInd w:val="0"/>
        <w:snapToGrid w:val="0"/>
        <w:ind w:firstLine="422"/>
        <w:rPr>
          <w:rFonts w:hint="default" w:ascii="Times New Roman" w:hAnsi="Times New Roman" w:cs="Times New Roman"/>
          <w:highlight w:val="none"/>
        </w:rPr>
      </w:pPr>
    </w:p>
    <w:p>
      <w:pPr>
        <w:pStyle w:val="709"/>
        <w:adjustRightInd w:val="0"/>
        <w:snapToGrid w:val="0"/>
        <w:ind w:firstLine="422"/>
        <w:rPr>
          <w:rFonts w:hint="default" w:ascii="Times New Roman" w:hAnsi="Times New Roman" w:cs="Times New Roman"/>
          <w:highlight w:val="none"/>
        </w:rPr>
      </w:pPr>
    </w:p>
    <w:p>
      <w:pPr>
        <w:pStyle w:val="709"/>
        <w:adjustRightInd w:val="0"/>
        <w:snapToGrid w:val="0"/>
        <w:ind w:firstLine="422"/>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表4-6各代表月风向频率统计结果表（%）</w:t>
      </w:r>
    </w:p>
    <w:tbl>
      <w:tblPr>
        <w:tblStyle w:val="8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37"/>
        <w:gridCol w:w="1456"/>
        <w:gridCol w:w="1457"/>
        <w:gridCol w:w="1457"/>
        <w:gridCol w:w="1457"/>
        <w:gridCol w:w="14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项目</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年</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1月</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4月</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7月</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10月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C</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3.91</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2.59</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1.67</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7.10</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N</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6.35</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9.39</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5.50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3.87</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NNE</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5.91</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6.96</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5.50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4.03</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7.13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NE</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4.73</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6.80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3.67</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5.65</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2.76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ENE</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6.58</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8.25</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7.17</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7.42</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E</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4.03</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4.85</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3.83</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5.48</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ESE</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3.67</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3.40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4.83</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5.16</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SE</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3.91</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3.72</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2.50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6.94</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2.43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SSE</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3.50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4.05</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4.00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4.03</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S</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6.76</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3.72</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6.50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11.45</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SSW</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7.82</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4.85</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13.83</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8.39</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SW</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9.49</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4.85</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12.17</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12.26</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8.75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WSW</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7.33</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6.80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8.00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3.87</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10.70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8.31</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10.84</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5.17</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4.84</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12.32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WNW</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5.34</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5.83</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5.50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2.26</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7.78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NW</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5.66</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6.15</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3.17</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3.87</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NNW</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6.76</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6.96</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7.00</w:t>
            </w:r>
          </w:p>
        </w:tc>
        <w:tc>
          <w:tcPr>
            <w:tcW w:w="1457"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3.39</w:t>
            </w:r>
          </w:p>
        </w:tc>
        <w:tc>
          <w:tcPr>
            <w:tcW w:w="1456"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9.72</w:t>
            </w:r>
          </w:p>
        </w:tc>
      </w:tr>
    </w:tbl>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②污染系数：</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cs="Times New Roman"/>
          <w:b/>
          <w:bCs/>
          <w:snapToGrid w:val="0"/>
          <w:sz w:val="24"/>
          <w:szCs w:val="25"/>
          <w:highlight w:val="none"/>
        </w:rPr>
      </w:pPr>
      <w:r>
        <w:rPr>
          <w:rFonts w:hint="default" w:ascii="Times New Roman" w:hAnsi="Times New Roman" w:cs="Times New Roman"/>
          <w:snapToGrid w:val="0"/>
          <w:sz w:val="24"/>
          <w:szCs w:val="25"/>
          <w:highlight w:val="none"/>
        </w:rPr>
        <w:t>污染物浓度与风速呈负相关趋势，即随风速增加而降低。年和各季、四个时刻的各方位风速的变化见下表、下图。</w:t>
      </w:r>
    </w:p>
    <w:p>
      <w:pPr>
        <w:pStyle w:val="709"/>
        <w:adjustRightInd w:val="0"/>
        <w:snapToGrid w:val="0"/>
        <w:ind w:firstLine="422"/>
        <w:rPr>
          <w:rFonts w:hint="default" w:ascii="Times New Roman" w:hAnsi="Times New Roman" w:cs="Times New Roman"/>
          <w:highlight w:val="none"/>
        </w:rPr>
      </w:pPr>
      <w:r>
        <w:rPr>
          <w:rFonts w:hint="default" w:ascii="Times New Roman" w:hAnsi="Times New Roman" w:cs="Times New Roman"/>
          <w:snapToGrid w:val="0"/>
          <w:sz w:val="24"/>
          <w:szCs w:val="25"/>
          <w:highlight w:val="none"/>
        </w:rPr>
        <w:object>
          <v:shape id="_x0000_i1032" o:spt="75" type="#_x0000_t75" style="height:573.75pt;width:336pt;" o:ole="t" filled="f" o:preferrelative="t" stroked="f" coordsize="21600,21600">
            <v:path/>
            <v:fill on="f" focussize="0,0"/>
            <v:stroke on="f" joinstyle="miter"/>
            <v:imagedata r:id="rId35" o:title=""/>
            <o:lock v:ext="edit" aspectratio="t"/>
            <w10:wrap type="none"/>
            <w10:anchorlock/>
          </v:shape>
          <o:OLEObject Type="Embed" ProgID="Word.Picture.8" ShapeID="_x0000_i1032" DrawAspect="Content" ObjectID="_1468075734" r:id="rId34">
            <o:LockedField>false</o:LockedField>
          </o:OLEObject>
        </w:object>
      </w:r>
    </w:p>
    <w:p>
      <w:pPr>
        <w:pStyle w:val="709"/>
        <w:adjustRightInd w:val="0"/>
        <w:snapToGrid w:val="0"/>
        <w:ind w:firstLine="422"/>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图4-2 风速玫瑰图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③稳定度是影响空气污染的重要因素之一。按 GB/T13201-91《制定地方大气污染物排放标准的技术方法》所推荐的稳定度分类方法，对其地面常规气象资料进行稳定度分类统计，各季稳定度频率见表 5.2-3。全年各季中均以稳定的 F 类为主，年出现频率为 33%。其次为中性天气 D 类稳定度，年出现频率为 25%。</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表4-7  各季稳定度频率一览表</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6"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项目</w:t>
            </w:r>
          </w:p>
        </w:tc>
        <w:tc>
          <w:tcPr>
            <w:tcW w:w="947"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AB</w:t>
            </w:r>
          </w:p>
        </w:tc>
        <w:tc>
          <w:tcPr>
            <w:tcW w:w="947"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B</w:t>
            </w:r>
          </w:p>
        </w:tc>
        <w:tc>
          <w:tcPr>
            <w:tcW w:w="947"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B-C</w:t>
            </w:r>
          </w:p>
        </w:tc>
        <w:tc>
          <w:tcPr>
            <w:tcW w:w="947"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C</w:t>
            </w:r>
          </w:p>
        </w:tc>
        <w:tc>
          <w:tcPr>
            <w:tcW w:w="947"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C-D</w:t>
            </w:r>
          </w:p>
        </w:tc>
        <w:tc>
          <w:tcPr>
            <w:tcW w:w="947"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D</w:t>
            </w:r>
          </w:p>
        </w:tc>
        <w:tc>
          <w:tcPr>
            <w:tcW w:w="947"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E</w:t>
            </w:r>
          </w:p>
        </w:tc>
        <w:tc>
          <w:tcPr>
            <w:tcW w:w="947" w:type="dxa"/>
            <w:vAlign w:val="center"/>
          </w:tcPr>
          <w:p>
            <w:pPr>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6"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春季</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0.14</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0.04</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0.09</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0.04</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0.27</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0.14</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6"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夏季</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0.06</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0.08</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0.08</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0.07</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0.02</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0.28</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0.10</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6"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秋季</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0.11</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0.04</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0.10</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0.23</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0.14</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6"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冬季</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0.12</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0.23</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0.22</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6"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平均值</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0.02</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0.09</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0.04</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0.09</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0.02</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0.25</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0.15</w:t>
            </w:r>
          </w:p>
        </w:tc>
        <w:tc>
          <w:tcPr>
            <w:tcW w:w="947" w:type="dxa"/>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0.33</w:t>
            </w:r>
          </w:p>
        </w:tc>
      </w:tr>
    </w:tbl>
    <w:p>
      <w:pPr>
        <w:keepNext w:val="0"/>
        <w:keepLines w:val="0"/>
        <w:pageBreakBefore w:val="0"/>
        <w:widowControl w:val="0"/>
        <w:kinsoku/>
        <w:wordWrap/>
        <w:overflowPunct/>
        <w:topLinePunct w:val="0"/>
        <w:autoSpaceDE/>
        <w:autoSpaceDN/>
        <w:bidi w:val="0"/>
        <w:adjustRightInd w:val="0"/>
        <w:snapToGrid w:val="0"/>
        <w:spacing w:before="0" w:beforeLines="50" w:line="48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综上所述，评价区环境空气多处于稳定及中性偏稳定状态，不利于大气污染物的扩散；常年盛行 SSW-WSW 风，其次为 NNE-ENE 风，年平均风速 1.95m/s，静风出现频率为 21%。</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4.2.1.2 评价因子和评价标准筛选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（1）评价因子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根据工程分析结果，项目大气污染物评价因子为：二氧化硫、氮氧化物、硫化氢、氨和臭气浓度。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（2）评价标准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颗粒物、二氧化硫、氮氧化物执行《环境空气质量标准》（GB3095-2012）及其修改单中二级标准。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H</w:t>
      </w:r>
      <w:r>
        <w:rPr>
          <w:rFonts w:hint="default" w:ascii="Times New Roman" w:hAnsi="Times New Roman" w:cs="Times New Roman"/>
          <w:snapToGrid w:val="0"/>
          <w:sz w:val="24"/>
          <w:szCs w:val="25"/>
          <w:highlight w:val="none"/>
          <w:vertAlign w:val="subscript"/>
        </w:rPr>
        <w:t>2</w:t>
      </w:r>
      <w:r>
        <w:rPr>
          <w:rFonts w:hint="default" w:ascii="Times New Roman" w:hAnsi="Times New Roman" w:cs="Times New Roman"/>
          <w:snapToGrid w:val="0"/>
          <w:sz w:val="24"/>
          <w:szCs w:val="25"/>
          <w:highlight w:val="none"/>
        </w:rPr>
        <w:t>S和NH</w:t>
      </w:r>
      <w:r>
        <w:rPr>
          <w:rFonts w:hint="default" w:ascii="Times New Roman" w:hAnsi="Times New Roman" w:cs="Times New Roman"/>
          <w:snapToGrid w:val="0"/>
          <w:sz w:val="24"/>
          <w:szCs w:val="25"/>
          <w:highlight w:val="none"/>
          <w:vertAlign w:val="subscript"/>
        </w:rPr>
        <w:t>3</w:t>
      </w:r>
      <w:r>
        <w:rPr>
          <w:rFonts w:hint="default" w:ascii="Times New Roman" w:hAnsi="Times New Roman" w:cs="Times New Roman"/>
          <w:snapToGrid w:val="0"/>
          <w:sz w:val="24"/>
          <w:szCs w:val="25"/>
          <w:highlight w:val="none"/>
        </w:rPr>
        <w:t>执行《环境影响评价技术导则 大气环境》HJ2.2-2018附录D中标准。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臭气浓度因无现行国家及地方环境质量标准，本次评价仅对其进行核算，不进行标准分析。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评价因子和评价标准情况见表4-8。</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表4-8 评价因子和评价标准情况表</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评价因子</w:t>
            </w:r>
          </w:p>
        </w:tc>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平均时段</w:t>
            </w:r>
          </w:p>
        </w:tc>
        <w:tc>
          <w:tcPr>
            <w:tcW w:w="2131"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标准值（μg/m</w:t>
            </w:r>
            <w:r>
              <w:rPr>
                <w:rFonts w:hint="default" w:ascii="Times New Roman" w:hAnsi="Times New Roman" w:cs="Times New Roman"/>
                <w:b/>
                <w:bCs/>
                <w:sz w:val="21"/>
                <w:szCs w:val="21"/>
                <w:highlight w:val="none"/>
                <w:vertAlign w:val="superscript"/>
              </w:rPr>
              <w:t>3</w:t>
            </w:r>
            <w:r>
              <w:rPr>
                <w:rFonts w:hint="default" w:ascii="Times New Roman" w:hAnsi="Times New Roman" w:cs="Times New Roman"/>
                <w:b/>
                <w:bCs/>
                <w:sz w:val="21"/>
                <w:szCs w:val="21"/>
                <w:highlight w:val="none"/>
              </w:rPr>
              <w:t>）</w:t>
            </w:r>
          </w:p>
        </w:tc>
        <w:tc>
          <w:tcPr>
            <w:tcW w:w="2131"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颗粒物（</w:t>
            </w:r>
            <w:r>
              <w:rPr>
                <w:rFonts w:hint="default" w:ascii="Times New Roman" w:hAnsi="Times New Roman" w:cs="Times New Roman"/>
                <w:sz w:val="21"/>
                <w:szCs w:val="21"/>
                <w:highlight w:val="none"/>
                <w:lang w:val="en-US" w:eastAsia="zh-CN"/>
              </w:rPr>
              <w:t>TSP</w:t>
            </w:r>
            <w:r>
              <w:rPr>
                <w:rFonts w:hint="default" w:ascii="Times New Roman" w:hAnsi="Times New Roman" w:cs="Times New Roman"/>
                <w:sz w:val="21"/>
                <w:szCs w:val="21"/>
                <w:highlight w:val="none"/>
                <w:lang w:eastAsia="zh-CN"/>
              </w:rPr>
              <w:t>）</w:t>
            </w:r>
          </w:p>
        </w:tc>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24小时平均</w:t>
            </w:r>
          </w:p>
        </w:tc>
        <w:tc>
          <w:tcPr>
            <w:tcW w:w="2131"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30</w:t>
            </w:r>
            <w:r>
              <w:rPr>
                <w:rFonts w:hint="default" w:ascii="Times New Roman" w:hAnsi="Times New Roman" w:cs="Times New Roman"/>
                <w:sz w:val="21"/>
                <w:szCs w:val="21"/>
                <w:highlight w:val="none"/>
              </w:rPr>
              <w:t>0</w:t>
            </w:r>
          </w:p>
        </w:tc>
        <w:tc>
          <w:tcPr>
            <w:tcW w:w="2131" w:type="dxa"/>
            <w:vMerge w:val="restart"/>
            <w:tcBorders>
              <w:top w:val="single" w:color="auto" w:sz="4" w:space="0"/>
              <w:left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《环境空气质量标准》（GB3095-2012）及其修改单中二级标准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颗粒物</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PM</w:t>
            </w:r>
            <w:r>
              <w:rPr>
                <w:rFonts w:hint="default" w:ascii="Times New Roman" w:hAnsi="Times New Roman" w:cs="Times New Roman"/>
                <w:sz w:val="21"/>
                <w:szCs w:val="21"/>
                <w:highlight w:val="none"/>
                <w:vertAlign w:val="subscript"/>
                <w:lang w:val="en-US" w:eastAsia="zh-CN"/>
              </w:rPr>
              <w:t>10</w:t>
            </w:r>
            <w:r>
              <w:rPr>
                <w:rFonts w:hint="default" w:ascii="Times New Roman" w:hAnsi="Times New Roman" w:cs="Times New Roman"/>
                <w:sz w:val="21"/>
                <w:szCs w:val="21"/>
                <w:highlight w:val="none"/>
                <w:lang w:eastAsia="zh-CN"/>
              </w:rPr>
              <w:t>）</w:t>
            </w:r>
          </w:p>
        </w:tc>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24小时平均</w:t>
            </w:r>
          </w:p>
        </w:tc>
        <w:tc>
          <w:tcPr>
            <w:tcW w:w="2131"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150</w:t>
            </w:r>
          </w:p>
        </w:tc>
        <w:tc>
          <w:tcPr>
            <w:tcW w:w="2131" w:type="dxa"/>
            <w:vMerge w:val="continue"/>
            <w:tcBorders>
              <w:left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二氧化硫</w:t>
            </w:r>
          </w:p>
        </w:tc>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1小时平均</w:t>
            </w:r>
          </w:p>
        </w:tc>
        <w:tc>
          <w:tcPr>
            <w:tcW w:w="2131"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500</w:t>
            </w:r>
          </w:p>
        </w:tc>
        <w:tc>
          <w:tcPr>
            <w:tcW w:w="2131" w:type="dxa"/>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氮氧化物</w:t>
            </w:r>
          </w:p>
        </w:tc>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1小时平均</w:t>
            </w:r>
          </w:p>
        </w:tc>
        <w:tc>
          <w:tcPr>
            <w:tcW w:w="2131"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c>
          <w:tcPr>
            <w:tcW w:w="2131"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NH</w:t>
            </w:r>
            <w:r>
              <w:rPr>
                <w:rFonts w:hint="default" w:ascii="Times New Roman" w:hAnsi="Times New Roman" w:cs="Times New Roman"/>
                <w:sz w:val="21"/>
                <w:szCs w:val="21"/>
                <w:highlight w:val="none"/>
                <w:vertAlign w:val="subscript"/>
              </w:rPr>
              <w:t>3</w:t>
            </w:r>
          </w:p>
        </w:tc>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1小时平均</w:t>
            </w:r>
          </w:p>
        </w:tc>
        <w:tc>
          <w:tcPr>
            <w:tcW w:w="2131"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200</w:t>
            </w:r>
          </w:p>
        </w:tc>
        <w:tc>
          <w:tcPr>
            <w:tcW w:w="2131" w:type="dxa"/>
            <w:vMerge w:val="restart"/>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《环境影响评价技术导则 大气环境》HJ2.2-2018附录D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w:t>
            </w:r>
            <w:r>
              <w:rPr>
                <w:rFonts w:hint="default" w:ascii="Times New Roman" w:hAnsi="Times New Roman" w:cs="Times New Roman"/>
                <w:sz w:val="21"/>
                <w:szCs w:val="21"/>
                <w:highlight w:val="none"/>
                <w:vertAlign w:val="subscript"/>
              </w:rPr>
              <w:t>2</w:t>
            </w:r>
            <w:r>
              <w:rPr>
                <w:rFonts w:hint="default" w:ascii="Times New Roman" w:hAnsi="Times New Roman" w:cs="Times New Roman"/>
                <w:sz w:val="21"/>
                <w:szCs w:val="21"/>
                <w:highlight w:val="none"/>
              </w:rPr>
              <w:t>S</w:t>
            </w:r>
          </w:p>
        </w:tc>
        <w:tc>
          <w:tcPr>
            <w:tcW w:w="2130"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1小时平均</w:t>
            </w:r>
          </w:p>
        </w:tc>
        <w:tc>
          <w:tcPr>
            <w:tcW w:w="2131"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c>
          <w:tcPr>
            <w:tcW w:w="213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21"/>
                <w:szCs w:val="21"/>
                <w:highlight w:val="none"/>
              </w:rPr>
            </w:pPr>
          </w:p>
        </w:tc>
      </w:tr>
    </w:tbl>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4.2.1.3 估算模式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估算模型采用《环境影响评价技术导则 大气环境》（HJ2.2-2018）中推荐的—AERSCREEN。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估算模型参数见下表。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表4-9 估算模式参数表</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2848"/>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2" w:type="dxa"/>
            <w:gridSpan w:val="2"/>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参数</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4" w:type="dxa"/>
            <w:vMerge w:val="restart"/>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城市/农村选项</w:t>
            </w:r>
          </w:p>
        </w:tc>
        <w:tc>
          <w:tcPr>
            <w:tcW w:w="2848"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城市/农村</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szCs w:val="21"/>
                <w:highlight w:val="none"/>
              </w:rPr>
            </w:pPr>
          </w:p>
        </w:tc>
        <w:tc>
          <w:tcPr>
            <w:tcW w:w="2848"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人口数（城市选项时）</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2" w:type="dxa"/>
            <w:gridSpan w:val="2"/>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最高环境温度/℃</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2" w:type="dxa"/>
            <w:gridSpan w:val="2"/>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最低环境温度/℃</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2" w:type="dxa"/>
            <w:gridSpan w:val="2"/>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土地利用类型</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2" w:type="dxa"/>
            <w:gridSpan w:val="2"/>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区域湿度条件</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4" w:type="dxa"/>
            <w:vMerge w:val="restart"/>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是否考虑地形</w:t>
            </w:r>
          </w:p>
        </w:tc>
        <w:tc>
          <w:tcPr>
            <w:tcW w:w="2848"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考虑地形</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rPr>
              <mc:AlternateContent>
                <mc:Choice Requires="wps">
                  <w:drawing>
                    <wp:anchor distT="0" distB="0" distL="114300" distR="114300" simplePos="0" relativeHeight="251656192" behindDoc="0" locked="0" layoutInCell="1" allowOverlap="1">
                      <wp:simplePos x="0" y="0"/>
                      <wp:positionH relativeFrom="column">
                        <wp:posOffset>875030</wp:posOffset>
                      </wp:positionH>
                      <wp:positionV relativeFrom="paragraph">
                        <wp:posOffset>53975</wp:posOffset>
                      </wp:positionV>
                      <wp:extent cx="90805" cy="90805"/>
                      <wp:effectExtent l="0" t="0" r="4445" b="4445"/>
                      <wp:wrapNone/>
                      <wp:docPr id="2081" name="文本框 1888"/>
                      <wp:cNvGraphicFramePr/>
                      <a:graphic xmlns:a="http://schemas.openxmlformats.org/drawingml/2006/main">
                        <a:graphicData uri="http://schemas.microsoft.com/office/word/2010/wordprocessingShape">
                          <wps:wsp>
                            <wps:cNvSpPr txBox="1"/>
                            <wps:spPr bwMode="auto">
                              <a:xfrm>
                                <a:off x="0" y="0"/>
                                <a:ext cx="90805" cy="90805"/>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文本框 1888" o:spid="_x0000_s1026" o:spt="202" type="#_x0000_t202" style="position:absolute;left:0pt;margin-left:68.9pt;margin-top:4.25pt;height:7.15pt;width:7.15pt;z-index:251656192;mso-width-relative:page;mso-height-relative:page;" fillcolor="#FFFFFF" filled="t" stroked="t" coordsize="21600,21600" o:gfxdata="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RJxlNcAAAAIAQAADwAAAAAAAAABACAAAAAi&#10;AAAAZHJzL2Rvd25yZXYueG1sUEsBAhQAFAAAAAgAh07iQNgIQp0LAgAADAQAAA4AAAAAAAAAAQAg&#10;AAAAJgEAAGRycy9lMm9Eb2MueG1sUEsFBgAAAAAGAAYAWQEAAKMFAAAAAA==&#10;">
                      <v:fill on="t" focussize="0,0"/>
                      <v:stroke color="#000000" miterlimit="8" joinstyle="miter"/>
                      <v:imagedata o:title=""/>
                      <o:lock v:ext="edit" aspectratio="f"/>
                      <v:textbox>
                        <w:txbxContent>
                          <w:p/>
                        </w:txbxContent>
                      </v:textbox>
                    </v:shape>
                  </w:pict>
                </mc:Fallback>
              </mc:AlternateContent>
            </w:r>
            <w:r>
              <w:rPr>
                <w:rFonts w:hint="default" w:ascii="Times New Roman" w:hAnsi="Times New Roman" w:cs="Times New Roman"/>
                <w:highlight w:val="none"/>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szCs w:val="21"/>
                <w:highlight w:val="none"/>
              </w:rPr>
            </w:pPr>
          </w:p>
        </w:tc>
        <w:tc>
          <w:tcPr>
            <w:tcW w:w="2848"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地形和数据分辨率/m</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824" w:type="dxa"/>
            <w:vMerge w:val="restart"/>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是否考虑岸线熏烟</w:t>
            </w:r>
          </w:p>
        </w:tc>
        <w:tc>
          <w:tcPr>
            <w:tcW w:w="2848"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考虑岸线熏烟</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mc:AlternateContent>
                <mc:Choice Requires="wps">
                  <w:drawing>
                    <wp:anchor distT="0" distB="0" distL="114300" distR="114300" simplePos="0" relativeHeight="251657216" behindDoc="0" locked="0" layoutInCell="1" allowOverlap="1">
                      <wp:simplePos x="0" y="0"/>
                      <wp:positionH relativeFrom="column">
                        <wp:posOffset>292735</wp:posOffset>
                      </wp:positionH>
                      <wp:positionV relativeFrom="paragraph">
                        <wp:posOffset>59055</wp:posOffset>
                      </wp:positionV>
                      <wp:extent cx="90805" cy="90805"/>
                      <wp:effectExtent l="0" t="0" r="4445" b="4445"/>
                      <wp:wrapNone/>
                      <wp:docPr id="2080" name="文本框 1889"/>
                      <wp:cNvGraphicFramePr/>
                      <a:graphic xmlns:a="http://schemas.openxmlformats.org/drawingml/2006/main">
                        <a:graphicData uri="http://schemas.microsoft.com/office/word/2010/wordprocessingShape">
                          <wps:wsp>
                            <wps:cNvSpPr txBox="1"/>
                            <wps:spPr bwMode="auto">
                              <a:xfrm>
                                <a:off x="0" y="0"/>
                                <a:ext cx="90805" cy="90805"/>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文本框 1889" o:spid="_x0000_s1026" o:spt="202" type="#_x0000_t202" style="position:absolute;left:0pt;margin-left:23.05pt;margin-top:4.65pt;height:7.15pt;width:7.15pt;z-index:251657216;mso-width-relative:page;mso-height-relative:page;" fillcolor="#FFFFFF" filled="t" stroked="t" coordsize="21600,21600" o:gfxdata="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3xwKNUAAAAGAQAADwAAAAAAAAABACAAAAAiAAAA&#10;ZHJzL2Rvd25yZXYueG1sUEsBAhQAFAAAAAgAh07iQGT2ecQKAgAADAQAAA4AAAAAAAAAAQAgAAAA&#10;JAEAAGRycy9lMm9Eb2MueG1sUEsFBgAAAAAGAAYAWQEAAKAFAAAAAA==&#10;">
                      <v:fill on="t" focussize="0,0"/>
                      <v:stroke color="#000000" miterlimit="8" joinstyle="miter"/>
                      <v:imagedata o:title=""/>
                      <o:lock v:ext="edit" aspectratio="f"/>
                      <v:textbox>
                        <w:txbxContent>
                          <w:p/>
                        </w:txbxContent>
                      </v:textbox>
                    </v:shape>
                  </w:pict>
                </mc:Fallback>
              </mc:AlternateContent>
            </w:r>
            <w:r>
              <w:rPr>
                <w:rFonts w:hint="default" w:ascii="Times New Roman" w:hAnsi="Times New Roman" w:cs="Times New Roman"/>
                <w:highlight w:val="none"/>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szCs w:val="21"/>
                <w:highlight w:val="none"/>
              </w:rPr>
            </w:pPr>
          </w:p>
        </w:tc>
        <w:tc>
          <w:tcPr>
            <w:tcW w:w="2848"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岸线距离/km</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szCs w:val="21"/>
                <w:highlight w:val="none"/>
              </w:rPr>
            </w:pPr>
          </w:p>
        </w:tc>
        <w:tc>
          <w:tcPr>
            <w:tcW w:w="2848"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岸线方向/°</w:t>
            </w:r>
          </w:p>
        </w:tc>
        <w:tc>
          <w:tcPr>
            <w:tcW w:w="2850" w:type="dxa"/>
            <w:tcBorders>
              <w:top w:val="single" w:color="auto" w:sz="4" w:space="0"/>
              <w:left w:val="single" w:color="auto" w:sz="4" w:space="0"/>
              <w:bottom w:val="single" w:color="auto" w:sz="4" w:space="0"/>
              <w:right w:val="single" w:color="auto" w:sz="4" w:space="0"/>
            </w:tcBorders>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w:t>
            </w:r>
          </w:p>
        </w:tc>
      </w:tr>
    </w:tbl>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4.2.1.4 污染源调查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本项目大气环境评价等级为三级，根据《环境影响评价技术导则 大气环境》（HJ2.2-2018）中要求“只调查本项目新增污染源和拟被替代的污染源”，结合本项目实际，本次仅对新增污染源进行调查，具体内容见下表：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表4-10点源参数一览表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308"/>
        <w:gridCol w:w="1054"/>
        <w:gridCol w:w="909"/>
        <w:gridCol w:w="939"/>
        <w:gridCol w:w="851"/>
        <w:gridCol w:w="958"/>
        <w:gridCol w:w="1012"/>
        <w:gridCol w:w="956"/>
        <w:gridCol w:w="1018"/>
        <w:gridCol w:w="837"/>
        <w:gridCol w:w="958"/>
        <w:gridCol w:w="959"/>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编号</w:t>
            </w:r>
          </w:p>
        </w:tc>
        <w:tc>
          <w:tcPr>
            <w:tcW w:w="486"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名称</w:t>
            </w:r>
          </w:p>
        </w:tc>
        <w:tc>
          <w:tcPr>
            <w:tcW w:w="729"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排气筒底部中心坐标 /m</w:t>
            </w:r>
          </w:p>
        </w:tc>
        <w:tc>
          <w:tcPr>
            <w:tcW w:w="348"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排气筒底部海拔高度/m</w:t>
            </w:r>
          </w:p>
        </w:tc>
        <w:tc>
          <w:tcPr>
            <w:tcW w:w="316"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排气筒高度/m</w:t>
            </w:r>
          </w:p>
        </w:tc>
        <w:tc>
          <w:tcPr>
            <w:tcW w:w="356"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排气筒出口内径/m</w:t>
            </w:r>
          </w:p>
        </w:tc>
        <w:tc>
          <w:tcPr>
            <w:tcW w:w="376"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烟气流速/（m/s）</w:t>
            </w:r>
          </w:p>
        </w:tc>
        <w:tc>
          <w:tcPr>
            <w:tcW w:w="355"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烟气温度/℃</w:t>
            </w:r>
          </w:p>
        </w:tc>
        <w:tc>
          <w:tcPr>
            <w:tcW w:w="378"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年排放小时数/h</w:t>
            </w:r>
          </w:p>
        </w:tc>
        <w:tc>
          <w:tcPr>
            <w:tcW w:w="311"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排放工况</w:t>
            </w:r>
          </w:p>
        </w:tc>
        <w:tc>
          <w:tcPr>
            <w:tcW w:w="1078" w:type="pct"/>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48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9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X</w:t>
            </w:r>
          </w:p>
        </w:tc>
        <w:tc>
          <w:tcPr>
            <w:tcW w:w="33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Y</w:t>
            </w:r>
          </w:p>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1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Cs w:val="21"/>
                <w:highlight w:val="none"/>
              </w:rPr>
            </w:pP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颗粒物</w:t>
            </w: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SO</w:t>
            </w:r>
            <w:r>
              <w:rPr>
                <w:rFonts w:hint="default" w:ascii="Times New Roman" w:hAnsi="Times New Roman" w:cs="Times New Roman"/>
                <w:b/>
                <w:bCs/>
                <w:highlight w:val="none"/>
                <w:vertAlign w:val="subscript"/>
              </w:rPr>
              <w:t>2</w:t>
            </w:r>
          </w:p>
        </w:tc>
        <w:tc>
          <w:tcPr>
            <w:tcW w:w="36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highlight w:val="none"/>
              </w:rPr>
            </w:pPr>
            <w:r>
              <w:rPr>
                <w:rFonts w:hint="default" w:ascii="Times New Roman" w:hAnsi="Times New Roman" w:cs="Times New Roman"/>
                <w:b/>
                <w:bCs/>
                <w:highlight w:val="none"/>
              </w:rPr>
              <w:t>NO</w:t>
            </w:r>
            <w:r>
              <w:rPr>
                <w:rFonts w:hint="default" w:ascii="Times New Roman" w:hAnsi="Times New Roman" w:cs="Times New Roman"/>
                <w:b/>
                <w:bCs/>
                <w:highlight w:val="none"/>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w:t>
            </w:r>
          </w:p>
        </w:tc>
        <w:tc>
          <w:tcPr>
            <w:tcW w:w="4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沼气发电机排气筒</w:t>
            </w:r>
          </w:p>
        </w:tc>
        <w:tc>
          <w:tcPr>
            <w:tcW w:w="39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118.9372</w:t>
            </w:r>
          </w:p>
        </w:tc>
        <w:tc>
          <w:tcPr>
            <w:tcW w:w="33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39.8726</w:t>
            </w:r>
          </w:p>
        </w:tc>
        <w:tc>
          <w:tcPr>
            <w:tcW w:w="348"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96</w:t>
            </w:r>
          </w:p>
        </w:tc>
        <w:tc>
          <w:tcPr>
            <w:tcW w:w="31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8</w:t>
            </w: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0.12</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19.47</w:t>
            </w:r>
          </w:p>
        </w:tc>
        <w:tc>
          <w:tcPr>
            <w:tcW w:w="3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150</w:t>
            </w:r>
          </w:p>
        </w:tc>
        <w:tc>
          <w:tcPr>
            <w:tcW w:w="378"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2920</w:t>
            </w:r>
          </w:p>
        </w:tc>
        <w:tc>
          <w:tcPr>
            <w:tcW w:w="31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正常</w:t>
            </w: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0.00226</w:t>
            </w: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0.00154</w:t>
            </w:r>
          </w:p>
        </w:tc>
        <w:tc>
          <w:tcPr>
            <w:tcW w:w="36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rPr>
            </w:pPr>
            <w:r>
              <w:rPr>
                <w:rFonts w:hint="default" w:ascii="Times New Roman" w:hAnsi="Times New Roman" w:cs="Times New Roman"/>
                <w:highlight w:val="none"/>
              </w:rPr>
              <w:t>0.0363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c>
          <w:tcPr>
            <w:tcW w:w="4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饲料加工废气排气筒</w:t>
            </w:r>
          </w:p>
        </w:tc>
        <w:tc>
          <w:tcPr>
            <w:tcW w:w="39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118.9384</w:t>
            </w:r>
          </w:p>
        </w:tc>
        <w:tc>
          <w:tcPr>
            <w:tcW w:w="33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39.8707</w:t>
            </w:r>
          </w:p>
        </w:tc>
        <w:tc>
          <w:tcPr>
            <w:tcW w:w="348"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90</w:t>
            </w:r>
          </w:p>
        </w:tc>
        <w:tc>
          <w:tcPr>
            <w:tcW w:w="31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w:t>
            </w: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22.10</w:t>
            </w:r>
          </w:p>
        </w:tc>
        <w:tc>
          <w:tcPr>
            <w:tcW w:w="3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常温</w:t>
            </w:r>
          </w:p>
        </w:tc>
        <w:tc>
          <w:tcPr>
            <w:tcW w:w="378"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2400</w:t>
            </w:r>
          </w:p>
        </w:tc>
        <w:tc>
          <w:tcPr>
            <w:tcW w:w="31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正常</w:t>
            </w: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0.0052</w:t>
            </w: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w:t>
            </w:r>
          </w:p>
        </w:tc>
        <w:tc>
          <w:tcPr>
            <w:tcW w:w="36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w:t>
            </w:r>
          </w:p>
        </w:tc>
        <w:tc>
          <w:tcPr>
            <w:tcW w:w="48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eastAsia="zh-CN"/>
              </w:rPr>
            </w:pPr>
            <w:r>
              <w:rPr>
                <w:rFonts w:hint="eastAsia" w:cs="Times New Roman"/>
                <w:highlight w:val="none"/>
                <w:lang w:val="en-US" w:eastAsia="zh-CN"/>
              </w:rPr>
              <w:t>沼气</w:t>
            </w:r>
            <w:r>
              <w:rPr>
                <w:rFonts w:hint="default" w:ascii="Times New Roman" w:hAnsi="Times New Roman" w:cs="Times New Roman"/>
                <w:highlight w:val="none"/>
                <w:lang w:eastAsia="zh-CN"/>
              </w:rPr>
              <w:t>热水炉排气筒</w:t>
            </w:r>
          </w:p>
        </w:tc>
        <w:tc>
          <w:tcPr>
            <w:tcW w:w="39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118.9387</w:t>
            </w:r>
          </w:p>
        </w:tc>
        <w:tc>
          <w:tcPr>
            <w:tcW w:w="337"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39.8706</w:t>
            </w:r>
          </w:p>
        </w:tc>
        <w:tc>
          <w:tcPr>
            <w:tcW w:w="348"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91</w:t>
            </w:r>
          </w:p>
        </w:tc>
        <w:tc>
          <w:tcPr>
            <w:tcW w:w="31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8</w:t>
            </w: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0.3</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11.52</w:t>
            </w:r>
          </w:p>
        </w:tc>
        <w:tc>
          <w:tcPr>
            <w:tcW w:w="35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150</w:t>
            </w:r>
          </w:p>
        </w:tc>
        <w:tc>
          <w:tcPr>
            <w:tcW w:w="378"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4800</w:t>
            </w:r>
          </w:p>
        </w:tc>
        <w:tc>
          <w:tcPr>
            <w:tcW w:w="31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eastAsia="zh-CN"/>
              </w:rPr>
            </w:pPr>
            <w:r>
              <w:rPr>
                <w:rFonts w:hint="default" w:ascii="Times New Roman" w:hAnsi="Times New Roman" w:cs="Times New Roman"/>
                <w:highlight w:val="none"/>
                <w:lang w:eastAsia="zh-CN"/>
              </w:rPr>
              <w:t>正常</w:t>
            </w: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w:t>
            </w:r>
            <w:r>
              <w:rPr>
                <w:rFonts w:hint="eastAsia" w:cs="Times New Roman"/>
                <w:highlight w:val="none"/>
                <w:lang w:val="en-US" w:eastAsia="zh-CN"/>
              </w:rPr>
              <w:t>0115</w:t>
            </w:r>
          </w:p>
        </w:tc>
        <w:tc>
          <w:tcPr>
            <w:tcW w:w="35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eastAsia" w:cs="Times New Roman"/>
                <w:highlight w:val="none"/>
                <w:lang w:val="en-US" w:eastAsia="zh-CN"/>
              </w:rPr>
              <w:t>0.00077</w:t>
            </w:r>
          </w:p>
        </w:tc>
        <w:tc>
          <w:tcPr>
            <w:tcW w:w="36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highlight w:val="none"/>
                <w:lang w:val="en-US" w:eastAsia="zh-CN"/>
              </w:rPr>
            </w:pPr>
            <w:r>
              <w:rPr>
                <w:rFonts w:hint="eastAsia" w:cs="Times New Roman"/>
                <w:highlight w:val="none"/>
                <w:lang w:val="en-US" w:eastAsia="zh-CN"/>
              </w:rPr>
              <w:t>0.0073</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表4-11面源参数表</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886"/>
        <w:gridCol w:w="996"/>
        <w:gridCol w:w="899"/>
        <w:gridCol w:w="878"/>
        <w:gridCol w:w="886"/>
        <w:gridCol w:w="886"/>
        <w:gridCol w:w="886"/>
        <w:gridCol w:w="886"/>
        <w:gridCol w:w="888"/>
        <w:gridCol w:w="888"/>
        <w:gridCol w:w="1115"/>
        <w:gridCol w:w="1187"/>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编号</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名称</w:t>
            </w:r>
          </w:p>
        </w:tc>
        <w:tc>
          <w:tcPr>
            <w:tcW w:w="704"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面源起点坐标/m</w:t>
            </w:r>
          </w:p>
        </w:tc>
        <w:tc>
          <w:tcPr>
            <w:tcW w:w="326"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面源海拔高度/m</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面源长度/m</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面源宽度/m</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与正北向夹角/ °</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面源有效排放高度/m</w:t>
            </w:r>
          </w:p>
        </w:tc>
        <w:tc>
          <w:tcPr>
            <w:tcW w:w="330"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年排放小时数/h</w:t>
            </w:r>
          </w:p>
        </w:tc>
        <w:tc>
          <w:tcPr>
            <w:tcW w:w="330"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排放工况</w:t>
            </w:r>
          </w:p>
        </w:tc>
        <w:tc>
          <w:tcPr>
            <w:tcW w:w="1331" w:type="pct"/>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 w:val="21"/>
                <w:szCs w:val="21"/>
                <w:highlight w:val="none"/>
              </w:rPr>
            </w:pP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cs="Times New Roman"/>
                <w:b/>
                <w:bCs/>
                <w:sz w:val="21"/>
                <w:szCs w:val="21"/>
                <w:highlight w:val="none"/>
              </w:rPr>
            </w:pPr>
          </w:p>
        </w:tc>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X</w:t>
            </w:r>
          </w:p>
        </w:tc>
        <w:tc>
          <w:tcPr>
            <w:tcW w:w="33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Y</w:t>
            </w:r>
          </w:p>
        </w:tc>
        <w:tc>
          <w:tcPr>
            <w:tcW w:w="32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 w:val="21"/>
                <w:szCs w:val="21"/>
                <w:highlight w:val="none"/>
              </w:rPr>
            </w:pPr>
          </w:p>
        </w:tc>
        <w:tc>
          <w:tcPr>
            <w:tcW w:w="32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 w:val="21"/>
                <w:szCs w:val="21"/>
                <w:highlight w:val="none"/>
              </w:rPr>
            </w:pPr>
          </w:p>
        </w:tc>
        <w:tc>
          <w:tcPr>
            <w:tcW w:w="32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 w:val="21"/>
                <w:szCs w:val="21"/>
                <w:highlight w:val="none"/>
              </w:rPr>
            </w:pPr>
          </w:p>
        </w:tc>
        <w:tc>
          <w:tcPr>
            <w:tcW w:w="32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 w:val="21"/>
                <w:szCs w:val="21"/>
                <w:highlight w:val="none"/>
              </w:rPr>
            </w:pPr>
          </w:p>
        </w:tc>
        <w:tc>
          <w:tcPr>
            <w:tcW w:w="32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 w:val="21"/>
                <w:szCs w:val="21"/>
                <w:highlight w:val="none"/>
              </w:rPr>
            </w:pPr>
          </w:p>
        </w:tc>
        <w:tc>
          <w:tcPr>
            <w:tcW w:w="33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 w:val="21"/>
                <w:szCs w:val="21"/>
                <w:highlight w:val="none"/>
              </w:rPr>
            </w:pPr>
          </w:p>
        </w:tc>
        <w:tc>
          <w:tcPr>
            <w:tcW w:w="33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b/>
                <w:bCs/>
                <w:sz w:val="21"/>
                <w:szCs w:val="21"/>
                <w:highlight w:val="none"/>
              </w:rPr>
            </w:pPr>
          </w:p>
        </w:tc>
        <w:tc>
          <w:tcPr>
            <w:tcW w:w="41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b/>
                <w:bCs/>
                <w:sz w:val="21"/>
                <w:szCs w:val="21"/>
                <w:highlight w:val="none"/>
                <w:lang w:eastAsia="zh-CN"/>
              </w:rPr>
            </w:pPr>
            <w:r>
              <w:rPr>
                <w:rFonts w:hint="default" w:ascii="Times New Roman" w:hAnsi="Times New Roman" w:cs="Times New Roman"/>
                <w:b/>
                <w:bCs/>
                <w:sz w:val="21"/>
                <w:szCs w:val="21"/>
                <w:highlight w:val="none"/>
                <w:lang w:eastAsia="zh-CN"/>
              </w:rPr>
              <w:t>颗粒物</w:t>
            </w:r>
          </w:p>
        </w:tc>
        <w:tc>
          <w:tcPr>
            <w:tcW w:w="44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NH</w:t>
            </w:r>
            <w:r>
              <w:rPr>
                <w:rFonts w:hint="default" w:ascii="Times New Roman" w:hAnsi="Times New Roman" w:cs="Times New Roman"/>
                <w:b/>
                <w:bCs/>
                <w:sz w:val="21"/>
                <w:szCs w:val="21"/>
                <w:highlight w:val="none"/>
                <w:vertAlign w:val="subscript"/>
              </w:rPr>
              <w:t>3</w:t>
            </w:r>
          </w:p>
        </w:tc>
        <w:tc>
          <w:tcPr>
            <w:tcW w:w="475" w:type="pct"/>
            <w:tcBorders>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H</w:t>
            </w:r>
            <w:r>
              <w:rPr>
                <w:rFonts w:hint="default" w:ascii="Times New Roman" w:hAnsi="Times New Roman" w:cs="Times New Roman"/>
                <w:b/>
                <w:bCs/>
                <w:sz w:val="21"/>
                <w:szCs w:val="21"/>
                <w:highlight w:val="none"/>
                <w:vertAlign w:val="subscript"/>
              </w:rPr>
              <w:t>2</w:t>
            </w:r>
            <w:r>
              <w:rPr>
                <w:rFonts w:hint="default" w:ascii="Times New Roman" w:hAnsi="Times New Roman" w:cs="Times New Roman"/>
                <w:b/>
                <w:bCs/>
                <w:sz w:val="21"/>
                <w:szCs w:val="21"/>
                <w:highlight w:val="non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恶臭产生区域</w:t>
            </w:r>
          </w:p>
        </w:tc>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118.9363</w:t>
            </w:r>
          </w:p>
        </w:tc>
        <w:tc>
          <w:tcPr>
            <w:tcW w:w="33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39.8713</w:t>
            </w:r>
          </w:p>
        </w:tc>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96</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350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33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8760</w:t>
            </w:r>
          </w:p>
        </w:tc>
        <w:tc>
          <w:tcPr>
            <w:tcW w:w="33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正常</w:t>
            </w:r>
          </w:p>
        </w:tc>
        <w:tc>
          <w:tcPr>
            <w:tcW w:w="41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44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0.53135</w:t>
            </w:r>
          </w:p>
        </w:tc>
        <w:tc>
          <w:tcPr>
            <w:tcW w:w="47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0.07489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饲料加工车间</w:t>
            </w:r>
          </w:p>
        </w:tc>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118.9384</w:t>
            </w:r>
          </w:p>
        </w:tc>
        <w:tc>
          <w:tcPr>
            <w:tcW w:w="33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39.8707</w:t>
            </w:r>
          </w:p>
        </w:tc>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90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80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30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329"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7</w:t>
            </w:r>
          </w:p>
        </w:tc>
        <w:tc>
          <w:tcPr>
            <w:tcW w:w="33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2400</w:t>
            </w:r>
          </w:p>
        </w:tc>
        <w:tc>
          <w:tcPr>
            <w:tcW w:w="33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正常</w:t>
            </w:r>
          </w:p>
        </w:tc>
        <w:tc>
          <w:tcPr>
            <w:tcW w:w="414"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0.0028</w:t>
            </w:r>
          </w:p>
        </w:tc>
        <w:tc>
          <w:tcPr>
            <w:tcW w:w="44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47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309"/>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bl>
    <w:p>
      <w:pPr>
        <w:adjustRightInd w:val="0"/>
        <w:snapToGrid w:val="0"/>
        <w:rPr>
          <w:rFonts w:hint="default" w:ascii="Times New Roman" w:hAnsi="Times New Roman" w:cs="Times New Roman"/>
          <w:b/>
          <w:szCs w:val="21"/>
          <w:highlight w:val="none"/>
        </w:rPr>
        <w:sectPr>
          <w:pgSz w:w="16838" w:h="11906" w:orient="landscape"/>
          <w:pgMar w:top="1440" w:right="1800" w:bottom="1440" w:left="1800" w:header="708" w:footer="708" w:gutter="0"/>
          <w:pgBorders>
            <w:top w:val="none" w:sz="0" w:space="0"/>
            <w:left w:val="none" w:sz="0" w:space="0"/>
            <w:bottom w:val="none" w:sz="0" w:space="0"/>
            <w:right w:val="none" w:sz="0" w:space="0"/>
          </w:pgBorders>
          <w:pgNumType w:fmt="decimal"/>
          <w:cols w:space="720" w:num="1"/>
        </w:sectPr>
      </w:pP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4.2.1.5计算结果及评价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根据各排放源相关参数，利用估算模式可计算出各污染物再不同距离的农夫、占标率。计算结果统计表见表4-12。详细计算内容见附表。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 xml:space="preserve">表4-12  计算结果统计表  </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b/>
                <w:bCs/>
                <w:highlight w:val="none"/>
              </w:rPr>
            </w:pPr>
            <w:r>
              <w:rPr>
                <w:rFonts w:hint="default" w:ascii="Times New Roman" w:hAnsi="Times New Roman" w:cs="Times New Roman"/>
                <w:b/>
                <w:bCs/>
                <w:highlight w:val="none"/>
              </w:rPr>
              <w:t>污染源</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b/>
                <w:bCs/>
                <w:highlight w:val="none"/>
              </w:rPr>
            </w:pPr>
            <w:r>
              <w:rPr>
                <w:rFonts w:hint="default" w:ascii="Times New Roman" w:hAnsi="Times New Roman" w:cs="Times New Roman"/>
                <w:b/>
                <w:bCs/>
                <w:highlight w:val="none"/>
              </w:rPr>
              <w:t>污染物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b/>
                <w:bCs/>
                <w:highlight w:val="none"/>
              </w:rPr>
            </w:pPr>
            <w:r>
              <w:rPr>
                <w:rFonts w:hint="default" w:ascii="Times New Roman" w:hAnsi="Times New Roman" w:cs="Times New Roman"/>
                <w:b/>
                <w:bCs/>
                <w:highlight w:val="none"/>
              </w:rPr>
              <w:t>最大落地浓度</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b/>
                <w:bCs/>
                <w:highlight w:val="none"/>
              </w:rPr>
            </w:pPr>
            <w:r>
              <w:rPr>
                <w:rFonts w:hint="default" w:ascii="Times New Roman" w:hAnsi="Times New Roman" w:cs="Times New Roman"/>
                <w:b/>
                <w:bCs/>
                <w:highlight w:val="none"/>
              </w:rPr>
              <w:t>Pmax(%)</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b/>
                <w:bCs/>
                <w:highlight w:val="none"/>
              </w:rPr>
            </w:pPr>
            <w:r>
              <w:rPr>
                <w:rFonts w:hint="default" w:ascii="Times New Roman" w:hAnsi="Times New Roman" w:cs="Times New Roman"/>
                <w:b/>
                <w:bCs/>
                <w:highlight w:val="none"/>
              </w:rPr>
              <w:t>D10%/m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restart"/>
            <w:tcBorders>
              <w:top w:val="single" w:color="auto" w:sz="4" w:space="0"/>
              <w:left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沼气发电机排气筒</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颗粒物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0.114</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0.025</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continue"/>
            <w:tcBorders>
              <w:left w:val="single" w:color="auto" w:sz="4" w:space="0"/>
              <w:right w:val="single" w:color="auto" w:sz="4" w:space="0"/>
            </w:tcBorders>
            <w:vAlign w:val="center"/>
          </w:tcPr>
          <w:p>
            <w:pPr>
              <w:pStyle w:val="309"/>
              <w:jc w:val="center"/>
              <w:rPr>
                <w:rFonts w:hint="default" w:ascii="Times New Roman" w:hAnsi="Times New Roman" w:cs="Times New Roman"/>
                <w:highlight w:val="none"/>
              </w:rPr>
            </w:pP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二氧化硫</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0.778</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0.156</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continue"/>
            <w:tcBorders>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氮氧化物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1.587</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0</w:t>
            </w:r>
            <w:r>
              <w:rPr>
                <w:rFonts w:hint="default" w:ascii="Times New Roman" w:hAnsi="Times New Roman" w:cs="Times New Roman"/>
                <w:highlight w:val="none"/>
                <w:lang w:val="en-US" w:eastAsia="zh-CN"/>
              </w:rPr>
              <w:t>.79</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tcBorders>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饲料加工废气排气筒</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颗粒物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0.134</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0.015</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restart"/>
            <w:tcBorders>
              <w:left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eastAsia="zh-CN"/>
              </w:rPr>
            </w:pPr>
            <w:r>
              <w:rPr>
                <w:rFonts w:hint="eastAsia" w:cs="Times New Roman"/>
                <w:highlight w:val="none"/>
                <w:lang w:val="en-US" w:eastAsia="zh-CN"/>
              </w:rPr>
              <w:t>沼气</w:t>
            </w:r>
            <w:r>
              <w:rPr>
                <w:rFonts w:hint="default" w:ascii="Times New Roman" w:hAnsi="Times New Roman" w:cs="Times New Roman"/>
                <w:highlight w:val="none"/>
                <w:lang w:eastAsia="zh-CN"/>
              </w:rPr>
              <w:t>热水炉排气筒</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颗粒物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0.562</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0.125</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continue"/>
            <w:tcBorders>
              <w:left w:val="single" w:color="auto" w:sz="4" w:space="0"/>
              <w:right w:val="single" w:color="auto" w:sz="4" w:space="0"/>
            </w:tcBorders>
            <w:vAlign w:val="center"/>
          </w:tcPr>
          <w:p>
            <w:pPr>
              <w:pStyle w:val="309"/>
              <w:jc w:val="center"/>
              <w:rPr>
                <w:rFonts w:hint="default" w:ascii="Times New Roman" w:hAnsi="Times New Roman" w:cs="Times New Roman"/>
                <w:highlight w:val="none"/>
              </w:rPr>
            </w:pP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二氧化硫</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2.451</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0.49</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continue"/>
            <w:tcBorders>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氮氧化物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3.111</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1.56</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restart"/>
            <w:tcBorders>
              <w:top w:val="single" w:color="auto" w:sz="4" w:space="0"/>
              <w:left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恶臭产生区域</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氨</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1.661</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0.831</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vMerge w:val="continue"/>
            <w:tcBorders>
              <w:left w:val="single" w:color="auto" w:sz="4" w:space="0"/>
              <w:right w:val="single" w:color="auto" w:sz="4" w:space="0"/>
            </w:tcBorders>
            <w:vAlign w:val="center"/>
          </w:tcPr>
          <w:p>
            <w:pPr>
              <w:pStyle w:val="309"/>
              <w:jc w:val="center"/>
              <w:rPr>
                <w:rFonts w:hint="default" w:ascii="Times New Roman" w:hAnsi="Times New Roman" w:cs="Times New Roman"/>
                <w:highlight w:val="none"/>
              </w:rPr>
            </w:pP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硫化氢</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0.054</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0.54</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4" w:type="dxa"/>
            <w:tcBorders>
              <w:left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饲料加工车间</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颗粒物</w:t>
            </w:r>
          </w:p>
        </w:tc>
        <w:tc>
          <w:tcPr>
            <w:tcW w:w="1704"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0.937</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0.104</w:t>
            </w:r>
          </w:p>
        </w:tc>
        <w:tc>
          <w:tcPr>
            <w:tcW w:w="1705" w:type="dxa"/>
            <w:tcBorders>
              <w:top w:val="single" w:color="auto" w:sz="4" w:space="0"/>
              <w:left w:val="single" w:color="auto" w:sz="4" w:space="0"/>
              <w:bottom w:val="single" w:color="auto" w:sz="4" w:space="0"/>
              <w:right w:val="single" w:color="auto" w:sz="4" w:space="0"/>
            </w:tcBorders>
            <w:vAlign w:val="center"/>
          </w:tcPr>
          <w:p>
            <w:pPr>
              <w:pStyle w:val="309"/>
              <w:jc w:val="center"/>
              <w:rPr>
                <w:rFonts w:hint="default" w:ascii="Times New Roman" w:hAnsi="Times New Roman" w:cs="Times New Roman"/>
                <w:highlight w:val="none"/>
              </w:rPr>
            </w:pPr>
            <w:r>
              <w:rPr>
                <w:rFonts w:hint="default" w:ascii="Times New Roman" w:hAnsi="Times New Roman" w:cs="Times New Roman"/>
                <w:highlight w:val="none"/>
              </w:rPr>
              <w:t>/</w:t>
            </w:r>
          </w:p>
        </w:tc>
      </w:tr>
    </w:tbl>
    <w:p>
      <w:pPr>
        <w:pStyle w:val="709"/>
        <w:adjustRightInd w:val="0"/>
        <w:snapToGrid w:val="0"/>
        <w:ind w:firstLine="422"/>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由估算结果可见，由于项目对各废气污染物采取了有效的处理措施，各污染源污染物相应的最大地面浓度占标率Pmax(%)小于10%。由此可见，项目排放的废气污染源源强较小，在各种气象条件下的最大落地浓度均可控制在相应的环境质量标准10%以内。总体上看，建设项目对评价区域的贡献浓度不大，对周围环境影响较小。</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4.2.1.6大气环境防护距离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同时，因评价范围内无超标点，根据《环境影响评价技术导则 大气环境》（HJ2.2-2018），无需设置大气环境防护距离。</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4.2.1.7关于禁建区的符合性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根据《畜禽养殖业污染防治技术规范》（HJ/T81－2001）规定：</w:t>
      </w:r>
      <w:r>
        <w:rPr>
          <w:rFonts w:hint="default" w:ascii="Times New Roman" w:hAnsi="Times New Roman" w:cs="Times New Roman"/>
          <w:snapToGrid w:val="0"/>
          <w:sz w:val="24"/>
          <w:szCs w:val="25"/>
          <w:highlight w:val="none"/>
          <w:lang w:eastAsia="zh-CN"/>
        </w:rPr>
        <w:t>“</w:t>
      </w:r>
      <w:r>
        <w:rPr>
          <w:rFonts w:hint="default" w:ascii="Times New Roman" w:hAnsi="Times New Roman" w:cs="Times New Roman"/>
          <w:snapToGrid w:val="0"/>
          <w:sz w:val="24"/>
          <w:szCs w:val="25"/>
          <w:highlight w:val="none"/>
        </w:rPr>
        <w:t>新建改建、扩建的畜禽养殖场选址应避开禁建区域，在禁建区域附近建设的，应设在禁建区域常年主导风向的下风向或侧风向处，场界与禁建区域边界的最小距离不得小于500m</w:t>
      </w:r>
      <w:r>
        <w:rPr>
          <w:rFonts w:hint="default" w:ascii="Times New Roman" w:hAnsi="Times New Roman" w:cs="Times New Roman"/>
          <w:snapToGrid w:val="0"/>
          <w:sz w:val="24"/>
          <w:szCs w:val="25"/>
          <w:highlight w:val="none"/>
          <w:lang w:eastAsia="zh-CN"/>
        </w:rPr>
        <w:t>”</w:t>
      </w:r>
      <w:r>
        <w:rPr>
          <w:rFonts w:hint="default" w:ascii="Times New Roman" w:hAnsi="Times New Roman" w:cs="Times New Roman"/>
          <w:snapToGrid w:val="0"/>
          <w:sz w:val="24"/>
          <w:szCs w:val="25"/>
          <w:highlight w:val="none"/>
        </w:rPr>
        <w:t>，本项目500m范围内无村庄敏感点等居住区分布，满足其规定要求。</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4.2.1.8大气环境影响评价结论与建议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建设项目区域属于不达标区域。本项目有新增污染源正常排放情况下污染物短期浓度的最大贡献值的占标率小于10%。因此，本次评价认为项目大气目环境影响可以接受。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（1）根据估算结果可知，沼气发电机排气筒中颗粒物、氮氧化物、二氧化硫，其排放浓度及排放速率均满足《大气污染物综合排放标准》（GB16297-1996）表2要求；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（2）厂界恶臭无组织排放可以满足满足《恶臭污染物排放标准》（GB14554-93）厂界污染物控制标准要求。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（3）油烟废气排放可以满足《饮食业油烟排放标准》（GB18483-2001）中规定的最高允许排放浓度 2.0mg/Nm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，油烟去除率不低于 60%（小型）的标准要求；</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表4-13  建设项目大气环境影响评价自查表</w:t>
      </w:r>
    </w:p>
    <w:tbl>
      <w:tblPr>
        <w:tblStyle w:val="8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56"/>
        <w:gridCol w:w="1511"/>
        <w:gridCol w:w="851"/>
        <w:gridCol w:w="299"/>
        <w:gridCol w:w="63"/>
        <w:gridCol w:w="182"/>
        <w:gridCol w:w="71"/>
        <w:gridCol w:w="124"/>
        <w:gridCol w:w="589"/>
        <w:gridCol w:w="134"/>
        <w:gridCol w:w="146"/>
        <w:gridCol w:w="119"/>
        <w:gridCol w:w="112"/>
        <w:gridCol w:w="541"/>
        <w:gridCol w:w="433"/>
        <w:gridCol w:w="234"/>
        <w:gridCol w:w="722"/>
        <w:gridCol w:w="177"/>
        <w:gridCol w:w="169"/>
        <w:gridCol w:w="404"/>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436"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工作内容</w:t>
            </w:r>
          </w:p>
        </w:tc>
        <w:tc>
          <w:tcPr>
            <w:tcW w:w="3563" w:type="pct"/>
            <w:gridSpan w:val="1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评价等级与范围</w:t>
            </w: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评价等级</w:t>
            </w:r>
          </w:p>
        </w:tc>
        <w:tc>
          <w:tcPr>
            <w:tcW w:w="1350"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一级□</w:t>
            </w:r>
          </w:p>
        </w:tc>
        <w:tc>
          <w:tcPr>
            <w:tcW w:w="1352"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二级□</w:t>
            </w:r>
          </w:p>
        </w:tc>
        <w:tc>
          <w:tcPr>
            <w:tcW w:w="861"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评价范围</w:t>
            </w:r>
          </w:p>
        </w:tc>
        <w:tc>
          <w:tcPr>
            <w:tcW w:w="1350"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边长=50km□</w:t>
            </w:r>
          </w:p>
        </w:tc>
        <w:tc>
          <w:tcPr>
            <w:tcW w:w="1352"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边长5～50km□</w:t>
            </w:r>
          </w:p>
        </w:tc>
        <w:tc>
          <w:tcPr>
            <w:tcW w:w="861"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边长=5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评价因子</w:t>
            </w: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SO</w:t>
            </w:r>
            <w:r>
              <w:rPr>
                <w:rFonts w:hint="default" w:ascii="Times New Roman" w:hAnsi="Times New Roman" w:eastAsia="宋体" w:cs="Times New Roman"/>
                <w:sz w:val="18"/>
                <w:szCs w:val="18"/>
                <w:highlight w:val="none"/>
                <w:vertAlign w:val="subscript"/>
              </w:rPr>
              <w:t xml:space="preserve">2 </w:t>
            </w:r>
            <w:r>
              <w:rPr>
                <w:rFonts w:hint="default" w:ascii="Times New Roman" w:hAnsi="Times New Roman" w:eastAsia="宋体" w:cs="Times New Roman"/>
                <w:sz w:val="18"/>
                <w:szCs w:val="18"/>
                <w:highlight w:val="none"/>
              </w:rPr>
              <w:t>+NO</w:t>
            </w:r>
            <w:r>
              <w:rPr>
                <w:rFonts w:hint="default" w:ascii="Times New Roman" w:hAnsi="Times New Roman" w:eastAsia="宋体" w:cs="Times New Roman"/>
                <w:i/>
                <w:sz w:val="18"/>
                <w:szCs w:val="18"/>
                <w:highlight w:val="none"/>
                <w:vertAlign w:val="subscript"/>
              </w:rPr>
              <w:t>x</w:t>
            </w:r>
            <w:r>
              <w:rPr>
                <w:rFonts w:hint="default" w:ascii="Times New Roman" w:hAnsi="Times New Roman" w:eastAsia="宋体" w:cs="Times New Roman"/>
                <w:sz w:val="18"/>
                <w:szCs w:val="18"/>
                <w:highlight w:val="none"/>
              </w:rPr>
              <w:t>排放量</w:t>
            </w:r>
          </w:p>
        </w:tc>
        <w:tc>
          <w:tcPr>
            <w:tcW w:w="70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 2000t/a□</w:t>
            </w:r>
          </w:p>
        </w:tc>
        <w:tc>
          <w:tcPr>
            <w:tcW w:w="1993" w:type="pct"/>
            <w:gridSpan w:val="1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500 ~ 2000t/a□</w:t>
            </w:r>
          </w:p>
        </w:tc>
        <w:tc>
          <w:tcPr>
            <w:tcW w:w="861"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＜500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评价因子</w:t>
            </w:r>
          </w:p>
        </w:tc>
        <w:tc>
          <w:tcPr>
            <w:tcW w:w="1978" w:type="pct"/>
            <w:gridSpan w:val="1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基本污染物 (  颗粒物、SO</w:t>
            </w:r>
            <w:r>
              <w:rPr>
                <w:rFonts w:hint="default" w:ascii="Times New Roman" w:hAnsi="Times New Roman" w:eastAsia="宋体" w:cs="Times New Roman"/>
                <w:sz w:val="18"/>
                <w:szCs w:val="18"/>
                <w:highlight w:val="none"/>
                <w:vertAlign w:val="subscript"/>
              </w:rPr>
              <w:t>2</w:t>
            </w:r>
            <w:r>
              <w:rPr>
                <w:rFonts w:hint="default" w:ascii="Times New Roman" w:hAnsi="Times New Roman" w:eastAsia="宋体" w:cs="Times New Roman"/>
                <w:sz w:val="18"/>
                <w:szCs w:val="18"/>
                <w:highlight w:val="none"/>
              </w:rPr>
              <w:t>、NO</w:t>
            </w:r>
            <w:r>
              <w:rPr>
                <w:rFonts w:hint="default" w:ascii="Times New Roman" w:hAnsi="Times New Roman" w:eastAsia="宋体" w:cs="Times New Roman"/>
                <w:sz w:val="18"/>
                <w:szCs w:val="18"/>
                <w:highlight w:val="none"/>
                <w:vertAlign w:val="subscript"/>
              </w:rPr>
              <w:t>2</w:t>
            </w:r>
            <w:r>
              <w:rPr>
                <w:rFonts w:hint="default" w:ascii="Times New Roman" w:hAnsi="Times New Roman" w:eastAsia="宋体" w:cs="Times New Roman"/>
                <w:sz w:val="18"/>
                <w:szCs w:val="18"/>
                <w:highlight w:val="none"/>
              </w:rPr>
              <w:t>)</w:t>
            </w:r>
          </w:p>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其他污染物(  硫化氢、氨  )</w:t>
            </w:r>
          </w:p>
        </w:tc>
        <w:tc>
          <w:tcPr>
            <w:tcW w:w="1585"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包括二次PM</w:t>
            </w:r>
            <w:r>
              <w:rPr>
                <w:rFonts w:hint="default" w:ascii="Times New Roman" w:hAnsi="Times New Roman" w:eastAsia="宋体" w:cs="Times New Roman"/>
                <w:sz w:val="18"/>
                <w:szCs w:val="18"/>
                <w:highlight w:val="none"/>
                <w:vertAlign w:val="subscript"/>
              </w:rPr>
              <w:t>2.5</w:t>
            </w:r>
            <w:r>
              <w:rPr>
                <w:rFonts w:hint="default" w:ascii="Times New Roman" w:hAnsi="Times New Roman" w:eastAsia="宋体" w:cs="Times New Roman"/>
                <w:sz w:val="18"/>
                <w:szCs w:val="18"/>
                <w:highlight w:val="none"/>
              </w:rPr>
              <w:t>□</w:t>
            </w:r>
          </w:p>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不包括二次PM</w:t>
            </w:r>
            <w:r>
              <w:rPr>
                <w:rFonts w:hint="default" w:ascii="Times New Roman" w:hAnsi="Times New Roman" w:eastAsia="宋体" w:cs="Times New Roman"/>
                <w:sz w:val="18"/>
                <w:szCs w:val="18"/>
                <w:highlight w:val="none"/>
                <w:vertAlign w:val="subscript"/>
              </w:rPr>
              <w:t>2.5</w:t>
            </w:r>
            <w:r>
              <w:rPr>
                <w:rFonts w:hint="default" w:ascii="Times New Roman" w:hAnsi="Times New Roman" w:eastAsia="宋体"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评价标准</w:t>
            </w: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评价标准</w:t>
            </w:r>
          </w:p>
        </w:tc>
        <w:tc>
          <w:tcPr>
            <w:tcW w:w="998"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国家标准√</w:t>
            </w:r>
          </w:p>
        </w:tc>
        <w:tc>
          <w:tcPr>
            <w:tcW w:w="980"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地方标准 □</w:t>
            </w:r>
          </w:p>
        </w:tc>
        <w:tc>
          <w:tcPr>
            <w:tcW w:w="953"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附录D √</w:t>
            </w:r>
          </w:p>
        </w:tc>
        <w:tc>
          <w:tcPr>
            <w:tcW w:w="631"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其他标准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现状评价</w:t>
            </w: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环境功能区</w:t>
            </w:r>
          </w:p>
        </w:tc>
        <w:tc>
          <w:tcPr>
            <w:tcW w:w="1350"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一类区□</w:t>
            </w:r>
          </w:p>
        </w:tc>
        <w:tc>
          <w:tcPr>
            <w:tcW w:w="1352"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二类区√</w:t>
            </w:r>
          </w:p>
        </w:tc>
        <w:tc>
          <w:tcPr>
            <w:tcW w:w="861"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评价基准年</w:t>
            </w:r>
          </w:p>
        </w:tc>
        <w:tc>
          <w:tcPr>
            <w:tcW w:w="3563" w:type="pct"/>
            <w:gridSpan w:val="1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  2018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环境空气质量</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现状调查数据来源</w:t>
            </w:r>
          </w:p>
        </w:tc>
        <w:tc>
          <w:tcPr>
            <w:tcW w:w="1350"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长期例行监测数据√</w:t>
            </w:r>
          </w:p>
        </w:tc>
        <w:tc>
          <w:tcPr>
            <w:tcW w:w="1352"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主管部门发布的数据√</w:t>
            </w:r>
          </w:p>
        </w:tc>
        <w:tc>
          <w:tcPr>
            <w:tcW w:w="861"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现状补充监测√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现状评价</w:t>
            </w:r>
          </w:p>
        </w:tc>
        <w:tc>
          <w:tcPr>
            <w:tcW w:w="1978" w:type="pct"/>
            <w:gridSpan w:val="1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达标区□</w:t>
            </w:r>
          </w:p>
        </w:tc>
        <w:tc>
          <w:tcPr>
            <w:tcW w:w="1585"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污染源</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调查</w:t>
            </w: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调查内容</w:t>
            </w:r>
          </w:p>
        </w:tc>
        <w:tc>
          <w:tcPr>
            <w:tcW w:w="1430"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本项目正常排放源 √</w:t>
            </w:r>
          </w:p>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本项目非正常排放源 □</w:t>
            </w:r>
          </w:p>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现有污染源 √</w:t>
            </w:r>
          </w:p>
        </w:tc>
        <w:tc>
          <w:tcPr>
            <w:tcW w:w="547"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拟替代的污染源□</w:t>
            </w:r>
          </w:p>
        </w:tc>
        <w:tc>
          <w:tcPr>
            <w:tcW w:w="953"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其他在建、拟建项目污染源□</w:t>
            </w:r>
          </w:p>
        </w:tc>
        <w:tc>
          <w:tcPr>
            <w:tcW w:w="631"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大气环境影响预测与</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评价</w:t>
            </w: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预测模型</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AERMOD</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w:t>
            </w:r>
          </w:p>
        </w:tc>
        <w:tc>
          <w:tcPr>
            <w:tcW w:w="405"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ADMS</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w:t>
            </w:r>
          </w:p>
        </w:tc>
        <w:tc>
          <w:tcPr>
            <w:tcW w:w="664"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AUSTAL2000</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w:t>
            </w:r>
          </w:p>
        </w:tc>
        <w:tc>
          <w:tcPr>
            <w:tcW w:w="648"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EDMS/AEDT</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w:t>
            </w:r>
          </w:p>
        </w:tc>
        <w:tc>
          <w:tcPr>
            <w:tcW w:w="46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CALPUFF□</w:t>
            </w:r>
          </w:p>
        </w:tc>
        <w:tc>
          <w:tcPr>
            <w:tcW w:w="48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网格模型</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w:t>
            </w:r>
          </w:p>
        </w:tc>
        <w:tc>
          <w:tcPr>
            <w:tcW w:w="38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其他</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预测范围</w:t>
            </w:r>
          </w:p>
        </w:tc>
        <w:tc>
          <w:tcPr>
            <w:tcW w:w="924"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边长≥ 50km□</w:t>
            </w:r>
          </w:p>
        </w:tc>
        <w:tc>
          <w:tcPr>
            <w:tcW w:w="1777" w:type="pct"/>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边长5～50km □</w:t>
            </w:r>
          </w:p>
        </w:tc>
        <w:tc>
          <w:tcPr>
            <w:tcW w:w="861"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边长 = 5 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预测因子</w:t>
            </w:r>
          </w:p>
        </w:tc>
        <w:tc>
          <w:tcPr>
            <w:tcW w:w="1978" w:type="pct"/>
            <w:gridSpan w:val="1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 xml:space="preserve">预测因子(    </w:t>
            </w:r>
            <w:r>
              <w:rPr>
                <w:rFonts w:hint="default" w:ascii="Times New Roman" w:hAnsi="Times New Roman" w:eastAsia="宋体" w:cs="Times New Roman"/>
                <w:sz w:val="18"/>
                <w:szCs w:val="18"/>
                <w:highlight w:val="none"/>
                <w:lang w:val="en-US" w:eastAsia="zh-CN"/>
              </w:rPr>
              <w:t>/</w:t>
            </w:r>
            <w:r>
              <w:rPr>
                <w:rFonts w:hint="default" w:ascii="Times New Roman" w:hAnsi="Times New Roman" w:eastAsia="宋体" w:cs="Times New Roman"/>
                <w:sz w:val="18"/>
                <w:szCs w:val="18"/>
                <w:highlight w:val="none"/>
              </w:rPr>
              <w:t xml:space="preserve">  )</w:t>
            </w:r>
          </w:p>
        </w:tc>
        <w:tc>
          <w:tcPr>
            <w:tcW w:w="1585"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包括二次PM</w:t>
            </w:r>
            <w:r>
              <w:rPr>
                <w:rFonts w:hint="default" w:ascii="Times New Roman" w:hAnsi="Times New Roman" w:eastAsia="宋体" w:cs="Times New Roman"/>
                <w:sz w:val="18"/>
                <w:szCs w:val="18"/>
                <w:highlight w:val="none"/>
                <w:vertAlign w:val="subscript"/>
              </w:rPr>
              <w:t>2.5</w:t>
            </w:r>
            <w:r>
              <w:rPr>
                <w:rFonts w:hint="default" w:ascii="Times New Roman" w:hAnsi="Times New Roman" w:eastAsia="宋体" w:cs="Times New Roman"/>
                <w:sz w:val="18"/>
                <w:szCs w:val="18"/>
                <w:highlight w:val="none"/>
              </w:rPr>
              <w:t xml:space="preserve"> □</w:t>
            </w:r>
          </w:p>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不包括二次PM</w:t>
            </w:r>
            <w:r>
              <w:rPr>
                <w:rFonts w:hint="default" w:ascii="Times New Roman" w:hAnsi="Times New Roman" w:eastAsia="宋体" w:cs="Times New Roman"/>
                <w:sz w:val="18"/>
                <w:szCs w:val="18"/>
                <w:highlight w:val="none"/>
                <w:vertAlign w:val="subscript"/>
              </w:rPr>
              <w:t>2.5</w:t>
            </w:r>
            <w:r>
              <w:rPr>
                <w:rFonts w:hint="default" w:ascii="Times New Roman" w:hAnsi="Times New Roman" w:eastAsia="宋体" w:cs="Times New Roman"/>
                <w:sz w:val="18"/>
                <w:szCs w:val="1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正常排放短期浓度</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贡献值</w:t>
            </w:r>
          </w:p>
        </w:tc>
        <w:tc>
          <w:tcPr>
            <w:tcW w:w="1978" w:type="pct"/>
            <w:gridSpan w:val="1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QUOTE </w:instrText>
            </w:r>
            <w:r>
              <w:rPr>
                <w:rFonts w:hint="default" w:ascii="Times New Roman" w:hAnsi="Times New Roman" w:eastAsia="宋体" w:cs="Times New Roman"/>
                <w:position w:val="-11"/>
                <w:sz w:val="18"/>
                <w:szCs w:val="18"/>
                <w:highlight w:val="none"/>
              </w:rPr>
              <w:pict>
                <v:shape id="_x0000_i1033"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4BD0&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854BD0&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instrText xml:space="preserve">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position w:val="-11"/>
                <w:sz w:val="18"/>
                <w:szCs w:val="18"/>
                <w:highlight w:val="none"/>
              </w:rPr>
              <w:pict>
                <v:shape id="_x0000_i1034"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4BD0&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854BD0&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sz w:val="18"/>
                <w:szCs w:val="18"/>
                <w:highlight w:val="none"/>
              </w:rPr>
              <w:t>最大占标率≤100%□</w:t>
            </w:r>
          </w:p>
        </w:tc>
        <w:tc>
          <w:tcPr>
            <w:tcW w:w="1585"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QUOTE </w:instrText>
            </w:r>
            <w:r>
              <w:rPr>
                <w:rFonts w:hint="default" w:ascii="Times New Roman" w:hAnsi="Times New Roman" w:eastAsia="宋体" w:cs="Times New Roman"/>
                <w:position w:val="-11"/>
                <w:sz w:val="18"/>
                <w:szCs w:val="18"/>
                <w:highlight w:val="none"/>
              </w:rPr>
              <w:pict>
                <v:shape id="_x0000_i1035"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0A4F&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070A4F&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instrText xml:space="preserve">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position w:val="-11"/>
                <w:sz w:val="18"/>
                <w:szCs w:val="18"/>
                <w:highlight w:val="none"/>
              </w:rPr>
              <w:pict>
                <v:shape id="_x0000_i1036"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0A4F&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070A4F&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sz w:val="18"/>
                <w:szCs w:val="18"/>
                <w:highlight w:val="none"/>
              </w:rPr>
              <w:t>最大占标率＞100%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正常排放年均浓度</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贡献值</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一类区</w:t>
            </w:r>
          </w:p>
        </w:tc>
        <w:tc>
          <w:tcPr>
            <w:tcW w:w="1459" w:type="pct"/>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QUOTE </w:instrText>
            </w:r>
            <w:r>
              <w:rPr>
                <w:rFonts w:hint="default" w:ascii="Times New Roman" w:hAnsi="Times New Roman" w:eastAsia="宋体" w:cs="Times New Roman"/>
                <w:position w:val="-11"/>
                <w:sz w:val="18"/>
                <w:szCs w:val="18"/>
                <w:highlight w:val="none"/>
              </w:rPr>
              <w:pict>
                <v:shape id="_x0000_i1037"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AF3&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805AF3&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instrText xml:space="preserve">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position w:val="-11"/>
                <w:sz w:val="18"/>
                <w:szCs w:val="18"/>
                <w:highlight w:val="none"/>
              </w:rPr>
              <w:pict>
                <v:shape id="_x0000_i1038"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AF3&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805AF3&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sz w:val="18"/>
                <w:szCs w:val="18"/>
                <w:highlight w:val="none"/>
              </w:rPr>
              <w:t>最大占标率≤10%□</w:t>
            </w:r>
          </w:p>
        </w:tc>
        <w:tc>
          <w:tcPr>
            <w:tcW w:w="1585"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QUOTE </w:instrText>
            </w:r>
            <w:r>
              <w:rPr>
                <w:rFonts w:hint="default" w:ascii="Times New Roman" w:hAnsi="Times New Roman" w:eastAsia="宋体" w:cs="Times New Roman"/>
                <w:position w:val="-11"/>
                <w:sz w:val="18"/>
                <w:szCs w:val="18"/>
                <w:highlight w:val="none"/>
              </w:rPr>
              <w:pict>
                <v:shape id="_x0000_i1039"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4C72&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424C72&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instrText xml:space="preserve">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position w:val="-11"/>
                <w:sz w:val="18"/>
                <w:szCs w:val="18"/>
                <w:highlight w:val="none"/>
              </w:rPr>
              <w:pict>
                <v:shape id="_x0000_i1040"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4C72&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424C72&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sz w:val="18"/>
                <w:szCs w:val="18"/>
                <w:highlight w:val="none"/>
              </w:rPr>
              <w:t>最大标率＞10%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二类区</w:t>
            </w:r>
          </w:p>
        </w:tc>
        <w:tc>
          <w:tcPr>
            <w:tcW w:w="1459" w:type="pct"/>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QUOTE </w:instrText>
            </w:r>
            <w:r>
              <w:rPr>
                <w:rFonts w:hint="default" w:ascii="Times New Roman" w:hAnsi="Times New Roman" w:eastAsia="宋体" w:cs="Times New Roman"/>
                <w:position w:val="-11"/>
                <w:sz w:val="18"/>
                <w:szCs w:val="18"/>
                <w:highlight w:val="none"/>
              </w:rPr>
              <w:pict>
                <v:shape id="_x0000_i1041"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09CC&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2D09CC&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instrText xml:space="preserve">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position w:val="-11"/>
                <w:sz w:val="18"/>
                <w:szCs w:val="18"/>
                <w:highlight w:val="none"/>
              </w:rPr>
              <w:pict>
                <v:shape id="_x0000_i1042"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09CC&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2D09CC&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sz w:val="18"/>
                <w:szCs w:val="18"/>
                <w:highlight w:val="none"/>
              </w:rPr>
              <w:t>最大占标率≤30%□</w:t>
            </w:r>
          </w:p>
        </w:tc>
        <w:tc>
          <w:tcPr>
            <w:tcW w:w="1585"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QUOTE </w:instrText>
            </w:r>
            <w:r>
              <w:rPr>
                <w:rFonts w:hint="default" w:ascii="Times New Roman" w:hAnsi="Times New Roman" w:eastAsia="宋体" w:cs="Times New Roman"/>
                <w:position w:val="-11"/>
                <w:sz w:val="18"/>
                <w:szCs w:val="18"/>
                <w:highlight w:val="none"/>
              </w:rPr>
              <w:pict>
                <v:shape id="_x0000_i1043"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78B&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99778B&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instrText xml:space="preserve">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position w:val="-11"/>
                <w:sz w:val="18"/>
                <w:szCs w:val="18"/>
                <w:highlight w:val="none"/>
              </w:rPr>
              <w:pict>
                <v:shape id="_x0000_i1044"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78B&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99778B&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鏈」鐩?/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6" chromakey="#FFFFFF" o:title=""/>
                  <o:lock v:ext="edit" aspectratio="t"/>
                  <w10:wrap type="none"/>
                  <w10:anchorlock/>
                </v:shape>
              </w:pic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sz w:val="18"/>
                <w:szCs w:val="18"/>
                <w:highlight w:val="none"/>
              </w:rPr>
              <w:t>最大标率＞30%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非正常排放1h浓度贡献值</w:t>
            </w:r>
          </w:p>
        </w:tc>
        <w:tc>
          <w:tcPr>
            <w:tcW w:w="752"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非正常持续时长（  ）h</w:t>
            </w:r>
          </w:p>
        </w:tc>
        <w:tc>
          <w:tcPr>
            <w:tcW w:w="1598" w:type="pct"/>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QUOTE </w:instrText>
            </w:r>
            <w:r>
              <w:rPr>
                <w:rFonts w:hint="default" w:ascii="Times New Roman" w:hAnsi="Times New Roman" w:eastAsia="宋体" w:cs="Times New Roman"/>
                <w:position w:val="-11"/>
                <w:sz w:val="18"/>
                <w:szCs w:val="18"/>
                <w:highlight w:val="none"/>
              </w:rPr>
              <w:pict>
                <v:shape id="_x0000_i1045"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66C&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9E466C&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闈炴甯?/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7" chromakey="#FFFFFF" o:title=""/>
                  <o:lock v:ext="edit" aspectratio="t"/>
                  <w10:wrap type="none"/>
                  <w10:anchorlock/>
                </v:shape>
              </w:pict>
            </w:r>
            <w:r>
              <w:rPr>
                <w:rFonts w:hint="default" w:ascii="Times New Roman" w:hAnsi="Times New Roman" w:eastAsia="宋体" w:cs="Times New Roman"/>
                <w:sz w:val="18"/>
                <w:szCs w:val="18"/>
                <w:highlight w:val="none"/>
              </w:rPr>
              <w:instrText xml:space="preserve">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position w:val="-11"/>
                <w:sz w:val="18"/>
                <w:szCs w:val="18"/>
                <w:highlight w:val="none"/>
              </w:rPr>
              <w:pict>
                <v:shape id="_x0000_i1046"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66C&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9E466C&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闈炴甯?/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7" chromakey="#FFFFFF" o:title=""/>
                  <o:lock v:ext="edit" aspectratio="t"/>
                  <w10:wrap type="none"/>
                  <w10:anchorlock/>
                </v:shape>
              </w:pic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sz w:val="18"/>
                <w:szCs w:val="18"/>
                <w:highlight w:val="none"/>
              </w:rPr>
              <w:t>占标率≤100% □</w:t>
            </w:r>
          </w:p>
        </w:tc>
        <w:tc>
          <w:tcPr>
            <w:tcW w:w="1212"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QUOTE </w:instrText>
            </w:r>
            <w:r>
              <w:rPr>
                <w:rFonts w:hint="default" w:ascii="Times New Roman" w:hAnsi="Times New Roman" w:eastAsia="宋体" w:cs="Times New Roman"/>
                <w:position w:val="-11"/>
                <w:sz w:val="18"/>
                <w:szCs w:val="18"/>
                <w:highlight w:val="none"/>
              </w:rPr>
              <w:pict>
                <v:shape id="_x0000_i1047"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86E&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D7286E&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闈炴甯?/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7" chromakey="#FFFFFF" o:title=""/>
                  <o:lock v:ext="edit" aspectratio="t"/>
                  <w10:wrap type="none"/>
                  <w10:anchorlock/>
                </v:shape>
              </w:pict>
            </w:r>
            <w:r>
              <w:rPr>
                <w:rFonts w:hint="default" w:ascii="Times New Roman" w:hAnsi="Times New Roman" w:eastAsia="宋体" w:cs="Times New Roman"/>
                <w:sz w:val="18"/>
                <w:szCs w:val="18"/>
                <w:highlight w:val="none"/>
              </w:rPr>
              <w:instrText xml:space="preserve">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position w:val="-11"/>
                <w:sz w:val="18"/>
                <w:szCs w:val="18"/>
                <w:highlight w:val="none"/>
              </w:rPr>
              <w:pict>
                <v:shape id="_x0000_i1048" o:spt="75" type="#_x0000_t75" style="height:13.5pt;width:24.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86E&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D7286E&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闈炴甯?/m:t&gt;&lt;/m:r&gt;&lt;/m:sub&gt;&lt;/m:sSub&gt;&lt;/m:oMath&gt;&lt;/m:oMathPara&gt;&lt;/w:p&gt;&lt;w:sectPr wsp:rsidR=&quot;00000000&quot;&gt;&lt;w:pgSz w:w=&quot;12240&quot; w:h=&quot;15840&quot;/&gt;&lt;w:pgMar w:top=&quot;1440&quot; w:right=ath&quot; w:ath&quot; w:ath&quot; w:ath&quot; w:&quot;1h&quot; w:hi8&quot; w:hint00&quot; w:bottom=&quot;1440&quot; w:left=&quot;1800&quot; w:header=&quot;720&quot; w:footer=&quot;720&quot; w:gutter=&quot;0&quot;/&gt;&lt;w:cols w:space=&quot;720&quot;/&gt;&lt;/w:sectPr&gt;&lt;/w:body&gt;&lt;/w:wordDocument&gt;">
                  <v:path/>
                  <v:fill on="f" focussize="0,0"/>
                  <v:stroke on="f" joinstyle="miter"/>
                  <v:imagedata r:id="rId37" chromakey="#FFFFFF" o:title=""/>
                  <o:lock v:ext="edit" aspectratio="t"/>
                  <w10:wrap type="none"/>
                  <w10:anchorlock/>
                </v:shape>
              </w:pic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sz w:val="18"/>
                <w:szCs w:val="18"/>
                <w:highlight w:val="none"/>
              </w:rPr>
              <w:t>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保证率日平均浓度和年平均浓度叠加值</w:t>
            </w:r>
          </w:p>
        </w:tc>
        <w:tc>
          <w:tcPr>
            <w:tcW w:w="1655" w:type="pct"/>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QUOTE </w:instrText>
            </w:r>
            <w:r>
              <w:rPr>
                <w:rFonts w:hint="default" w:ascii="Times New Roman" w:hAnsi="Times New Roman" w:eastAsia="宋体" w:cs="Times New Roman"/>
                <w:position w:val="-11"/>
                <w:sz w:val="18"/>
                <w:szCs w:val="18"/>
                <w:highlight w:val="none"/>
              </w:rPr>
              <w:pict>
                <v:shape id="_x0000_i1049" o:spt="75" type="#_x0000_t75" style="height:13.5pt;width:1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BFB&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302BFB&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鍙犲姞&lt;/m:t&gt;&lt;/m:r&gt;&lt;/m:sub&gt;&lt;/m:sSub&gt;&lt;/m:oMath&gt;&lt;/m:oMathPara&gt;&lt;/w:p&gt;&lt;w:sectPr wsp:rsidR=&quot;00000000&quot;&gt;&lt;w:pgSz w:w=&quot;12240&quot; w:h=&quot;15840&quot;/&gt;&lt;w:pgMar w:top=&quot;1440&quot; w:right=&quot;1th&quot; w:th&quot; w:th&quot; w:th&quot; w:80&quot; w:hi0&quot;w:hint w:bottom=&quot;1440&quot; w:left=&quot;1800&quot; w:header=&quot;720&quot; w:footer=&quot;720&quot; w:gutter=&quot;0&quot;/&gt;&lt;w:cols w:space=&quot;720&quot;/&gt;&lt;/w:sectPr&gt;&lt;/w:body&gt;&lt;/w:wordDocument&gt;">
                  <v:path/>
                  <v:fill on="f" focussize="0,0"/>
                  <v:stroke on="f" joinstyle="miter"/>
                  <v:imagedata r:id="rId38" chromakey="#FFFFFF" o:title=""/>
                  <o:lock v:ext="edit" aspectratio="t"/>
                  <w10:wrap type="none"/>
                  <w10:anchorlock/>
                </v:shape>
              </w:pict>
            </w:r>
            <w:r>
              <w:rPr>
                <w:rFonts w:hint="default" w:ascii="Times New Roman" w:hAnsi="Times New Roman" w:eastAsia="宋体" w:cs="Times New Roman"/>
                <w:sz w:val="18"/>
                <w:szCs w:val="18"/>
                <w:highlight w:val="none"/>
              </w:rPr>
              <w:instrText xml:space="preserve">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position w:val="-11"/>
                <w:sz w:val="18"/>
                <w:szCs w:val="18"/>
                <w:highlight w:val="none"/>
              </w:rPr>
              <w:pict>
                <v:shape id="_x0000_i1050" o:spt="75" type="#_x0000_t75" style="height:13.5pt;width:1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BFB&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302BFB&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鍙犲姞&lt;/m:t&gt;&lt;/m:r&gt;&lt;/m:sub&gt;&lt;/m:sSub&gt;&lt;/m:oMath&gt;&lt;/m:oMathPara&gt;&lt;/w:p&gt;&lt;w:sectPr wsp:rsidR=&quot;00000000&quot;&gt;&lt;w:pgSz w:w=&quot;12240&quot; w:h=&quot;15840&quot;/&gt;&lt;w:pgMar w:top=&quot;1440&quot; w:right=&quot;1th&quot; w:th&quot; w:th&quot; w:th&quot; w:80&quot; w:hi0&quot;w:hint w:bottom=&quot;1440&quot; w:left=&quot;1800&quot; w:header=&quot;720&quot; w:footer=&quot;720&quot; w:gutter=&quot;0&quot;/&gt;&lt;w:cols w:space=&quot;720&quot;/&gt;&lt;/w:sectPr&gt;&lt;/w:body&gt;&lt;/w:wordDocument&gt;">
                  <v:path/>
                  <v:fill on="f" focussize="0,0"/>
                  <v:stroke on="f" joinstyle="miter"/>
                  <v:imagedata r:id="rId38" chromakey="#FFFFFF" o:title=""/>
                  <o:lock v:ext="edit" aspectratio="t"/>
                  <w10:wrap type="none"/>
                  <w10:anchorlock/>
                </v:shape>
              </w:pic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sz w:val="18"/>
                <w:szCs w:val="18"/>
                <w:highlight w:val="none"/>
              </w:rPr>
              <w:t>达标 □</w:t>
            </w:r>
          </w:p>
        </w:tc>
        <w:tc>
          <w:tcPr>
            <w:tcW w:w="1908"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QUOTE </w:instrText>
            </w:r>
            <w:r>
              <w:rPr>
                <w:rFonts w:hint="default" w:ascii="Times New Roman" w:hAnsi="Times New Roman" w:eastAsia="宋体" w:cs="Times New Roman"/>
                <w:position w:val="-11"/>
                <w:sz w:val="18"/>
                <w:szCs w:val="18"/>
                <w:highlight w:val="none"/>
              </w:rPr>
              <w:pict>
                <v:shape id="_x0000_i1051" o:spt="75" type="#_x0000_t75" style="height:13.5pt;width:1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6F32&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966F32&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鍙犲姞&lt;/m:t&gt;&lt;/m:r&gt;&lt;/m:sub&gt;&lt;/m:sSub&gt;&lt;/m:oMath&gt;&lt;/m:oMathPara&gt;&lt;/w:p&gt;&lt;w:sectPr wsp:rsidR=&quot;00000000&quot;&gt;&lt;w:pgSz w:w=&quot;12240&quot; w:h=&quot;15840&quot;/&gt;&lt;w:pgMar w:top=&quot;1440&quot; w:right=&quot;1th&quot; w:th&quot; w:th&quot; w:th&quot; w:80&quot; w:hi0&quot;w:hint w:bottom=&quot;1440&quot; w:left=&quot;1800&quot; w:header=&quot;720&quot; w:footer=&quot;720&quot; w:gutter=&quot;0&quot;/&gt;&lt;w:cols w:space=&quot;720&quot;/&gt;&lt;/w:sectPr&gt;&lt;/w:body&gt;&lt;/w:wordDocument&gt;">
                  <v:path/>
                  <v:fill on="f" focussize="0,0"/>
                  <v:stroke on="f" joinstyle="miter"/>
                  <v:imagedata r:id="rId38" chromakey="#FFFFFF" o:title=""/>
                  <o:lock v:ext="edit" aspectratio="t"/>
                  <w10:wrap type="none"/>
                  <w10:anchorlock/>
                </v:shape>
              </w:pict>
            </w:r>
            <w:r>
              <w:rPr>
                <w:rFonts w:hint="default" w:ascii="Times New Roman" w:hAnsi="Times New Roman" w:eastAsia="宋体" w:cs="Times New Roman"/>
                <w:sz w:val="18"/>
                <w:szCs w:val="18"/>
                <w:highlight w:val="none"/>
              </w:rPr>
              <w:instrText xml:space="preserve">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position w:val="-11"/>
                <w:sz w:val="18"/>
                <w:szCs w:val="18"/>
                <w:highlight w:val="none"/>
              </w:rPr>
              <w:pict>
                <v:shape id="_x0000_i1052" o:spt="75" type="#_x0000_t75" style="height:13.5pt;width:1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D2A31&quot;/&gt;&lt;wsp:rsid wsp:val=&quot;00001145&quot;/&gt;&lt;wsp:rsid wsp:val=&quot;00001173&quot;/&gt;&lt;wsp:rsid wsp:val=&quot;00001770&quot;/&gt;&lt;wsp:rsid wsp:val=&quot;000019F5&quot;/&gt;&lt;wsp:rsid wsp:val=&quot;00001F83&quot;/&gt;&lt;wsp:rsid wsp:val=&quot;00002242&quot;/&gt;&lt;wsp:rsid wsp:val=&quot;000029DE&quot;/&gt;&lt;wsp:rsid wsp:val=&quot;00002AD5&quot;/&gt;&lt;wsp:rsid wsp:val=&quot;000031B4&quot;/&gt;&lt;wsp:rsid wsp:val=&quot;000044C0&quot;/&gt;&lt;wsp:rsid wsp:val=&quot;00004D5B&quot;/&gt;&lt;wsp:rsid wsp:val=&quot;00007639&quot;/&gt;&lt;wsp:rsid wsp:val=&quot;0001026F&quot;/&gt;&lt;wsp:rsid wsp:val=&quot;000104C3&quot;/&gt;&lt;wsp:rsid wsp:val=&quot;000113E5&quot;/&gt;&lt;wsp:rsid wsp:val=&quot;00011D8E&quot;/&gt;&lt;wsp:rsid wsp:val=&quot;00012AB4&quot;/&gt;&lt;wsp:rsid wsp:val=&quot;00013B05&quot;/&gt;&lt;wsp:rsid wsp:val=&quot;00014121&quot;/&gt;&lt;wsp:rsid wsp:val=&quot;000144B4&quot;/&gt;&lt;wsp:rsid wsp:val=&quot;000147C5&quot;/&gt;&lt;wsp:rsid wsp:val=&quot;00014CF2&quot;/&gt;&lt;wsp:rsid wsp:val=&quot;0001519E&quot;/&gt;&lt;wsp:rsid wsp:val=&quot;00015277&quot;/&gt;&lt;wsp:rsid wsp:val=&quot;00015678&quot;/&gt;&lt;wsp:rsid wsp:val=&quot;00015CF1&quot;/&gt;&lt;wsp:rsid wsp:val=&quot;00015E3B&quot;/&gt;&lt;wsp:rsid wsp:val=&quot;00015F32&quot;/&gt;&lt;wsp:rsid wsp:val=&quot;000166BC&quot;/&gt;&lt;wsp:rsid wsp:val=&quot;00016D07&quot;/&gt;&lt;wsp:rsid wsp:val=&quot;0001778C&quot;/&gt;&lt;wsp:rsid wsp:val=&quot;00017ACD&quot;/&gt;&lt;wsp:rsid wsp:val=&quot;00017ED9&quot;/&gt;&lt;wsp:rsid wsp:val=&quot;00020209&quot;/&gt;&lt;wsp:rsid wsp:val=&quot;00020601&quot;/&gt;&lt;wsp:rsid wsp:val=&quot;00020D1F&quot;/&gt;&lt;wsp:rsid wsp:val=&quot;00020FC9&quot;/&gt;&lt;wsp:rsid wsp:val=&quot;00021354&quot;/&gt;&lt;wsp:rsid wsp:val=&quot;00022D32&quot;/&gt;&lt;wsp:rsid wsp:val=&quot;000239C4&quot;/&gt;&lt;wsp:rsid wsp:val=&quot;0002482B&quot;/&gt;&lt;wsp:rsid wsp:val=&quot;0002688F&quot;/&gt;&lt;wsp:rsid wsp:val=&quot;00032AF1&quot;/&gt;&lt;wsp:rsid wsp:val=&quot;00032B3B&quot;/&gt;&lt;wsp:rsid wsp:val=&quot;00033A54&quot;/&gt;&lt;wsp:rsid wsp:val=&quot;00037553&quot;/&gt;&lt;wsp:rsid wsp:val=&quot;000404DC&quot;/&gt;&lt;wsp:rsid wsp:val=&quot;00040D69&quot;/&gt;&lt;wsp:rsid wsp:val=&quot;00041337&quot;/&gt;&lt;wsp:rsid wsp:val=&quot;0004137D&quot;/&gt;&lt;wsp:rsid wsp:val=&quot;000437FE&quot;/&gt;&lt;wsp:rsid wsp:val=&quot;00045042&quot;/&gt;&lt;wsp:rsid wsp:val=&quot;000453F9&quot;/&gt;&lt;wsp:rsid wsp:val=&quot;000456B0&quot;/&gt;&lt;wsp:rsid wsp:val=&quot;000476C0&quot;/&gt;&lt;wsp:rsid wsp:val=&quot;00047C6C&quot;/&gt;&lt;wsp:rsid wsp:val=&quot;000500F2&quot;/&gt;&lt;wsp:rsid wsp:val=&quot;0005016B&quot;/&gt;&lt;wsp:rsid wsp:val=&quot;00050E2C&quot;/&gt;&lt;wsp:rsid wsp:val=&quot;00052171&quot;/&gt;&lt;wsp:rsid wsp:val=&quot;0005285D&quot;/&gt;&lt;wsp:rsid wsp:val=&quot;0005288A&quot;/&gt;&lt;wsp:rsid wsp:val=&quot;00052F48&quot;/&gt;&lt;wsp:rsid wsp:val=&quot;00053117&quot;/&gt;&lt;wsp:rsid wsp:val=&quot;000535B5&quot;/&gt;&lt;wsp:rsid wsp:val=&quot;000535C5&quot;/&gt;&lt;wsp:rsid wsp:val=&quot;00054633&quot;/&gt;&lt;wsp:rsid wsp:val=&quot;00054718&quot;/&gt;&lt;wsp:rsid wsp:val=&quot;00055FFD&quot;/&gt;&lt;wsp:rsid wsp:val=&quot;000571FA&quot;/&gt;&lt;wsp:rsid wsp:val=&quot;00057ECD&quot;/&gt;&lt;wsp:rsid wsp:val=&quot;00061761&quot;/&gt;&lt;wsp:rsid wsp:val=&quot;00062629&quot;/&gt;&lt;wsp:rsid wsp:val=&quot;0006283D&quot;/&gt;&lt;wsp:rsid wsp:val=&quot;000629BD&quot;/&gt;&lt;wsp:rsid wsp:val=&quot;00066303&quot;/&gt;&lt;wsp:rsid wsp:val=&quot;00066BCF&quot;/&gt;&lt;wsp:rsid wsp:val=&quot;00067172&quot;/&gt;&lt;wsp:rsid wsp:val=&quot;000673E9&quot;/&gt;&lt;wsp:rsid wsp:val=&quot;0007107A&quot;/&gt;&lt;wsp:rsid wsp:val=&quot;00071105&quot;/&gt;&lt;wsp:rsid wsp:val=&quot;0007170D&quot;/&gt;&lt;wsp:rsid wsp:val=&quot;00071C3D&quot;/&gt;&lt;wsp:rsid wsp:val=&quot;00071E45&quot;/&gt;&lt;wsp:rsid wsp:val=&quot;00071E6B&quot;/&gt;&lt;wsp:rsid wsp:val=&quot;000732CA&quot;/&gt;&lt;wsp:rsid wsp:val=&quot;0007335B&quot;/&gt;&lt;wsp:rsid wsp:val=&quot;0007367A&quot;/&gt;&lt;wsp:rsid wsp:val=&quot;00073D15&quot;/&gt;&lt;wsp:rsid wsp:val=&quot;00073D38&quot;/&gt;&lt;wsp:rsid wsp:val=&quot;00074DAD&quot;/&gt;&lt;wsp:rsid wsp:val=&quot;00075585&quot;/&gt;&lt;wsp:rsid wsp:val=&quot;00081D9C&quot;/&gt;&lt;wsp:rsid wsp:val=&quot;00082855&quot;/&gt;&lt;wsp:rsid wsp:val=&quot;000832B2&quot;/&gt;&lt;wsp:rsid wsp:val=&quot;0008336A&quot;/&gt;&lt;wsp:rsid wsp:val=&quot;00084C14&quot;/&gt;&lt;wsp:rsid wsp:val=&quot;00084CE6&quot;/&gt;&lt;wsp:rsid wsp:val=&quot;00085AFC&quot;/&gt;&lt;wsp:rsid wsp:val=&quot;00087F17&quot;/&gt;&lt;wsp:rsid wsp:val=&quot;0009174A&quot;/&gt;&lt;wsp:rsid wsp:val=&quot;0009189C&quot;/&gt;&lt;wsp:rsid wsp:val=&quot;00092317&quot;/&gt;&lt;wsp:rsid wsp:val=&quot;00093392&quot;/&gt;&lt;wsp:rsid wsp:val=&quot;000938BF&quot;/&gt;&lt;wsp:rsid wsp:val=&quot;00093D92&quot;/&gt;&lt;wsp:rsid wsp:val=&quot;000941B7&quot;/&gt;&lt;wsp:rsid wsp:val=&quot;0009536F&quot;/&gt;&lt;wsp:rsid wsp:val=&quot;000954C8&quot;/&gt;&lt;wsp:rsid wsp:val=&quot;00095F4D&quot;/&gt;&lt;wsp:rsid wsp:val=&quot;000962BC&quot;/&gt;&lt;wsp:rsid wsp:val=&quot;00097537&quot;/&gt;&lt;wsp:rsid wsp:val=&quot;000A0337&quot;/&gt;&lt;wsp:rsid wsp:val=&quot;000A0A91&quot;/&gt;&lt;wsp:rsid wsp:val=&quot;000A1C48&quot;/&gt;&lt;wsp:rsid wsp:val=&quot;000A2155&quot;/&gt;&lt;wsp:rsid wsp:val=&quot;000A3231&quot;/&gt;&lt;wsp:rsid wsp:val=&quot;000A403D&quot;/&gt;&lt;wsp:rsid wsp:val=&quot;000A4F8A&quot;/&gt;&lt;wsp:rsid wsp:val=&quot;000A4FEB&quot;/&gt;&lt;wsp:rsid wsp:val=&quot;000A5B11&quot;/&gt;&lt;wsp:rsid wsp:val=&quot;000A5F47&quot;/&gt;&lt;wsp:rsid wsp:val=&quot;000A5FB1&quot;/&gt;&lt;wsp:rsid wsp:val=&quot;000A6AB6&quot;/&gt;&lt;wsp:rsid wsp:val=&quot;000A6ABD&quot;/&gt;&lt;wsp:rsid wsp:val=&quot;000A745F&quot;/&gt;&lt;wsp:rsid wsp:val=&quot;000A79B9&quot;/&gt;&lt;wsp:rsid wsp:val=&quot;000B0AFF&quot;/&gt;&lt;wsp:rsid wsp:val=&quot;000B0C49&quot;/&gt;&lt;wsp:rsid wsp:val=&quot;000B0FC7&quot;/&gt;&lt;wsp:rsid wsp:val=&quot;000B1D08&quot;/&gt;&lt;wsp:rsid wsp:val=&quot;000B22F4&quot;/&gt;&lt;wsp:rsid wsp:val=&quot;000B25B4&quot;/&gt;&lt;wsp:rsid wsp:val=&quot;000B341F&quot;/&gt;&lt;wsp:rsid wsp:val=&quot;000B4DB9&quot;/&gt;&lt;wsp:rsid wsp:val=&quot;000B5E1E&quot;/&gt;&lt;wsp:rsid wsp:val=&quot;000B5E4D&quot;/&gt;&lt;wsp:rsid wsp:val=&quot;000B6EA4&quot;/&gt;&lt;wsp:rsid wsp:val=&quot;000B6F46&quot;/&gt;&lt;wsp:rsid wsp:val=&quot;000C3DA5&quot;/&gt;&lt;wsp:rsid wsp:val=&quot;000C7DEC&quot;/&gt;&lt;wsp:rsid wsp:val=&quot;000D0340&quot;/&gt;&lt;wsp:rsid wsp:val=&quot;000D2198&quot;/&gt;&lt;wsp:rsid wsp:val=&quot;000D2F5B&quot;/&gt;&lt;wsp:rsid wsp:val=&quot;000D3F91&quot;/&gt;&lt;wsp:rsid wsp:val=&quot;000D6718&quot;/&gt;&lt;wsp:rsid wsp:val=&quot;000D6E7E&quot;/&gt;&lt;wsp:rsid wsp:val=&quot;000D72DD&quot;/&gt;&lt;wsp:rsid wsp:val=&quot;000E0410&quot;/&gt;&lt;wsp:rsid wsp:val=&quot;000E1506&quot;/&gt;&lt;wsp:rsid wsp:val=&quot;000E202E&quot;/&gt;&lt;wsp:rsid wsp:val=&quot;000E2268&quot;/&gt;&lt;wsp:rsid wsp:val=&quot;000E3406&quot;/&gt;&lt;wsp:rsid wsp:val=&quot;000E4592&quot;/&gt;&lt;wsp:rsid wsp:val=&quot;000E53F5&quot;/&gt;&lt;wsp:rsid wsp:val=&quot;000E5B35&quot;/&gt;&lt;wsp:rsid wsp:val=&quot;000E628C&quot;/&gt;&lt;wsp:rsid wsp:val=&quot;000E684E&quot;/&gt;&lt;wsp:rsid wsp:val=&quot;000E6A51&quot;/&gt;&lt;wsp:rsid wsp:val=&quot;000F09B3&quot;/&gt;&lt;wsp:rsid wsp:val=&quot;000F0BE5&quot;/&gt;&lt;wsp:rsid wsp:val=&quot;000F16DE&quot;/&gt;&lt;wsp:rsid wsp:val=&quot;000F1FCE&quot;/&gt;&lt;wsp:rsid wsp:val=&quot;000F2910&quot;/&gt;&lt;wsp:rsid wsp:val=&quot;000F3742&quot;/&gt;&lt;wsp:rsid wsp:val=&quot;000F3CB3&quot;/&gt;&lt;wsp:rsid wsp:val=&quot;000F49B2&quot;/&gt;&lt;wsp:rsid wsp:val=&quot;000F5055&quot;/&gt;&lt;wsp:rsid wsp:val=&quot;000F71F4&quot;/&gt;&lt;wsp:rsid wsp:val=&quot;001017EB&quot;/&gt;&lt;wsp:rsid wsp:val=&quot;0010193C&quot;/&gt;&lt;wsp:rsid wsp:val=&quot;001040C5&quot;/&gt;&lt;wsp:rsid wsp:val=&quot;0010449F&quot;/&gt;&lt;wsp:rsid wsp:val=&quot;00104936&quot;/&gt;&lt;wsp:rsid wsp:val=&quot;001049AE&quot;/&gt;&lt;wsp:rsid wsp:val=&quot;00104A1F&quot;/&gt;&lt;wsp:rsid wsp:val=&quot;001056E3&quot;/&gt;&lt;wsp:rsid wsp:val=&quot;00106124&quot;/&gt;&lt;wsp:rsid wsp:val=&quot;001062C0&quot;/&gt;&lt;wsp:rsid wsp:val=&quot;00106660&quot;/&gt;&lt;wsp:rsid wsp:val=&quot;001068C7&quot;/&gt;&lt;wsp:rsid wsp:val=&quot;00106A13&quot;/&gt;&lt;wsp:rsid wsp:val=&quot;00106B71&quot;/&gt;&lt;wsp:rsid wsp:val=&quot;00107371&quot;/&gt;&lt;wsp:rsid wsp:val=&quot;00107811&quot;/&gt;&lt;wsp:rsid wsp:val=&quot;00110417&quot;/&gt;&lt;wsp:rsid wsp:val=&quot;001116E5&quot;/&gt;&lt;wsp:rsid wsp:val=&quot;00111A8F&quot;/&gt;&lt;wsp:rsid wsp:val=&quot;00111BF4&quot;/&gt;&lt;wsp:rsid wsp:val=&quot;00111E1F&quot;/&gt;&lt;wsp:rsid wsp:val=&quot;001121D8&quot;/&gt;&lt;wsp:rsid wsp:val=&quot;001121E9&quot;/&gt;&lt;wsp:rsid wsp:val=&quot;00112BF4&quot;/&gt;&lt;wsp:rsid wsp:val=&quot;00112C80&quot;/&gt;&lt;wsp:rsid wsp:val=&quot;001155AD&quot;/&gt;&lt;wsp:rsid wsp:val=&quot;00117879&quot;/&gt;&lt;wsp:rsid wsp:val=&quot;0012065F&quot;/&gt;&lt;wsp:rsid wsp:val=&quot;00120D8C&quot;/&gt;&lt;wsp:rsid wsp:val=&quot;0012146D&quot;/&gt;&lt;wsp:rsid wsp:val=&quot;00121780&quot;/&gt;&lt;wsp:rsid wsp:val=&quot;00121FD6&quot;/&gt;&lt;wsp:rsid wsp:val=&quot;00122549&quot;/&gt;&lt;wsp:rsid wsp:val=&quot;00122769&quot;/&gt;&lt;wsp:rsid wsp:val=&quot;00122A8B&quot;/&gt;&lt;wsp:rsid wsp:val=&quot;00122DBC&quot;/&gt;&lt;wsp:rsid wsp:val=&quot;00123473&quot;/&gt;&lt;wsp:rsid wsp:val=&quot;001235EB&quot;/&gt;&lt;wsp:rsid wsp:val=&quot;001236DD&quot;/&gt;&lt;wsp:rsid wsp:val=&quot;0012517A&quot;/&gt;&lt;wsp:rsid wsp:val=&quot;00125E3B&quot;/&gt;&lt;wsp:rsid wsp:val=&quot;00125FE9&quot;/&gt;&lt;wsp:rsid wsp:val=&quot;00126205&quot;/&gt;&lt;wsp:rsid wsp:val=&quot;00126342&quot;/&gt;&lt;wsp:rsid wsp:val=&quot;00130042&quot;/&gt;&lt;wsp:rsid wsp:val=&quot;001332E5&quot;/&gt;&lt;wsp:rsid wsp:val=&quot;00135536&quot;/&gt;&lt;wsp:rsid wsp:val=&quot;00136362&quot;/&gt;&lt;wsp:rsid wsp:val=&quot;00136BB4&quot;/&gt;&lt;wsp:rsid wsp:val=&quot;00137099&quot;/&gt;&lt;wsp:rsid wsp:val=&quot;001402B7&quot;/&gt;&lt;wsp:rsid wsp:val=&quot;00140713&quot;/&gt;&lt;wsp:rsid wsp:val=&quot;001414DC&quot;/&gt;&lt;wsp:rsid wsp:val=&quot;001434C8&quot;/&gt;&lt;wsp:rsid wsp:val=&quot;001443E7&quot;/&gt;&lt;wsp:rsid wsp:val=&quot;0014671B&quot;/&gt;&lt;wsp:rsid wsp:val=&quot;00146996&quot;/&gt;&lt;wsp:rsid wsp:val=&quot;0014700B&quot;/&gt;&lt;wsp:rsid wsp:val=&quot;00147960&quot;/&gt;&lt;wsp:rsid wsp:val=&quot;001479F1&quot;/&gt;&lt;wsp:rsid wsp:val=&quot;001503B4&quot;/&gt;&lt;wsp:rsid wsp:val=&quot;001518A6&quot;/&gt;&lt;wsp:rsid wsp:val=&quot;00151C44&quot;/&gt;&lt;wsp:rsid wsp:val=&quot;00151F0B&quot;/&gt;&lt;wsp:rsid wsp:val=&quot;00156429&quot;/&gt;&lt;wsp:rsid wsp:val=&quot;00156F40&quot;/&gt;&lt;wsp:rsid wsp:val=&quot;00161D5C&quot;/&gt;&lt;wsp:rsid wsp:val=&quot;001625C8&quot;/&gt;&lt;wsp:rsid wsp:val=&quot;00162FED&quot;/&gt;&lt;wsp:rsid wsp:val=&quot;0016353A&quot;/&gt;&lt;wsp:rsid wsp:val=&quot;0016371D&quot;/&gt;&lt;wsp:rsid wsp:val=&quot;00164C2B&quot;/&gt;&lt;wsp:rsid wsp:val=&quot;00167E3D&quot;/&gt;&lt;wsp:rsid wsp:val=&quot;00167F57&quot;/&gt;&lt;wsp:rsid wsp:val=&quot;001707D1&quot;/&gt;&lt;wsp:rsid wsp:val=&quot;001710B3&quot;/&gt;&lt;wsp:rsid wsp:val=&quot;00171FC2&quot;/&gt;&lt;wsp:rsid wsp:val=&quot;00172154&quot;/&gt;&lt;wsp:rsid wsp:val=&quot;00173471&quot;/&gt;&lt;wsp:rsid wsp:val=&quot;00173743&quot;/&gt;&lt;wsp:rsid wsp:val=&quot;00175504&quot;/&gt;&lt;wsp:rsid wsp:val=&quot;00175BE0&quot;/&gt;&lt;wsp:rsid wsp:val=&quot;001778F6&quot;/&gt;&lt;wsp:rsid wsp:val=&quot;00180690&quot;/&gt;&lt;wsp:rsid wsp:val=&quot;001812FB&quot;/&gt;&lt;wsp:rsid wsp:val=&quot;00181A70&quot;/&gt;&lt;wsp:rsid wsp:val=&quot;00182282&quot;/&gt;&lt;wsp:rsid wsp:val=&quot;0018245B&quot;/&gt;&lt;wsp:rsid wsp:val=&quot;00182DBA&quot;/&gt;&lt;wsp:rsid wsp:val=&quot;00183A44&quot;/&gt;&lt;wsp:rsid wsp:val=&quot;00185E5E&quot;/&gt;&lt;wsp:rsid wsp:val=&quot;001867AA&quot;/&gt;&lt;wsp:rsid wsp:val=&quot;00186AF8&quot;/&gt;&lt;wsp:rsid wsp:val=&quot;00187172&quot;/&gt;&lt;wsp:rsid wsp:val=&quot;001902C4&quot;/&gt;&lt;wsp:rsid wsp:val=&quot;001906F4&quot;/&gt;&lt;wsp:rsid wsp:val=&quot;00192074&quot;/&gt;&lt;wsp:rsid wsp:val=&quot;0019277C&quot;/&gt;&lt;wsp:rsid wsp:val=&quot;00193792&quot;/&gt;&lt;wsp:rsid wsp:val=&quot;00193BE1&quot;/&gt;&lt;wsp:rsid wsp:val=&quot;001940E6&quot;/&gt;&lt;wsp:rsid wsp:val=&quot;001944D6&quot;/&gt;&lt;wsp:rsid wsp:val=&quot;001947CB&quot;/&gt;&lt;wsp:rsid wsp:val=&quot;001950EB&quot;/&gt;&lt;wsp:rsid wsp:val=&quot;00195554&quot;/&gt;&lt;wsp:rsid wsp:val=&quot;00195AAA&quot;/&gt;&lt;wsp:rsid wsp:val=&quot;00196754&quot;/&gt;&lt;wsp:rsid wsp:val=&quot;00196BFA&quot;/&gt;&lt;wsp:rsid wsp:val=&quot;00196C6F&quot;/&gt;&lt;wsp:rsid wsp:val=&quot;001973E5&quot;/&gt;&lt;wsp:rsid wsp:val=&quot;001A05D6&quot;/&gt;&lt;wsp:rsid wsp:val=&quot;001A1473&quot;/&gt;&lt;wsp:rsid wsp:val=&quot;001A1763&quot;/&gt;&lt;wsp:rsid wsp:val=&quot;001A19ED&quot;/&gt;&lt;wsp:rsid wsp:val=&quot;001A20DA&quot;/&gt;&lt;wsp:rsid wsp:val=&quot;001A3D9B&quot;/&gt;&lt;wsp:rsid wsp:val=&quot;001A557A&quot;/&gt;&lt;wsp:rsid wsp:val=&quot;001A62B5&quot;/&gt;&lt;wsp:rsid wsp:val=&quot;001A6846&quot;/&gt;&lt;wsp:rsid wsp:val=&quot;001A71F7&quot;/&gt;&lt;wsp:rsid wsp:val=&quot;001A7431&quot;/&gt;&lt;wsp:rsid wsp:val=&quot;001B120E&quot;/&gt;&lt;wsp:rsid wsp:val=&quot;001B2824&quot;/&gt;&lt;wsp:rsid wsp:val=&quot;001B2E3F&quot;/&gt;&lt;wsp:rsid wsp:val=&quot;001B3649&quot;/&gt;&lt;wsp:rsid wsp:val=&quot;001B3D6C&quot;/&gt;&lt;wsp:rsid wsp:val=&quot;001B56B5&quot;/&gt;&lt;wsp:rsid wsp:val=&quot;001B59ED&quot;/&gt;&lt;wsp:rsid wsp:val=&quot;001B5E47&quot;/&gt;&lt;wsp:rsid wsp:val=&quot;001B6023&quot;/&gt;&lt;wsp:rsid wsp:val=&quot;001B743E&quot;/&gt;&lt;wsp:rsid wsp:val=&quot;001B77CC&quot;/&gt;&lt;wsp:rsid wsp:val=&quot;001C0881&quot;/&gt;&lt;wsp:rsid wsp:val=&quot;001C0F86&quot;/&gt;&lt;wsp:rsid wsp:val=&quot;001C3F7B&quot;/&gt;&lt;wsp:rsid wsp:val=&quot;001C4187&quot;/&gt;&lt;wsp:rsid wsp:val=&quot;001C7A1F&quot;/&gt;&lt;wsp:rsid wsp:val=&quot;001D20FA&quot;/&gt;&lt;wsp:rsid wsp:val=&quot;001D28B1&quot;/&gt;&lt;wsp:rsid wsp:val=&quot;001D2C3C&quot;/&gt;&lt;wsp:rsid wsp:val=&quot;001D2CA3&quot;/&gt;&lt;wsp:rsid wsp:val=&quot;001D2CAF&quot;/&gt;&lt;wsp:rsid wsp:val=&quot;001D372C&quot;/&gt;&lt;wsp:rsid wsp:val=&quot;001D3DE8&quot;/&gt;&lt;wsp:rsid wsp:val=&quot;001D3EFE&quot;/&gt;&lt;wsp:rsid wsp:val=&quot;001D4CED&quot;/&gt;&lt;wsp:rsid wsp:val=&quot;001D6185&quot;/&gt;&lt;wsp:rsid wsp:val=&quot;001D7B50&quot;/&gt;&lt;wsp:rsid wsp:val=&quot;001E13CE&quot;/&gt;&lt;wsp:rsid wsp:val=&quot;001E1E40&quot;/&gt;&lt;wsp:rsid wsp:val=&quot;001E367E&quot;/&gt;&lt;wsp:rsid wsp:val=&quot;001E46BE&quot;/&gt;&lt;wsp:rsid wsp:val=&quot;001E4BE5&quot;/&gt;&lt;wsp:rsid wsp:val=&quot;001E537C&quot;/&gt;&lt;wsp:rsid wsp:val=&quot;001E574C&quot;/&gt;&lt;wsp:rsid wsp:val=&quot;001E6627&quot;/&gt;&lt;wsp:rsid wsp:val=&quot;001F122A&quot;/&gt;&lt;wsp:rsid wsp:val=&quot;001F1FE9&quot;/&gt;&lt;wsp:rsid wsp:val=&quot;001F37D8&quot;/&gt;&lt;wsp:rsid wsp:val=&quot;001F38EE&quot;/&gt;&lt;wsp:rsid wsp:val=&quot;001F3C41&quot;/&gt;&lt;wsp:rsid wsp:val=&quot;001F45F0&quot;/&gt;&lt;wsp:rsid wsp:val=&quot;001F47FE&quot;/&gt;&lt;wsp:rsid wsp:val=&quot;001F53DD&quot;/&gt;&lt;wsp:rsid wsp:val=&quot;001F6440&quot;/&gt;&lt;wsp:rsid wsp:val=&quot;001F6D30&quot;/&gt;&lt;wsp:rsid wsp:val=&quot;001F7551&quot;/&gt;&lt;wsp:rsid wsp:val=&quot;001F7800&quot;/&gt;&lt;wsp:rsid wsp:val=&quot;002000F8&quot;/&gt;&lt;wsp:rsid wsp:val=&quot;0020297B&quot;/&gt;&lt;wsp:rsid wsp:val=&quot;002030C1&quot;/&gt;&lt;wsp:rsid wsp:val=&quot;0020412D&quot;/&gt;&lt;wsp:rsid wsp:val=&quot;002057F1&quot;/&gt;&lt;wsp:rsid wsp:val=&quot;00205952&quot;/&gt;&lt;wsp:rsid wsp:val=&quot;00205A7B&quot;/&gt;&lt;wsp:rsid wsp:val=&quot;00207334&quot;/&gt;&lt;wsp:rsid wsp:val=&quot;00207934&quot;/&gt;&lt;wsp:rsid wsp:val=&quot;00207F4A&quot;/&gt;&lt;wsp:rsid wsp:val=&quot;00212D1B&quot;/&gt;&lt;wsp:rsid wsp:val=&quot;00213A67&quot;/&gt;&lt;wsp:rsid wsp:val=&quot;00214C66&quot;/&gt;&lt;wsp:rsid wsp:val=&quot;00214F8E&quot;/&gt;&lt;wsp:rsid wsp:val=&quot;0021559C&quot;/&gt;&lt;wsp:rsid wsp:val=&quot;002159F2&quot;/&gt;&lt;wsp:rsid wsp:val=&quot;00215D8D&quot;/&gt;&lt;wsp:rsid wsp:val=&quot;00215E9B&quot;/&gt;&lt;wsp:rsid wsp:val=&quot;00217DCC&quot;/&gt;&lt;wsp:rsid wsp:val=&quot;00217E6F&quot;/&gt;&lt;wsp:rsid wsp:val=&quot;00220171&quot;/&gt;&lt;wsp:rsid wsp:val=&quot;002202E5&quot;/&gt;&lt;wsp:rsid wsp:val=&quot;0022175A&quot;/&gt;&lt;wsp:rsid wsp:val=&quot;00222544&quot;/&gt;&lt;wsp:rsid wsp:val=&quot;002241CF&quot;/&gt;&lt;wsp:rsid wsp:val=&quot;00224BCF&quot;/&gt;&lt;wsp:rsid wsp:val=&quot;002257A7&quot;/&gt;&lt;wsp:rsid wsp:val=&quot;00226380&quot;/&gt;&lt;wsp:rsid wsp:val=&quot;0022667B&quot;/&gt;&lt;wsp:rsid wsp:val=&quot;00230349&quot;/&gt;&lt;wsp:rsid wsp:val=&quot;0023038D&quot;/&gt;&lt;wsp:rsid wsp:val=&quot;002306B3&quot;/&gt;&lt;wsp:rsid wsp:val=&quot;0023097B&quot;/&gt;&lt;wsp:rsid wsp:val=&quot;002309A0&quot;/&gt;&lt;wsp:rsid wsp:val=&quot;0023163B&quot;/&gt;&lt;wsp:rsid wsp:val=&quot;002333FB&quot;/&gt;&lt;wsp:rsid wsp:val=&quot;0023432D&quot;/&gt;&lt;wsp:rsid wsp:val=&quot;0023531C&quot;/&gt;&lt;wsp:rsid wsp:val=&quot;002357A0&quot;/&gt;&lt;wsp:rsid wsp:val=&quot;00235A74&quot;/&gt;&lt;wsp:rsid wsp:val=&quot;00237B64&quot;/&gt;&lt;wsp:rsid wsp:val=&quot;00237E32&quot;/&gt;&lt;wsp:rsid wsp:val=&quot;002406F6&quot;/&gt;&lt;wsp:rsid wsp:val=&quot;0024190A&quot;/&gt;&lt;wsp:rsid wsp:val=&quot;00241D0B&quot;/&gt;&lt;wsp:rsid wsp:val=&quot;0024240E&quot;/&gt;&lt;wsp:rsid wsp:val=&quot;00244845&quot;/&gt;&lt;wsp:rsid wsp:val=&quot;00244ADF&quot;/&gt;&lt;wsp:rsid wsp:val=&quot;00245089&quot;/&gt;&lt;wsp:rsid wsp:val=&quot;00246163&quot;/&gt;&lt;wsp:rsid wsp:val=&quot;0024671B&quot;/&gt;&lt;wsp:rsid wsp:val=&quot;002470E7&quot;/&gt;&lt;wsp:rsid wsp:val=&quot;00247D9F&quot;/&gt;&lt;wsp:rsid wsp:val=&quot;00250D5E&quot;/&gt;&lt;wsp:rsid wsp:val=&quot;002528B1&quot;/&gt;&lt;wsp:rsid wsp:val=&quot;00255895&quot;/&gt;&lt;wsp:rsid wsp:val=&quot;00256353&quot;/&gt;&lt;wsp:rsid wsp:val=&quot;00260822&quot;/&gt;&lt;wsp:rsid wsp:val=&quot;0026095C&quot;/&gt;&lt;wsp:rsid wsp:val=&quot;00260A01&quot;/&gt;&lt;wsp:rsid wsp:val=&quot;0026230E&quot;/&gt;&lt;wsp:rsid wsp:val=&quot;00262C49&quot;/&gt;&lt;wsp:rsid wsp:val=&quot;00262E4F&quot;/&gt;&lt;wsp:rsid wsp:val=&quot;00263F9C&quot;/&gt;&lt;wsp:rsid wsp:val=&quot;00264F49&quot;/&gt;&lt;wsp:rsid wsp:val=&quot;002652B6&quot;/&gt;&lt;wsp:rsid wsp:val=&quot;0026549E&quot;/&gt;&lt;wsp:rsid wsp:val=&quot;00270C04&quot;/&gt;&lt;wsp:rsid wsp:val=&quot;0027109B&quot;/&gt;&lt;wsp:rsid wsp:val=&quot;00272177&quot;/&gt;&lt;wsp:rsid wsp:val=&quot;0027218D&quot;/&gt;&lt;wsp:rsid wsp:val=&quot;00272D90&quot;/&gt;&lt;wsp:rsid wsp:val=&quot;00273277&quot;/&gt;&lt;wsp:rsid wsp:val=&quot;0027386B&quot;/&gt;&lt;wsp:rsid wsp:val=&quot;002743C7&quot;/&gt;&lt;wsp:rsid wsp:val=&quot;00275403&quot;/&gt;&lt;wsp:rsid wsp:val=&quot;002770E5&quot;/&gt;&lt;wsp:rsid wsp:val=&quot;002774EE&quot;/&gt;&lt;wsp:rsid wsp:val=&quot;0028059A&quot;/&gt;&lt;wsp:rsid wsp:val=&quot;00283DF0&quot;/&gt;&lt;wsp:rsid wsp:val=&quot;002852D0&quot;/&gt;&lt;wsp:rsid wsp:val=&quot;00286C27&quot;/&gt;&lt;wsp:rsid wsp:val=&quot;00290608&quot;/&gt;&lt;wsp:rsid wsp:val=&quot;00291AF3&quot;/&gt;&lt;wsp:rsid wsp:val=&quot;00292F39&quot;/&gt;&lt;wsp:rsid wsp:val=&quot;00293150&quot;/&gt;&lt;wsp:rsid wsp:val=&quot;00294E90&quot;/&gt;&lt;wsp:rsid wsp:val=&quot;00294ED9&quot;/&gt;&lt;wsp:rsid wsp:val=&quot;0029537F&quot;/&gt;&lt;wsp:rsid wsp:val=&quot;00295651&quot;/&gt;&lt;wsp:rsid wsp:val=&quot;002956B0&quot;/&gt;&lt;wsp:rsid wsp:val=&quot;0029574A&quot;/&gt;&lt;wsp:rsid wsp:val=&quot;00296205&quot;/&gt;&lt;wsp:rsid wsp:val=&quot;002964B7&quot;/&gt;&lt;wsp:rsid wsp:val=&quot;002968D5&quot;/&gt;&lt;wsp:rsid wsp:val=&quot;002969F0&quot;/&gt;&lt;wsp:rsid wsp:val=&quot;00297296&quot;/&gt;&lt;wsp:rsid wsp:val=&quot;00297FBA&quot;/&gt;&lt;wsp:rsid wsp:val=&quot;002A0807&quot;/&gt;&lt;wsp:rsid wsp:val=&quot;002A0BFA&quot;/&gt;&lt;wsp:rsid wsp:val=&quot;002A0F40&quot;/&gt;&lt;wsp:rsid wsp:val=&quot;002A173A&quot;/&gt;&lt;wsp:rsid wsp:val=&quot;002A23C0&quot;/&gt;&lt;wsp:rsid wsp:val=&quot;002A27DA&quot;/&gt;&lt;wsp:rsid wsp:val=&quot;002A331B&quot;/&gt;&lt;wsp:rsid wsp:val=&quot;002A3B3A&quot;/&gt;&lt;wsp:rsid wsp:val=&quot;002A5091&quot;/&gt;&lt;wsp:rsid wsp:val=&quot;002A57FB&quot;/&gt;&lt;wsp:rsid wsp:val=&quot;002A5882&quot;/&gt;&lt;wsp:rsid wsp:val=&quot;002A6438&quot;/&gt;&lt;wsp:rsid wsp:val=&quot;002A672F&quot;/&gt;&lt;wsp:rsid wsp:val=&quot;002A72FC&quot;/&gt;&lt;wsp:rsid wsp:val=&quot;002A73A1&quot;/&gt;&lt;wsp:rsid wsp:val=&quot;002B15D3&quot;/&gt;&lt;wsp:rsid wsp:val=&quot;002B3DDC&quot;/&gt;&lt;wsp:rsid wsp:val=&quot;002B41B3&quot;/&gt;&lt;wsp:rsid wsp:val=&quot;002B4CA2&quot;/&gt;&lt;wsp:rsid wsp:val=&quot;002B53C3&quot;/&gt;&lt;wsp:rsid wsp:val=&quot;002B5955&quot;/&gt;&lt;wsp:rsid wsp:val=&quot;002B6706&quot;/&gt;&lt;wsp:rsid wsp:val=&quot;002B6815&quot;/&gt;&lt;wsp:rsid wsp:val=&quot;002B7819&quot;/&gt;&lt;wsp:rsid wsp:val=&quot;002B7FF5&quot;/&gt;&lt;wsp:rsid wsp:val=&quot;002C0A3B&quot;/&gt;&lt;wsp:rsid wsp:val=&quot;002C24B1&quot;/&gt;&lt;wsp:rsid wsp:val=&quot;002C34F4&quot;/&gt;&lt;wsp:rsid wsp:val=&quot;002C59AC&quot;/&gt;&lt;wsp:rsid wsp:val=&quot;002C59D1&quot;/&gt;&lt;wsp:rsid wsp:val=&quot;002C5F71&quot;/&gt;&lt;wsp:rsid wsp:val=&quot;002C6A2F&quot;/&gt;&lt;wsp:rsid wsp:val=&quot;002C76FD&quot;/&gt;&lt;wsp:rsid wsp:val=&quot;002D1F75&quot;/&gt;&lt;wsp:rsid wsp:val=&quot;002D2C91&quot;/&gt;&lt;wsp:rsid wsp:val=&quot;002D2CE7&quot;/&gt;&lt;wsp:rsid wsp:val=&quot;002D3D22&quot;/&gt;&lt;wsp:rsid wsp:val=&quot;002D3D31&quot;/&gt;&lt;wsp:rsid wsp:val=&quot;002D65E1&quot;/&gt;&lt;wsp:rsid wsp:val=&quot;002D6B58&quot;/&gt;&lt;wsp:rsid wsp:val=&quot;002D6E65&quot;/&gt;&lt;wsp:rsid wsp:val=&quot;002D7969&quot;/&gt;&lt;wsp:rsid wsp:val=&quot;002D7A3D&quot;/&gt;&lt;wsp:rsid wsp:val=&quot;002E080D&quot;/&gt;&lt;wsp:rsid wsp:val=&quot;002E0F94&quot;/&gt;&lt;wsp:rsid wsp:val=&quot;002E22F0&quot;/&gt;&lt;wsp:rsid wsp:val=&quot;002E2AAB&quot;/&gt;&lt;wsp:rsid wsp:val=&quot;002E42FB&quot;/&gt;&lt;wsp:rsid wsp:val=&quot;002E5D48&quot;/&gt;&lt;wsp:rsid wsp:val=&quot;002E5F2A&quot;/&gt;&lt;wsp:rsid wsp:val=&quot;002E5F31&quot;/&gt;&lt;wsp:rsid wsp:val=&quot;002E6C2E&quot;/&gt;&lt;wsp:rsid wsp:val=&quot;002E7755&quot;/&gt;&lt;wsp:rsid wsp:val=&quot;002F114A&quot;/&gt;&lt;wsp:rsid wsp:val=&quot;002F2700&quot;/&gt;&lt;wsp:rsid wsp:val=&quot;002F745C&quot;/&gt;&lt;wsp:rsid wsp:val=&quot;002F7739&quot;/&gt;&lt;wsp:rsid wsp:val=&quot;00300BCE&quot;/&gt;&lt;wsp:rsid wsp:val=&quot;003016BA&quot;/&gt;&lt;wsp:rsid wsp:val=&quot;0030207E&quot;/&gt;&lt;wsp:rsid wsp:val=&quot;00302388&quot;/&gt;&lt;wsp:rsid wsp:val=&quot;00302F77&quot;/&gt;&lt;wsp:rsid wsp:val=&quot;00303A0C&quot;/&gt;&lt;wsp:rsid wsp:val=&quot;003060D7&quot;/&gt;&lt;wsp:rsid wsp:val=&quot;00306A69&quot;/&gt;&lt;wsp:rsid wsp:val=&quot;00306DE7&quot;/&gt;&lt;wsp:rsid wsp:val=&quot;00311C19&quot;/&gt;&lt;wsp:rsid wsp:val=&quot;0031234E&quot;/&gt;&lt;wsp:rsid wsp:val=&quot;003123D1&quot;/&gt;&lt;wsp:rsid wsp:val=&quot;00313315&quot;/&gt;&lt;wsp:rsid wsp:val=&quot;00313C3F&quot;/&gt;&lt;wsp:rsid wsp:val=&quot;00314E6D&quot;/&gt;&lt;wsp:rsid wsp:val=&quot;003174EE&quot;/&gt;&lt;wsp:rsid wsp:val=&quot;0031789A&quot;/&gt;&lt;wsp:rsid wsp:val=&quot;00317F7B&quot;/&gt;&lt;wsp:rsid wsp:val=&quot;00320397&quot;/&gt;&lt;wsp:rsid wsp:val=&quot;003205FF&quot;/&gt;&lt;wsp:rsid wsp:val=&quot;00321898&quot;/&gt;&lt;wsp:rsid wsp:val=&quot;0032227C&quot;/&gt;&lt;wsp:rsid wsp:val=&quot;00323161&quot;/&gt;&lt;wsp:rsid wsp:val=&quot;00324831&quot;/&gt;&lt;wsp:rsid wsp:val=&quot;0032569D&quot;/&gt;&lt;wsp:rsid wsp:val=&quot;00327B22&quot;/&gt;&lt;wsp:rsid wsp:val=&quot;00330F3E&quot;/&gt;&lt;wsp:rsid wsp:val=&quot;003314B4&quot;/&gt;&lt;wsp:rsid wsp:val=&quot;0033677C&quot;/&gt;&lt;wsp:rsid wsp:val=&quot;0033714E&quot;/&gt;&lt;wsp:rsid wsp:val=&quot;0033722B&quot;/&gt;&lt;wsp:rsid wsp:val=&quot;00340A56&quot;/&gt;&lt;wsp:rsid wsp:val=&quot;00341D00&quot;/&gt;&lt;wsp:rsid wsp:val=&quot;003453F4&quot;/&gt;&lt;wsp:rsid wsp:val=&quot;00347720&quot;/&gt;&lt;wsp:rsid wsp:val=&quot;00350069&quot;/&gt;&lt;wsp:rsid wsp:val=&quot;0035173C&quot;/&gt;&lt;wsp:rsid wsp:val=&quot;003519C7&quot;/&gt;&lt;wsp:rsid wsp:val=&quot;00351F17&quot;/&gt;&lt;wsp:rsid wsp:val=&quot;00352798&quot;/&gt;&lt;wsp:rsid wsp:val=&quot;003528D7&quot;/&gt;&lt;wsp:rsid wsp:val=&quot;00352A11&quot;/&gt;&lt;wsp:rsid wsp:val=&quot;0035371C&quot;/&gt;&lt;wsp:rsid wsp:val=&quot;00354006&quot;/&gt;&lt;wsp:rsid wsp:val=&quot;00355023&quot;/&gt;&lt;wsp:rsid wsp:val=&quot;003550F5&quot;/&gt;&lt;wsp:rsid wsp:val=&quot;003563EA&quot;/&gt;&lt;wsp:rsid wsp:val=&quot;00357305&quot;/&gt;&lt;wsp:rsid wsp:val=&quot;00360541&quot;/&gt;&lt;wsp:rsid wsp:val=&quot;00360609&quot;/&gt;&lt;wsp:rsid wsp:val=&quot;00361E5D&quot;/&gt;&lt;wsp:rsid wsp:val=&quot;00362706&quot;/&gt;&lt;wsp:rsid wsp:val=&quot;00362AB6&quot;/&gt;&lt;wsp:rsid wsp:val=&quot;00362BE1&quot;/&gt;&lt;wsp:rsid wsp:val=&quot;00362EB3&quot;/&gt;&lt;wsp:rsid wsp:val=&quot;0036306B&quot;/&gt;&lt;wsp:rsid wsp:val=&quot;003630DF&quot;/&gt;&lt;wsp:rsid wsp:val=&quot;00363173&quot;/&gt;&lt;wsp:rsid wsp:val=&quot;003635B2&quot;/&gt;&lt;wsp:rsid wsp:val=&quot;0036409C&quot;/&gt;&lt;wsp:rsid wsp:val=&quot;003652C2&quot;/&gt;&lt;wsp:rsid wsp:val=&quot;003653C8&quot;/&gt;&lt;wsp:rsid wsp:val=&quot;00370B63&quot;/&gt;&lt;wsp:rsid wsp:val=&quot;00370C33&quot;/&gt;&lt;wsp:rsid wsp:val=&quot;00372CC9&quot;/&gt;&lt;wsp:rsid wsp:val=&quot;00373054&quot;/&gt;&lt;wsp:rsid wsp:val=&quot;00373909&quot;/&gt;&lt;wsp:rsid wsp:val=&quot;00374E6D&quot;/&gt;&lt;wsp:rsid wsp:val=&quot;00375B9C&quot;/&gt;&lt;wsp:rsid wsp:val=&quot;00376678&quot;/&gt;&lt;wsp:rsid wsp:val=&quot;00376C0D&quot;/&gt;&lt;wsp:rsid wsp:val=&quot;003808E7&quot;/&gt;&lt;wsp:rsid wsp:val=&quot;00380AC6&quot;/&gt;&lt;wsp:rsid wsp:val=&quot;003825B5&quot;/&gt;&lt;wsp:rsid wsp:val=&quot;00382973&quot;/&gt;&lt;wsp:rsid wsp:val=&quot;003843DB&quot;/&gt;&lt;wsp:rsid wsp:val=&quot;00384B20&quot;/&gt;&lt;wsp:rsid wsp:val=&quot;003851EB&quot;/&gt;&lt;wsp:rsid wsp:val=&quot;00385995&quot;/&gt;&lt;wsp:rsid wsp:val=&quot;003861AE&quot;/&gt;&lt;wsp:rsid wsp:val=&quot;00386355&quot;/&gt;&lt;wsp:rsid wsp:val=&quot;00387787&quot;/&gt;&lt;wsp:rsid wsp:val=&quot;00390662&quot;/&gt;&lt;wsp:rsid wsp:val=&quot;00390DD9&quot;/&gt;&lt;wsp:rsid wsp:val=&quot;00392645&quot;/&gt;&lt;wsp:rsid wsp:val=&quot;00392941&quot;/&gt;&lt;wsp:rsid wsp:val=&quot;00393E27&quot;/&gt;&lt;wsp:rsid wsp:val=&quot;00394042&quot;/&gt;&lt;wsp:rsid wsp:val=&quot;00395ABD&quot;/&gt;&lt;wsp:rsid wsp:val=&quot;00395C14&quot;/&gt;&lt;wsp:rsid wsp:val=&quot;00395D33&quot;/&gt;&lt;wsp:rsid wsp:val=&quot;00396335&quot;/&gt;&lt;wsp:rsid wsp:val=&quot;0039641C&quot;/&gt;&lt;wsp:rsid wsp:val=&quot;003973EB&quot;/&gt;&lt;wsp:rsid wsp:val=&quot;003A0EC8&quot;/&gt;&lt;wsp:rsid wsp:val=&quot;003A192E&quot;/&gt;&lt;wsp:rsid wsp:val=&quot;003A20D3&quot;/&gt;&lt;wsp:rsid wsp:val=&quot;003A2F64&quot;/&gt;&lt;wsp:rsid wsp:val=&quot;003A36CA&quot;/&gt;&lt;wsp:rsid wsp:val=&quot;003A4356&quot;/&gt;&lt;wsp:rsid wsp:val=&quot;003A4A1D&quot;/&gt;&lt;wsp:rsid wsp:val=&quot;003A5AF9&quot;/&gt;&lt;wsp:rsid wsp:val=&quot;003A5CE8&quot;/&gt;&lt;wsp:rsid wsp:val=&quot;003A5EDB&quot;/&gt;&lt;wsp:rsid wsp:val=&quot;003A6A1E&quot;/&gt;&lt;wsp:rsid wsp:val=&quot;003B0671&quot;/&gt;&lt;wsp:rsid wsp:val=&quot;003B09DD&quot;/&gt;&lt;wsp:rsid wsp:val=&quot;003B0F48&quot;/&gt;&lt;wsp:rsid wsp:val=&quot;003B10FB&quot;/&gt;&lt;wsp:rsid wsp:val=&quot;003B2CC4&quot;/&gt;&lt;wsp:rsid wsp:val=&quot;003B35BB&quot;/&gt;&lt;wsp:rsid wsp:val=&quot;003B35D9&quot;/&gt;&lt;wsp:rsid wsp:val=&quot;003B3D2F&quot;/&gt;&lt;wsp:rsid wsp:val=&quot;003B4823&quot;/&gt;&lt;wsp:rsid wsp:val=&quot;003B5825&quot;/&gt;&lt;wsp:rsid wsp:val=&quot;003B5FA7&quot;/&gt;&lt;wsp:rsid wsp:val=&quot;003B6BB0&quot;/&gt;&lt;wsp:rsid wsp:val=&quot;003B7D50&quot;/&gt;&lt;wsp:rsid wsp:val=&quot;003C0DF2&quot;/&gt;&lt;wsp:rsid wsp:val=&quot;003C1DDF&quot;/&gt;&lt;wsp:rsid wsp:val=&quot;003C1E0B&quot;/&gt;&lt;wsp:rsid wsp:val=&quot;003C20C7&quot;/&gt;&lt;wsp:rsid wsp:val=&quot;003C2935&quot;/&gt;&lt;wsp:rsid wsp:val=&quot;003C2947&quot;/&gt;&lt;wsp:rsid wsp:val=&quot;003C3F10&quot;/&gt;&lt;wsp:rsid wsp:val=&quot;003C510A&quot;/&gt;&lt;wsp:rsid wsp:val=&quot;003C7DE9&quot;/&gt;&lt;wsp:rsid wsp:val=&quot;003D1588&quot;/&gt;&lt;wsp:rsid wsp:val=&quot;003D24C2&quot;/&gt;&lt;wsp:rsid wsp:val=&quot;003D2971&quot;/&gt;&lt;wsp:rsid wsp:val=&quot;003D35B7&quot;/&gt;&lt;wsp:rsid wsp:val=&quot;003D45BB&quot;/&gt;&lt;wsp:rsid wsp:val=&quot;003D6EC4&quot;/&gt;&lt;wsp:rsid wsp:val=&quot;003E017E&quot;/&gt;&lt;wsp:rsid wsp:val=&quot;003E04CE&quot;/&gt;&lt;wsp:rsid wsp:val=&quot;003E0838&quot;/&gt;&lt;wsp:rsid wsp:val=&quot;003E165C&quot;/&gt;&lt;wsp:rsid wsp:val=&quot;003E174E&quot;/&gt;&lt;wsp:rsid wsp:val=&quot;003E1951&quot;/&gt;&lt;wsp:rsid wsp:val=&quot;003E2B76&quot;/&gt;&lt;wsp:rsid wsp:val=&quot;003E2EDC&quot;/&gt;&lt;wsp:rsid wsp:val=&quot;003E3C24&quot;/&gt;&lt;wsp:rsid wsp:val=&quot;003E671A&quot;/&gt;&lt;wsp:rsid wsp:val=&quot;003E7131&quot;/&gt;&lt;wsp:rsid wsp:val=&quot;003E7504&quot;/&gt;&lt;wsp:rsid wsp:val=&quot;003F0BFA&quot;/&gt;&lt;wsp:rsid wsp:val=&quot;003F268E&quot;/&gt;&lt;wsp:rsid wsp:val=&quot;003F3F79&quot;/&gt;&lt;wsp:rsid wsp:val=&quot;003F6DA8&quot;/&gt;&lt;wsp:rsid wsp:val=&quot;003F7358&quot;/&gt;&lt;wsp:rsid wsp:val=&quot;00400326&quot;/&gt;&lt;wsp:rsid wsp:val=&quot;004004CE&quot;/&gt;&lt;wsp:rsid wsp:val=&quot;00400A1C&quot;/&gt;&lt;wsp:rsid wsp:val=&quot;004019E6&quot;/&gt;&lt;wsp:rsid wsp:val=&quot;0040391C&quot;/&gt;&lt;wsp:rsid wsp:val=&quot;00403B8D&quot;/&gt;&lt;wsp:rsid wsp:val=&quot;00405FF0&quot;/&gt;&lt;wsp:rsid wsp:val=&quot;0040745E&quot;/&gt;&lt;wsp:rsid wsp:val=&quot;004076BD&quot;/&gt;&lt;wsp:rsid wsp:val=&quot;004110D9&quot;/&gt;&lt;wsp:rsid wsp:val=&quot;00411261&quot;/&gt;&lt;wsp:rsid wsp:val=&quot;00411D21&quot;/&gt;&lt;wsp:rsid wsp:val=&quot;00411E14&quot;/&gt;&lt;wsp:rsid wsp:val=&quot;00412401&quot;/&gt;&lt;wsp:rsid wsp:val=&quot;0041252C&quot;/&gt;&lt;wsp:rsid wsp:val=&quot;004127C4&quot;/&gt;&lt;wsp:rsid wsp:val=&quot;00413D4E&quot;/&gt;&lt;wsp:rsid wsp:val=&quot;0041449C&quot;/&gt;&lt;wsp:rsid wsp:val=&quot;00415DA5&quot;/&gt;&lt;wsp:rsid wsp:val=&quot;00416890&quot;/&gt;&lt;wsp:rsid wsp:val=&quot;0042057F&quot;/&gt;&lt;wsp:rsid wsp:val=&quot;00420B50&quot;/&gt;&lt;wsp:rsid wsp:val=&quot;0042180C&quot;/&gt;&lt;wsp:rsid wsp:val=&quot;0042224D&quot;/&gt;&lt;wsp:rsid wsp:val=&quot;004224FD&quot;/&gt;&lt;wsp:rsid wsp:val=&quot;00422F61&quot;/&gt;&lt;wsp:rsid wsp:val=&quot;0042443F&quot;/&gt;&lt;wsp:rsid wsp:val=&quot;004248BF&quot;/&gt;&lt;wsp:rsid wsp:val=&quot;00427887&quot;/&gt;&lt;wsp:rsid wsp:val=&quot;00430136&quot;/&gt;&lt;wsp:rsid wsp:val=&quot;0043018F&quot;/&gt;&lt;wsp:rsid wsp:val=&quot;004302D8&quot;/&gt;&lt;wsp:rsid wsp:val=&quot;00430326&quot;/&gt;&lt;wsp:rsid wsp:val=&quot;00430332&quot;/&gt;&lt;wsp:rsid wsp:val=&quot;00431AC8&quot;/&gt;&lt;wsp:rsid wsp:val=&quot;004322CB&quot;/&gt;&lt;wsp:rsid wsp:val=&quot;00432751&quot;/&gt;&lt;wsp:rsid wsp:val=&quot;00433200&quot;/&gt;&lt;wsp:rsid wsp:val=&quot;004336DB&quot;/&gt;&lt;wsp:rsid wsp:val=&quot;004340AF&quot;/&gt;&lt;wsp:rsid wsp:val=&quot;004341A5&quot;/&gt;&lt;wsp:rsid wsp:val=&quot;004349AB&quot;/&gt;&lt;wsp:rsid wsp:val=&quot;00434A4A&quot;/&gt;&lt;wsp:rsid wsp:val=&quot;00435052&quot;/&gt;&lt;wsp:rsid wsp:val=&quot;004354C4&quot;/&gt;&lt;wsp:rsid wsp:val=&quot;00435AF0&quot;/&gt;&lt;wsp:rsid wsp:val=&quot;004361D0&quot;/&gt;&lt;wsp:rsid wsp:val=&quot;00436568&quot;/&gt;&lt;wsp:rsid wsp:val=&quot;00437323&quot;/&gt;&lt;wsp:rsid wsp:val=&quot;004377C4&quot;/&gt;&lt;wsp:rsid wsp:val=&quot;004404FE&quot;/&gt;&lt;wsp:rsid wsp:val=&quot;0044052E&quot;/&gt;&lt;wsp:rsid wsp:val=&quot;0044145D&quot;/&gt;&lt;wsp:rsid wsp:val=&quot;00441596&quot;/&gt;&lt;wsp:rsid wsp:val=&quot;00441D99&quot;/&gt;&lt;wsp:rsid wsp:val=&quot;00443330&quot;/&gt;&lt;wsp:rsid wsp:val=&quot;004436A9&quot;/&gt;&lt;wsp:rsid wsp:val=&quot;004443D6&quot;/&gt;&lt;wsp:rsid wsp:val=&quot;00445927&quot;/&gt;&lt;wsp:rsid wsp:val=&quot;00445A8E&quot;/&gt;&lt;wsp:rsid wsp:val=&quot;004467AA&quot;/&gt;&lt;wsp:rsid wsp:val=&quot;00447D80&quot;/&gt;&lt;wsp:rsid wsp:val=&quot;0045294E&quot;/&gt;&lt;wsp:rsid wsp:val=&quot;00452EB9&quot;/&gt;&lt;wsp:rsid wsp:val=&quot;00453354&quot;/&gt;&lt;wsp:rsid wsp:val=&quot;004560A0&quot;/&gt;&lt;wsp:rsid wsp:val=&quot;00461F67&quot;/&gt;&lt;wsp:rsid wsp:val=&quot;004631A4&quot;/&gt;&lt;wsp:rsid wsp:val=&quot;00463A71&quot;/&gt;&lt;wsp:rsid wsp:val=&quot;00463D6A&quot;/&gt;&lt;wsp:rsid wsp:val=&quot;00464ED6&quot;/&gt;&lt;wsp:rsid wsp:val=&quot;00465969&quot;/&gt;&lt;wsp:rsid wsp:val=&quot;004676EA&quot;/&gt;&lt;wsp:rsid wsp:val=&quot;004706BC&quot;/&gt;&lt;wsp:rsid wsp:val=&quot;004724CD&quot;/&gt;&lt;wsp:rsid wsp:val=&quot;00472846&quot;/&gt;&lt;wsp:rsid wsp:val=&quot;00472C7D&quot;/&gt;&lt;wsp:rsid wsp:val=&quot;00474C7D&quot;/&gt;&lt;wsp:rsid wsp:val=&quot;00477E71&quot;/&gt;&lt;wsp:rsid wsp:val=&quot;00480112&quot;/&gt;&lt;wsp:rsid wsp:val=&quot;00481176&quot;/&gt;&lt;wsp:rsid wsp:val=&quot;00481243&quot;/&gt;&lt;wsp:rsid wsp:val=&quot;004814B0&quot;/&gt;&lt;wsp:rsid wsp:val=&quot;00482188&quot;/&gt;&lt;wsp:rsid wsp:val=&quot;00484402&quot;/&gt;&lt;wsp:rsid wsp:val=&quot;0048565E&quot;/&gt;&lt;wsp:rsid wsp:val=&quot;00485B98&quot;/&gt;&lt;wsp:rsid wsp:val=&quot;00486A4B&quot;/&gt;&lt;wsp:rsid wsp:val=&quot;00490156&quot;/&gt;&lt;wsp:rsid wsp:val=&quot;00490E5C&quot;/&gt;&lt;wsp:rsid wsp:val=&quot;0049108B&quot;/&gt;&lt;wsp:rsid wsp:val=&quot;00491EA0&quot;/&gt;&lt;wsp:rsid wsp:val=&quot;00492140&quot;/&gt;&lt;wsp:rsid wsp:val=&quot;00496070&quot;/&gt;&lt;wsp:rsid wsp:val=&quot;00497060&quot;/&gt;&lt;wsp:rsid wsp:val=&quot;00497258&quot;/&gt;&lt;wsp:rsid wsp:val=&quot;004A0864&quot;/&gt;&lt;wsp:rsid wsp:val=&quot;004A0894&quot;/&gt;&lt;wsp:rsid wsp:val=&quot;004A1149&quot;/&gt;&lt;wsp:rsid wsp:val=&quot;004A2134&quot;/&gt;&lt;wsp:rsid wsp:val=&quot;004A28BF&quot;/&gt;&lt;wsp:rsid wsp:val=&quot;004A2FBE&quot;/&gt;&lt;wsp:rsid wsp:val=&quot;004A4C95&quot;/&gt;&lt;wsp:rsid wsp:val=&quot;004A4F13&quot;/&gt;&lt;wsp:rsid wsp:val=&quot;004A531D&quot;/&gt;&lt;wsp:rsid wsp:val=&quot;004A557E&quot;/&gt;&lt;wsp:rsid wsp:val=&quot;004A6351&quot;/&gt;&lt;wsp:rsid wsp:val=&quot;004A78A0&quot;/&gt;&lt;wsp:rsid wsp:val=&quot;004B0DD7&quot;/&gt;&lt;wsp:rsid wsp:val=&quot;004B107F&quot;/&gt;&lt;wsp:rsid wsp:val=&quot;004B1345&quot;/&gt;&lt;wsp:rsid wsp:val=&quot;004B3682&quot;/&gt;&lt;wsp:rsid wsp:val=&quot;004B3BD3&quot;/&gt;&lt;wsp:rsid wsp:val=&quot;004B4D33&quot;/&gt;&lt;wsp:rsid wsp:val=&quot;004B5227&quot;/&gt;&lt;wsp:rsid wsp:val=&quot;004B6843&quot;/&gt;&lt;wsp:rsid wsp:val=&quot;004B6EF1&quot;/&gt;&lt;wsp:rsid wsp:val=&quot;004C10DF&quot;/&gt;&lt;wsp:rsid wsp:val=&quot;004C249A&quot;/&gt;&lt;wsp:rsid wsp:val=&quot;004C2A40&quot;/&gt;&lt;wsp:rsid wsp:val=&quot;004C3C27&quot;/&gt;&lt;wsp:rsid wsp:val=&quot;004C43E1&quot;/&gt;&lt;wsp:rsid wsp:val=&quot;004C4AD1&quot;/&gt;&lt;wsp:rsid wsp:val=&quot;004C6DBB&quot;/&gt;&lt;wsp:rsid wsp:val=&quot;004C7FE5&quot;/&gt;&lt;wsp:rsid wsp:val=&quot;004D0B21&quot;/&gt;&lt;wsp:rsid wsp:val=&quot;004D1A80&quot;/&gt;&lt;wsp:rsid wsp:val=&quot;004D2118&quot;/&gt;&lt;wsp:rsid wsp:val=&quot;004D2E8A&quot;/&gt;&lt;wsp:rsid wsp:val=&quot;004D3125&quot;/&gt;&lt;wsp:rsid wsp:val=&quot;004D4939&quot;/&gt;&lt;wsp:rsid wsp:val=&quot;004D5A1D&quot;/&gt;&lt;wsp:rsid wsp:val=&quot;004D624C&quot;/&gt;&lt;wsp:rsid wsp:val=&quot;004D6345&quot;/&gt;&lt;wsp:rsid wsp:val=&quot;004D68E2&quot;/&gt;&lt;wsp:rsid wsp:val=&quot;004D6A09&quot;/&gt;&lt;wsp:rsid wsp:val=&quot;004D6C1C&quot;/&gt;&lt;wsp:rsid wsp:val=&quot;004E2D0D&quot;/&gt;&lt;wsp:rsid wsp:val=&quot;004E35B7&quot;/&gt;&lt;wsp:rsid wsp:val=&quot;004E5D19&quot;/&gt;&lt;wsp:rsid wsp:val=&quot;004E603C&quot;/&gt;&lt;wsp:rsid wsp:val=&quot;004E63D6&quot;/&gt;&lt;wsp:rsid wsp:val=&quot;004E74EC&quot;/&gt;&lt;wsp:rsid wsp:val=&quot;004E7A12&quot;/&gt;&lt;wsp:rsid wsp:val=&quot;004F03CE&quot;/&gt;&lt;wsp:rsid wsp:val=&quot;004F09D8&quot;/&gt;&lt;wsp:rsid wsp:val=&quot;004F3443&quot;/&gt;&lt;wsp:rsid wsp:val=&quot;004F3EE6&quot;/&gt;&lt;wsp:rsid wsp:val=&quot;004F57DC&quot;/&gt;&lt;wsp:rsid wsp:val=&quot;004F5C3E&quot;/&gt;&lt;wsp:rsid wsp:val=&quot;004F612A&quot;/&gt;&lt;wsp:rsid wsp:val=&quot;005028FE&quot;/&gt;&lt;wsp:rsid wsp:val=&quot;0050395A&quot;/&gt;&lt;wsp:rsid wsp:val=&quot;00505B0D&quot;/&gt;&lt;wsp:rsid wsp:val=&quot;0050656B&quot;/&gt;&lt;wsp:rsid wsp:val=&quot;00513087&quot;/&gt;&lt;wsp:rsid wsp:val=&quot;00514F60&quot;/&gt;&lt;wsp:rsid wsp:val=&quot;00515A47&quot;/&gt;&lt;wsp:rsid wsp:val=&quot;00515E1C&quot;/&gt;&lt;wsp:rsid wsp:val=&quot;00515EC2&quot;/&gt;&lt;wsp:rsid wsp:val=&quot;00516069&quot;/&gt;&lt;wsp:rsid wsp:val=&quot;0051625C&quot;/&gt;&lt;wsp:rsid wsp:val=&quot;005165D6&quot;/&gt;&lt;wsp:rsid wsp:val=&quot;00516B2E&quot;/&gt;&lt;wsp:rsid wsp:val=&quot;0051762C&quot;/&gt;&lt;wsp:rsid wsp:val=&quot;00517C01&quot;/&gt;&lt;wsp:rsid wsp:val=&quot;00517CCF&quot;/&gt;&lt;wsp:rsid wsp:val=&quot;005204E8&quot;/&gt;&lt;wsp:rsid wsp:val=&quot;00521525&quot;/&gt;&lt;wsp:rsid wsp:val=&quot;005218B9&quot;/&gt;&lt;wsp:rsid wsp:val=&quot;005220F6&quot;/&gt;&lt;wsp:rsid wsp:val=&quot;00522F62&quot;/&gt;&lt;wsp:rsid wsp:val=&quot;00523FE6&quot;/&gt;&lt;wsp:rsid wsp:val=&quot;005243EA&quot;/&gt;&lt;wsp:rsid wsp:val=&quot;005247F7&quot;/&gt;&lt;wsp:rsid wsp:val=&quot;00524D39&quot;/&gt;&lt;wsp:rsid wsp:val=&quot;0052516E&quot;/&gt;&lt;wsp:rsid wsp:val=&quot;00525571&quot;/&gt;&lt;wsp:rsid wsp:val=&quot;00525E9A&quot;/&gt;&lt;wsp:rsid wsp:val=&quot;005305DB&quot;/&gt;&lt;wsp:rsid wsp:val=&quot;005308C9&quot;/&gt;&lt;wsp:rsid wsp:val=&quot;00530D33&quot;/&gt;&lt;wsp:rsid wsp:val=&quot;00531294&quot;/&gt;&lt;wsp:rsid wsp:val=&quot;00532495&quot;/&gt;&lt;wsp:rsid wsp:val=&quot;00533003&quot;/&gt;&lt;wsp:rsid wsp:val=&quot;00533DCB&quot;/&gt;&lt;wsp:rsid wsp:val=&quot;00534028&quot;/&gt;&lt;wsp:rsid wsp:val=&quot;0053477C&quot;/&gt;&lt;wsp:rsid wsp:val=&quot;00534B79&quot;/&gt;&lt;wsp:rsid wsp:val=&quot;005357DE&quot;/&gt;&lt;wsp:rsid wsp:val=&quot;005365F5&quot;/&gt;&lt;wsp:rsid wsp:val=&quot;00536F90&quot;/&gt;&lt;wsp:rsid wsp:val=&quot;0054151E&quot;/&gt;&lt;wsp:rsid wsp:val=&quot;00541997&quot;/&gt;&lt;wsp:rsid wsp:val=&quot;00542792&quot;/&gt;&lt;wsp:rsid wsp:val=&quot;00543205&quot;/&gt;&lt;wsp:rsid wsp:val=&quot;00544493&quot;/&gt;&lt;wsp:rsid wsp:val=&quot;00544D7F&quot;/&gt;&lt;wsp:rsid wsp:val=&quot;0054524D&quot;/&gt;&lt;wsp:rsid wsp:val=&quot;0054635A&quot;/&gt;&lt;wsp:rsid wsp:val=&quot;00551230&quot;/&gt;&lt;wsp:rsid wsp:val=&quot;0055279C&quot;/&gt;&lt;wsp:rsid wsp:val=&quot;005527F3&quot;/&gt;&lt;wsp:rsid wsp:val=&quot;00552F84&quot;/&gt;&lt;wsp:rsid wsp:val=&quot;0055327E&quot;/&gt;&lt;wsp:rsid wsp:val=&quot;00555683&quot;/&gt;&lt;wsp:rsid wsp:val=&quot;0055591F&quot;/&gt;&lt;wsp:rsid wsp:val=&quot;00557047&quot;/&gt;&lt;wsp:rsid wsp:val=&quot;00557FC0&quot;/&gt;&lt;wsp:rsid wsp:val=&quot;00560456&quot;/&gt;&lt;wsp:rsid wsp:val=&quot;005604DB&quot;/&gt;&lt;wsp:rsid wsp:val=&quot;0056061C&quot;/&gt;&lt;wsp:rsid wsp:val=&quot;005618A4&quot;/&gt;&lt;wsp:rsid wsp:val=&quot;00565133&quot;/&gt;&lt;wsp:rsid wsp:val=&quot;00565D69&quot;/&gt;&lt;wsp:rsid wsp:val=&quot;00571548&quot;/&gt;&lt;wsp:rsid wsp:val=&quot;005717D9&quot;/&gt;&lt;wsp:rsid wsp:val=&quot;00571AEB&quot;/&gt;&lt;wsp:rsid wsp:val=&quot;00571DCC&quot;/&gt;&lt;wsp:rsid wsp:val=&quot;0057414E&quot;/&gt;&lt;wsp:rsid wsp:val=&quot;00574E65&quot;/&gt;&lt;wsp:rsid wsp:val=&quot;005750AC&quot;/&gt;&lt;wsp:rsid wsp:val=&quot;00577E73&quot;/&gt;&lt;wsp:rsid wsp:val=&quot;0058091F&quot;/&gt;&lt;wsp:rsid wsp:val=&quot;005834BC&quot;/&gt;&lt;wsp:rsid wsp:val=&quot;00584260&quot;/&gt;&lt;wsp:rsid wsp:val=&quot;005844BC&quot;/&gt;&lt;wsp:rsid wsp:val=&quot;005850D0&quot;/&gt;&lt;wsp:rsid wsp:val=&quot;00585194&quot;/&gt;&lt;wsp:rsid wsp:val=&quot;0058597C&quot;/&gt;&lt;wsp:rsid wsp:val=&quot;00585D1F&quot;/&gt;&lt;wsp:rsid wsp:val=&quot;00585FA9&quot;/&gt;&lt;wsp:rsid wsp:val=&quot;00586766&quot;/&gt;&lt;wsp:rsid wsp:val=&quot;00586793&quot;/&gt;&lt;wsp:rsid wsp:val=&quot;00590C74&quot;/&gt;&lt;wsp:rsid wsp:val=&quot;00592228&quot;/&gt;&lt;wsp:rsid wsp:val=&quot;0059234B&quot;/&gt;&lt;wsp:rsid wsp:val=&quot;005923B1&quot;/&gt;&lt;wsp:rsid wsp:val=&quot;0059462E&quot;/&gt;&lt;wsp:rsid wsp:val=&quot;0059475F&quot;/&gt;&lt;wsp:rsid wsp:val=&quot;00594CA6&quot;/&gt;&lt;wsp:rsid wsp:val=&quot;00594ED5&quot;/&gt;&lt;wsp:rsid wsp:val=&quot;005950FA&quot;/&gt;&lt;wsp:rsid wsp:val=&quot;005963D8&quot;/&gt;&lt;wsp:rsid wsp:val=&quot;005A01CF&quot;/&gt;&lt;wsp:rsid wsp:val=&quot;005A0423&quot;/&gt;&lt;wsp:rsid wsp:val=&quot;005A14A3&quot;/&gt;&lt;wsp:rsid wsp:val=&quot;005A17C0&quot;/&gt;&lt;wsp:rsid wsp:val=&quot;005A17DB&quot;/&gt;&lt;wsp:rsid wsp:val=&quot;005A26AA&quot;/&gt;&lt;wsp:rsid wsp:val=&quot;005A70F6&quot;/&gt;&lt;wsp:rsid wsp:val=&quot;005B023B&quot;/&gt;&lt;wsp:rsid wsp:val=&quot;005B0241&quot;/&gt;&lt;wsp:rsid wsp:val=&quot;005B1E0A&quot;/&gt;&lt;wsp:rsid wsp:val=&quot;005B37FF&quot;/&gt;&lt;wsp:rsid wsp:val=&quot;005B3EB1&quot;/&gt;&lt;wsp:rsid wsp:val=&quot;005B448C&quot;/&gt;&lt;wsp:rsid wsp:val=&quot;005B57B4&quot;/&gt;&lt;wsp:rsid wsp:val=&quot;005B7906&quot;/&gt;&lt;wsp:rsid wsp:val=&quot;005B7A73&quot;/&gt;&lt;wsp:rsid wsp:val=&quot;005B7EA4&quot;/&gt;&lt;wsp:rsid wsp:val=&quot;005C1A90&quot;/&gt;&lt;wsp:rsid wsp:val=&quot;005C2C33&quot;/&gt;&lt;wsp:rsid wsp:val=&quot;005C31C8&quot;/&gt;&lt;wsp:rsid wsp:val=&quot;005C3412&quot;/&gt;&lt;wsp:rsid wsp:val=&quot;005C4150&quot;/&gt;&lt;wsp:rsid wsp:val=&quot;005C4E4A&quot;/&gt;&lt;wsp:rsid wsp:val=&quot;005C4EB6&quot;/&gt;&lt;wsp:rsid wsp:val=&quot;005C53C1&quot;/&gt;&lt;wsp:rsid wsp:val=&quot;005C5D34&quot;/&gt;&lt;wsp:rsid wsp:val=&quot;005C687F&quot;/&gt;&lt;wsp:rsid wsp:val=&quot;005C7F25&quot;/&gt;&lt;wsp:rsid wsp:val=&quot;005D0FDB&quot;/&gt;&lt;wsp:rsid wsp:val=&quot;005D10DD&quot;/&gt;&lt;wsp:rsid wsp:val=&quot;005D21B3&quot;/&gt;&lt;wsp:rsid wsp:val=&quot;005D273E&quot;/&gt;&lt;wsp:rsid wsp:val=&quot;005D288D&quot;/&gt;&lt;wsp:rsid wsp:val=&quot;005D342F&quot;/&gt;&lt;wsp:rsid wsp:val=&quot;005D3E6F&quot;/&gt;&lt;wsp:rsid wsp:val=&quot;005D45E2&quot;/&gt;&lt;wsp:rsid wsp:val=&quot;005D462B&quot;/&gt;&lt;wsp:rsid wsp:val=&quot;005D4F86&quot;/&gt;&lt;wsp:rsid wsp:val=&quot;005D53A1&quot;/&gt;&lt;wsp:rsid wsp:val=&quot;005D5977&quot;/&gt;&lt;wsp:rsid wsp:val=&quot;005D5C44&quot;/&gt;&lt;wsp:rsid wsp:val=&quot;005D60F2&quot;/&gt;&lt;wsp:rsid wsp:val=&quot;005D6A9E&quot;/&gt;&lt;wsp:rsid wsp:val=&quot;005D6C9A&quot;/&gt;&lt;wsp:rsid wsp:val=&quot;005E0805&quot;/&gt;&lt;wsp:rsid wsp:val=&quot;005E169F&quot;/&gt;&lt;wsp:rsid wsp:val=&quot;005E4758&quot;/&gt;&lt;wsp:rsid wsp:val=&quot;005E4856&quot;/&gt;&lt;wsp:rsid wsp:val=&quot;005E55A0&quot;/&gt;&lt;wsp:rsid wsp:val=&quot;005E63D1&quot;/&gt;&lt;wsp:rsid wsp:val=&quot;005E6CA1&quot;/&gt;&lt;wsp:rsid wsp:val=&quot;005E77C1&quot;/&gt;&lt;wsp:rsid wsp:val=&quot;005E7DBC&quot;/&gt;&lt;wsp:rsid wsp:val=&quot;005F02E2&quot;/&gt;&lt;wsp:rsid wsp:val=&quot;005F0611&quot;/&gt;&lt;wsp:rsid wsp:val=&quot;005F2925&quot;/&gt;&lt;wsp:rsid wsp:val=&quot;005F3403&quot;/&gt;&lt;wsp:rsid wsp:val=&quot;005F3BC8&quot;/&gt;&lt;wsp:rsid wsp:val=&quot;005F5AAB&quot;/&gt;&lt;wsp:rsid wsp:val=&quot;005F5BCA&quot;/&gt;&lt;wsp:rsid wsp:val=&quot;005F71E2&quot;/&gt;&lt;wsp:rsid wsp:val=&quot;00600632&quot;/&gt;&lt;wsp:rsid wsp:val=&quot;00603432&quot;/&gt;&lt;wsp:rsid wsp:val=&quot;006074CA&quot;/&gt;&lt;wsp:rsid wsp:val=&quot;00610783&quot;/&gt;&lt;wsp:rsid wsp:val=&quot;006111C9&quot;/&gt;&lt;wsp:rsid wsp:val=&quot;00613F35&quot;/&gt;&lt;wsp:rsid wsp:val=&quot;00616A18&quot;/&gt;&lt;wsp:rsid wsp:val=&quot;006172E5&quot;/&gt;&lt;wsp:rsid wsp:val=&quot;00617347&quot;/&gt;&lt;wsp:rsid wsp:val=&quot;00620239&quot;/&gt;&lt;wsp:rsid wsp:val=&quot;00620F03&quot;/&gt;&lt;wsp:rsid wsp:val=&quot;0062166F&quot;/&gt;&lt;wsp:rsid wsp:val=&quot;00625D2E&quot;/&gt;&lt;wsp:rsid wsp:val=&quot;00626C36&quot;/&gt;&lt;wsp:rsid wsp:val=&quot;00627E18&quot;/&gt;&lt;wsp:rsid wsp:val=&quot;00632607&quot;/&gt;&lt;wsp:rsid wsp:val=&quot;0063488F&quot;/&gt;&lt;wsp:rsid wsp:val=&quot;00634D70&quot;/&gt;&lt;wsp:rsid wsp:val=&quot;006350FB&quot;/&gt;&lt;wsp:rsid wsp:val=&quot;00635467&quot;/&gt;&lt;wsp:rsid wsp:val=&quot;00635597&quot;/&gt;&lt;wsp:rsid wsp:val=&quot;0063563C&quot;/&gt;&lt;wsp:rsid wsp:val=&quot;00635BF2&quot;/&gt;&lt;wsp:rsid wsp:val=&quot;00636A28&quot;/&gt;&lt;wsp:rsid wsp:val=&quot;00636B70&quot;/&gt;&lt;wsp:rsid wsp:val=&quot;00637843&quot;/&gt;&lt;wsp:rsid wsp:val=&quot;006379B5&quot;/&gt;&lt;wsp:rsid wsp:val=&quot;00640695&quot;/&gt;&lt;wsp:rsid wsp:val=&quot;006418B9&quot;/&gt;&lt;wsp:rsid wsp:val=&quot;00641BCC&quot;/&gt;&lt;wsp:rsid wsp:val=&quot;00641C34&quot;/&gt;&lt;wsp:rsid wsp:val=&quot;00641DF5&quot;/&gt;&lt;wsp:rsid wsp:val=&quot;0064294B&quot;/&gt;&lt;wsp:rsid wsp:val=&quot;006429AF&quot;/&gt;&lt;wsp:rsid wsp:val=&quot;00643AD3&quot;/&gt;&lt;wsp:rsid wsp:val=&quot;00643E93&quot;/&gt;&lt;wsp:rsid wsp:val=&quot;0064457E&quot;/&gt;&lt;wsp:rsid wsp:val=&quot;00644851&quot;/&gt;&lt;wsp:rsid wsp:val=&quot;00645235&quot;/&gt;&lt;wsp:rsid wsp:val=&quot;006474AD&quot;/&gt;&lt;wsp:rsid wsp:val=&quot;00647CA7&quot;/&gt;&lt;wsp:rsid wsp:val=&quot;00650DFC&quot;/&gt;&lt;wsp:rsid wsp:val=&quot;00653983&quot;/&gt;&lt;wsp:rsid wsp:val=&quot;00653D07&quot;/&gt;&lt;wsp:rsid wsp:val=&quot;00653FF8&quot;/&gt;&lt;wsp:rsid wsp:val=&quot;006546E3&quot;/&gt;&lt;wsp:rsid wsp:val=&quot;006547D3&quot;/&gt;&lt;wsp:rsid wsp:val=&quot;006549A2&quot;/&gt;&lt;wsp:rsid wsp:val=&quot;00655C1C&quot;/&gt;&lt;wsp:rsid wsp:val=&quot;00660AEE&quot;/&gt;&lt;wsp:rsid wsp:val=&quot;006618DE&quot;/&gt;&lt;wsp:rsid wsp:val=&quot;00661C57&quot;/&gt;&lt;wsp:rsid wsp:val=&quot;0066243F&quot;/&gt;&lt;wsp:rsid wsp:val=&quot;00662A70&quot;/&gt;&lt;wsp:rsid wsp:val=&quot;00663509&quot;/&gt;&lt;wsp:rsid wsp:val=&quot;00663B25&quot;/&gt;&lt;wsp:rsid wsp:val=&quot;00664406&quot;/&gt;&lt;wsp:rsid wsp:val=&quot;006652CA&quot;/&gt;&lt;wsp:rsid wsp:val=&quot;006654B1&quot;/&gt;&lt;wsp:rsid wsp:val=&quot;0066640A&quot;/&gt;&lt;wsp:rsid wsp:val=&quot;0066663F&quot;/&gt;&lt;wsp:rsid wsp:val=&quot;00667978&quot;/&gt;&lt;wsp:rsid wsp:val=&quot;0067083A&quot;/&gt;&lt;wsp:rsid wsp:val=&quot;00670D3F&quot;/&gt;&lt;wsp:rsid wsp:val=&quot;00675106&quot;/&gt;&lt;wsp:rsid wsp:val=&quot;0067525C&quot;/&gt;&lt;wsp:rsid wsp:val=&quot;00675263&quot;/&gt;&lt;wsp:rsid wsp:val=&quot;00677156&quot;/&gt;&lt;wsp:rsid wsp:val=&quot;00677DC6&quot;/&gt;&lt;wsp:rsid wsp:val=&quot;00677E29&quot;/&gt;&lt;wsp:rsid wsp:val=&quot;006805D7&quot;/&gt;&lt;wsp:rsid wsp:val=&quot;00682888&quot;/&gt;&lt;wsp:rsid wsp:val=&quot;0068418C&quot;/&gt;&lt;wsp:rsid wsp:val=&quot;006847F4&quot;/&gt;&lt;wsp:rsid wsp:val=&quot;0068503A&quot;/&gt;&lt;wsp:rsid wsp:val=&quot;006852FA&quot;/&gt;&lt;wsp:rsid wsp:val=&quot;00687A2E&quot;/&gt;&lt;wsp:rsid wsp:val=&quot;006902F7&quot;/&gt;&lt;wsp:rsid wsp:val=&quot;00691309&quot;/&gt;&lt;wsp:rsid wsp:val=&quot;00691FB9&quot;/&gt;&lt;wsp:rsid wsp:val=&quot;006928BF&quot;/&gt;&lt;wsp:rsid wsp:val=&quot;00693AA2&quot;/&gt;&lt;wsp:rsid wsp:val=&quot;00693DE6&quot;/&gt;&lt;wsp:rsid wsp:val=&quot;00694441&quot;/&gt;&lt;wsp:rsid wsp:val=&quot;00696634&quot;/&gt;&lt;wsp:rsid wsp:val=&quot;006968EC&quot;/&gt;&lt;wsp:rsid wsp:val=&quot;006979AB&quot;/&gt;&lt;wsp:rsid wsp:val=&quot;006A27C2&quot;/&gt;&lt;wsp:rsid wsp:val=&quot;006A400D&quot;/&gt;&lt;wsp:rsid wsp:val=&quot;006A42C2&quot;/&gt;&lt;wsp:rsid wsp:val=&quot;006A5024&quot;/&gt;&lt;wsp:rsid wsp:val=&quot;006A506B&quot;/&gt;&lt;wsp:rsid wsp:val=&quot;006A6330&quot;/&gt;&lt;wsp:rsid wsp:val=&quot;006A6599&quot;/&gt;&lt;wsp:rsid wsp:val=&quot;006A6C29&quot;/&gt;&lt;wsp:rsid wsp:val=&quot;006A6C92&quot;/&gt;&lt;wsp:rsid wsp:val=&quot;006B050C&quot;/&gt;&lt;wsp:rsid wsp:val=&quot;006B0896&quot;/&gt;&lt;wsp:rsid wsp:val=&quot;006B0B85&quot;/&gt;&lt;wsp:rsid wsp:val=&quot;006B1212&quot;/&gt;&lt;wsp:rsid wsp:val=&quot;006B126F&quot;/&gt;&lt;wsp:rsid wsp:val=&quot;006B2AEC&quot;/&gt;&lt;wsp:rsid wsp:val=&quot;006B30E7&quot;/&gt;&lt;wsp:rsid wsp:val=&quot;006B36A9&quot;/&gt;&lt;wsp:rsid wsp:val=&quot;006B4602&quot;/&gt;&lt;wsp:rsid wsp:val=&quot;006B5A7D&quot;/&gt;&lt;wsp:rsid wsp:val=&quot;006B5F2E&quot;/&gt;&lt;wsp:rsid wsp:val=&quot;006B660A&quot;/&gt;&lt;wsp:rsid wsp:val=&quot;006B7599&quot;/&gt;&lt;wsp:rsid wsp:val=&quot;006C0706&quot;/&gt;&lt;wsp:rsid wsp:val=&quot;006C18DD&quot;/&gt;&lt;wsp:rsid wsp:val=&quot;006C298F&quot;/&gt;&lt;wsp:rsid wsp:val=&quot;006C3F4E&quot;/&gt;&lt;wsp:rsid wsp:val=&quot;006C51B6&quot;/&gt;&lt;wsp:rsid wsp:val=&quot;006C51D9&quot;/&gt;&lt;wsp:rsid wsp:val=&quot;006C6770&quot;/&gt;&lt;wsp:rsid wsp:val=&quot;006C7067&quot;/&gt;&lt;wsp:rsid wsp:val=&quot;006C7ADD&quot;/&gt;&lt;wsp:rsid wsp:val=&quot;006D03DA&quot;/&gt;&lt;wsp:rsid wsp:val=&quot;006D0427&quot;/&gt;&lt;wsp:rsid wsp:val=&quot;006D0637&quot;/&gt;&lt;wsp:rsid wsp:val=&quot;006D0CC8&quot;/&gt;&lt;wsp:rsid wsp:val=&quot;006D157B&quot;/&gt;&lt;wsp:rsid wsp:val=&quot;006D1631&quot;/&gt;&lt;wsp:rsid wsp:val=&quot;006D219C&quot;/&gt;&lt;wsp:rsid wsp:val=&quot;006D2324&quot;/&gt;&lt;wsp:rsid wsp:val=&quot;006D2DED&quot;/&gt;&lt;wsp:rsid wsp:val=&quot;006D3186&quot;/&gt;&lt;wsp:rsid wsp:val=&quot;006D3EBE&quot;/&gt;&lt;wsp:rsid wsp:val=&quot;006D4557&quot;/&gt;&lt;wsp:rsid wsp:val=&quot;006D4E77&quot;/&gt;&lt;wsp:rsid wsp:val=&quot;006D58A8&quot;/&gt;&lt;wsp:rsid wsp:val=&quot;006D5C9B&quot;/&gt;&lt;wsp:rsid wsp:val=&quot;006E0C12&quot;/&gt;&lt;wsp:rsid wsp:val=&quot;006E117A&quot;/&gt;&lt;wsp:rsid wsp:val=&quot;006E1530&quot;/&gt;&lt;wsp:rsid wsp:val=&quot;006E180E&quot;/&gt;&lt;wsp:rsid wsp:val=&quot;006E2560&quot;/&gt;&lt;wsp:rsid wsp:val=&quot;006E3E86&quot;/&gt;&lt;wsp:rsid wsp:val=&quot;006E6E30&quot;/&gt;&lt;wsp:rsid wsp:val=&quot;006F02EB&quot;/&gt;&lt;wsp:rsid wsp:val=&quot;006F036F&quot;/&gt;&lt;wsp:rsid wsp:val=&quot;006F05A7&quot;/&gt;&lt;wsp:rsid wsp:val=&quot;006F0859&quot;/&gt;&lt;wsp:rsid wsp:val=&quot;006F2A93&quot;/&gt;&lt;wsp:rsid wsp:val=&quot;006F31B5&quot;/&gt;&lt;wsp:rsid wsp:val=&quot;006F350C&quot;/&gt;&lt;wsp:rsid wsp:val=&quot;006F410D&quot;/&gt;&lt;wsp:rsid wsp:val=&quot;006F6DF7&quot;/&gt;&lt;wsp:rsid wsp:val=&quot;006F700F&quot;/&gt;&lt;wsp:rsid wsp:val=&quot;0070057D&quot;/&gt;&lt;wsp:rsid wsp:val=&quot;007048F1&quot;/&gt;&lt;wsp:rsid wsp:val=&quot;007051FF&quot;/&gt;&lt;wsp:rsid wsp:val=&quot;00710377&quot;/&gt;&lt;wsp:rsid wsp:val=&quot;00710AA8&quot;/&gt;&lt;wsp:rsid wsp:val=&quot;0071113B&quot;/&gt;&lt;wsp:rsid wsp:val=&quot;00711BFF&quot;/&gt;&lt;wsp:rsid wsp:val=&quot;007121A4&quot;/&gt;&lt;wsp:rsid wsp:val=&quot;0071269C&quot;/&gt;&lt;wsp:rsid wsp:val=&quot;00713A62&quot;/&gt;&lt;wsp:rsid wsp:val=&quot;00713D04&quot;/&gt;&lt;wsp:rsid wsp:val=&quot;00715988&quot;/&gt;&lt;wsp:rsid wsp:val=&quot;007169EE&quot;/&gt;&lt;wsp:rsid wsp:val=&quot;00720909&quot;/&gt;&lt;wsp:rsid wsp:val=&quot;00722162&quot;/&gt;&lt;wsp:rsid wsp:val=&quot;007224C6&quot;/&gt;&lt;wsp:rsid wsp:val=&quot;00726FD7&quot;/&gt;&lt;wsp:rsid wsp:val=&quot;00727166&quot;/&gt;&lt;wsp:rsid wsp:val=&quot;00727240&quot;/&gt;&lt;wsp:rsid wsp:val=&quot;0072770E&quot;/&gt;&lt;wsp:rsid wsp:val=&quot;0073045C&quot;/&gt;&lt;wsp:rsid wsp:val=&quot;00730538&quot;/&gt;&lt;wsp:rsid wsp:val=&quot;00733890&quot;/&gt;&lt;wsp:rsid wsp:val=&quot;00735B8E&quot;/&gt;&lt;wsp:rsid wsp:val=&quot;00737166&quot;/&gt;&lt;wsp:rsid wsp:val=&quot;007373DD&quot;/&gt;&lt;wsp:rsid wsp:val=&quot;00742353&quot;/&gt;&lt;wsp:rsid wsp:val=&quot;00744B56&quot;/&gt;&lt;wsp:rsid wsp:val=&quot;0074779A&quot;/&gt;&lt;wsp:rsid wsp:val=&quot;0075060C&quot;/&gt;&lt;wsp:rsid wsp:val=&quot;00751EB4&quot;/&gt;&lt;wsp:rsid wsp:val=&quot;00752633&quot;/&gt;&lt;wsp:rsid wsp:val=&quot;007531E9&quot;/&gt;&lt;wsp:rsid wsp:val=&quot;00755E63&quot;/&gt;&lt;wsp:rsid wsp:val=&quot;00755EB8&quot;/&gt;&lt;wsp:rsid wsp:val=&quot;00757D84&quot;/&gt;&lt;wsp:rsid wsp:val=&quot;00760E6F&quot;/&gt;&lt;wsp:rsid wsp:val=&quot;00761C67&quot;/&gt;&lt;wsp:rsid wsp:val=&quot;007626C0&quot;/&gt;&lt;wsp:rsid wsp:val=&quot;00762E4D&quot;/&gt;&lt;wsp:rsid wsp:val=&quot;00762F16&quot;/&gt;&lt;wsp:rsid wsp:val=&quot;00763DC5&quot;/&gt;&lt;wsp:rsid wsp:val=&quot;0076487D&quot;/&gt;&lt;wsp:rsid wsp:val=&quot;0076492B&quot;/&gt;&lt;wsp:rsid wsp:val=&quot;00765829&quot;/&gt;&lt;wsp:rsid wsp:val=&quot;0076741B&quot;/&gt;&lt;wsp:rsid wsp:val=&quot;00767A40&quot;/&gt;&lt;wsp:rsid wsp:val=&quot;00767AF1&quot;/&gt;&lt;wsp:rsid wsp:val=&quot;007703CC&quot;/&gt;&lt;wsp:rsid wsp:val=&quot;007724FB&quot;/&gt;&lt;wsp:rsid wsp:val=&quot;00772D25&quot;/&gt;&lt;wsp:rsid wsp:val=&quot;00773309&quot;/&gt;&lt;wsp:rsid wsp:val=&quot;00773F12&quot;/&gt;&lt;wsp:rsid wsp:val=&quot;0077460C&quot;/&gt;&lt;wsp:rsid wsp:val=&quot;00774D5B&quot;/&gt;&lt;wsp:rsid wsp:val=&quot;0077609D&quot;/&gt;&lt;wsp:rsid wsp:val=&quot;0077675C&quot;/&gt;&lt;wsp:rsid wsp:val=&quot;00776D72&quot;/&gt;&lt;wsp:rsid wsp:val=&quot;00776D98&quot;/&gt;&lt;wsp:rsid wsp:val=&quot;00776E22&quot;/&gt;&lt;wsp:rsid wsp:val=&quot;00777AB1&quot;/&gt;&lt;wsp:rsid wsp:val=&quot;007811F2&quot;/&gt;&lt;wsp:rsid wsp:val=&quot;007820E7&quot;/&gt;&lt;wsp:rsid wsp:val=&quot;00782940&quot;/&gt;&lt;wsp:rsid wsp:val=&quot;00783F3E&quot;/&gt;&lt;wsp:rsid wsp:val=&quot;00784DA0&quot;/&gt;&lt;wsp:rsid wsp:val=&quot;00784F8D&quot;/&gt;&lt;wsp:rsid wsp:val=&quot;0078736B&quot;/&gt;&lt;wsp:rsid wsp:val=&quot;00791435&quot;/&gt;&lt;wsp:rsid wsp:val=&quot;007936E0&quot;/&gt;&lt;wsp:rsid wsp:val=&quot;007944BD&quot;/&gt;&lt;wsp:rsid wsp:val=&quot;00794FB9&quot;/&gt;&lt;wsp:rsid wsp:val=&quot;007950FC&quot;/&gt;&lt;wsp:rsid wsp:val=&quot;00797243&quot;/&gt;&lt;wsp:rsid wsp:val=&quot;007976B2&quot;/&gt;&lt;wsp:rsid wsp:val=&quot;00797885&quot;/&gt;&lt;wsp:rsid wsp:val=&quot;007A020C&quot;/&gt;&lt;wsp:rsid wsp:val=&quot;007A04D8&quot;/&gt;&lt;wsp:rsid wsp:val=&quot;007A087A&quot;/&gt;&lt;wsp:rsid wsp:val=&quot;007A169A&quot;/&gt;&lt;wsp:rsid wsp:val=&quot;007A278A&quot;/&gt;&lt;wsp:rsid wsp:val=&quot;007A4EF4&quot;/&gt;&lt;wsp:rsid wsp:val=&quot;007B016E&quot;/&gt;&lt;wsp:rsid wsp:val=&quot;007B0C84&quot;/&gt;&lt;wsp:rsid wsp:val=&quot;007B0C98&quot;/&gt;&lt;wsp:rsid wsp:val=&quot;007B1289&quot;/&gt;&lt;wsp:rsid wsp:val=&quot;007B1B8E&quot;/&gt;&lt;wsp:rsid wsp:val=&quot;007B3042&quot;/&gt;&lt;wsp:rsid wsp:val=&quot;007B4526&quot;/&gt;&lt;wsp:rsid wsp:val=&quot;007B4661&quot;/&gt;&lt;wsp:rsid wsp:val=&quot;007B6912&quot;/&gt;&lt;wsp:rsid wsp:val=&quot;007B7C83&quot;/&gt;&lt;wsp:rsid wsp:val=&quot;007C00D7&quot;/&gt;&lt;wsp:rsid wsp:val=&quot;007C0D5F&quot;/&gt;&lt;wsp:rsid wsp:val=&quot;007C1137&quot;/&gt;&lt;wsp:rsid wsp:val=&quot;007C16E3&quot;/&gt;&lt;wsp:rsid wsp:val=&quot;007C17D5&quot;/&gt;&lt;wsp:rsid wsp:val=&quot;007C29FE&quot;/&gt;&lt;wsp:rsid wsp:val=&quot;007C588A&quot;/&gt;&lt;wsp:rsid wsp:val=&quot;007C6222&quot;/&gt;&lt;wsp:rsid wsp:val=&quot;007C793C&quot;/&gt;&lt;wsp:rsid wsp:val=&quot;007D147E&quot;/&gt;&lt;wsp:rsid wsp:val=&quot;007D1577&quot;/&gt;&lt;wsp:rsid wsp:val=&quot;007D1A56&quot;/&gt;&lt;wsp:rsid wsp:val=&quot;007D2956&quot;/&gt;&lt;wsp:rsid wsp:val=&quot;007D2BB3&quot;/&gt;&lt;wsp:rsid wsp:val=&quot;007D2CC9&quot;/&gt;&lt;wsp:rsid wsp:val=&quot;007D3B73&quot;/&gt;&lt;wsp:rsid wsp:val=&quot;007D5553&quot;/&gt;&lt;wsp:rsid wsp:val=&quot;007D67F6&quot;/&gt;&lt;wsp:rsid wsp:val=&quot;007D68A4&quot;/&gt;&lt;wsp:rsid wsp:val=&quot;007D74F3&quot;/&gt;&lt;wsp:rsid wsp:val=&quot;007E070D&quot;/&gt;&lt;wsp:rsid wsp:val=&quot;007E1FDA&quot;/&gt;&lt;wsp:rsid wsp:val=&quot;007E3344&quot;/&gt;&lt;wsp:rsid wsp:val=&quot;007E3CB3&quot;/&gt;&lt;wsp:rsid wsp:val=&quot;007E54EC&quot;/&gt;&lt;wsp:rsid wsp:val=&quot;007E67D6&quot;/&gt;&lt;wsp:rsid wsp:val=&quot;007E684F&quot;/&gt;&lt;wsp:rsid wsp:val=&quot;007E70DD&quot;/&gt;&lt;wsp:rsid wsp:val=&quot;007E7364&quot;/&gt;&lt;wsp:rsid wsp:val=&quot;007E75BF&quot;/&gt;&lt;wsp:rsid wsp:val=&quot;007E7B14&quot;/&gt;&lt;wsp:rsid wsp:val=&quot;007F0E45&quot;/&gt;&lt;wsp:rsid wsp:val=&quot;007F2393&quot;/&gt;&lt;wsp:rsid wsp:val=&quot;007F24C1&quot;/&gt;&lt;wsp:rsid wsp:val=&quot;007F2A04&quot;/&gt;&lt;wsp:rsid wsp:val=&quot;007F45AA&quot;/&gt;&lt;wsp:rsid wsp:val=&quot;007F4A23&quot;/&gt;&lt;wsp:rsid wsp:val=&quot;007F4B3C&quot;/&gt;&lt;wsp:rsid wsp:val=&quot;007F4CAC&quot;/&gt;&lt;wsp:rsid wsp:val=&quot;007F715A&quot;/&gt;&lt;wsp:rsid wsp:val=&quot;007F742F&quot;/&gt;&lt;wsp:rsid wsp:val=&quot;007F7F63&quot;/&gt;&lt;wsp:rsid wsp:val=&quot;0080032B&quot;/&gt;&lt;wsp:rsid wsp:val=&quot;008007C3&quot;/&gt;&lt;wsp:rsid wsp:val=&quot;0080252E&quot;/&gt;&lt;wsp:rsid wsp:val=&quot;008030B3&quot;/&gt;&lt;wsp:rsid wsp:val=&quot;00804DDA&quot;/&gt;&lt;wsp:rsid wsp:val=&quot;00805562&quot;/&gt;&lt;wsp:rsid wsp:val=&quot;00805EE8&quot;/&gt;&lt;wsp:rsid wsp:val=&quot;00807A10&quot;/&gt;&lt;wsp:rsid wsp:val=&quot;00811979&quot;/&gt;&lt;wsp:rsid wsp:val=&quot;00812219&quot;/&gt;&lt;wsp:rsid wsp:val=&quot;00812316&quot;/&gt;&lt;wsp:rsid wsp:val=&quot;00812380&quot;/&gt;&lt;wsp:rsid wsp:val=&quot;0081311E&quot;/&gt;&lt;wsp:rsid wsp:val=&quot;0081372E&quot;/&gt;&lt;wsp:rsid wsp:val=&quot;0081613D&quot;/&gt;&lt;wsp:rsid wsp:val=&quot;008162C2&quot;/&gt;&lt;wsp:rsid wsp:val=&quot;00816326&quot;/&gt;&lt;wsp:rsid wsp:val=&quot;00817A34&quot;/&gt;&lt;wsp:rsid wsp:val=&quot;008201A0&quot;/&gt;&lt;wsp:rsid wsp:val=&quot;008202DB&quot;/&gt;&lt;wsp:rsid wsp:val=&quot;0082081E&quot;/&gt;&lt;wsp:rsid wsp:val=&quot;0082635A&quot;/&gt;&lt;wsp:rsid wsp:val=&quot;008264C9&quot;/&gt;&lt;wsp:rsid wsp:val=&quot;00827195&quot;/&gt;&lt;wsp:rsid wsp:val=&quot;00827664&quot;/&gt;&lt;wsp:rsid wsp:val=&quot;00830047&quot;/&gt;&lt;wsp:rsid wsp:val=&quot;00830B2A&quot;/&gt;&lt;wsp:rsid wsp:val=&quot;00830E87&quot;/&gt;&lt;wsp:rsid wsp:val=&quot;00831DB7&quot;/&gt;&lt;wsp:rsid wsp:val=&quot;00831F86&quot;/&gt;&lt;wsp:rsid wsp:val=&quot;0083441C&quot;/&gt;&lt;wsp:rsid wsp:val=&quot;00834D5C&quot;/&gt;&lt;wsp:rsid wsp:val=&quot;00835D32&quot;/&gt;&lt;wsp:rsid wsp:val=&quot;00837705&quot;/&gt;&lt;wsp:rsid wsp:val=&quot;00837862&quot;/&gt;&lt;wsp:rsid wsp:val=&quot;00837AC2&quot;/&gt;&lt;wsp:rsid wsp:val=&quot;00840559&quot;/&gt;&lt;wsp:rsid wsp:val=&quot;0084091D&quot;/&gt;&lt;wsp:rsid wsp:val=&quot;00840A77&quot;/&gt;&lt;wsp:rsid wsp:val=&quot;0084168E&quot;/&gt;&lt;wsp:rsid wsp:val=&quot;0084186D&quot;/&gt;&lt;wsp:rsid wsp:val=&quot;00841DC7&quot;/&gt;&lt;wsp:rsid wsp:val=&quot;0084228B&quot;/&gt;&lt;wsp:rsid wsp:val=&quot;00842828&quot;/&gt;&lt;wsp:rsid wsp:val=&quot;0084307B&quot;/&gt;&lt;wsp:rsid wsp:val=&quot;008437F5&quot;/&gt;&lt;wsp:rsid wsp:val=&quot;0084405E&quot;/&gt;&lt;wsp:rsid wsp:val=&quot;00844272&quot;/&gt;&lt;wsp:rsid wsp:val=&quot;0084495F&quot;/&gt;&lt;wsp:rsid wsp:val=&quot;00844E75&quot;/&gt;&lt;wsp:rsid wsp:val=&quot;00845B08&quot;/&gt;&lt;wsp:rsid wsp:val=&quot;00847D78&quot;/&gt;&lt;wsp:rsid wsp:val=&quot;008501D5&quot;/&gt;&lt;wsp:rsid wsp:val=&quot;00850512&quot;/&gt;&lt;wsp:rsid wsp:val=&quot;00850D34&quot;/&gt;&lt;wsp:rsid wsp:val=&quot;008513BC&quot;/&gt;&lt;wsp:rsid wsp:val=&quot;008515EA&quot;/&gt;&lt;wsp:rsid wsp:val=&quot;00851ECA&quot;/&gt;&lt;wsp:rsid wsp:val=&quot;008521BD&quot;/&gt;&lt;wsp:rsid wsp:val=&quot;008521C8&quot;/&gt;&lt;wsp:rsid wsp:val=&quot;008534E2&quot;/&gt;&lt;wsp:rsid wsp:val=&quot;00853C79&quot;/&gt;&lt;wsp:rsid wsp:val=&quot;00855109&quot;/&gt;&lt;wsp:rsid wsp:val=&quot;00855733&quot;/&gt;&lt;wsp:rsid wsp:val=&quot;0085727A&quot;/&gt;&lt;wsp:rsid wsp:val=&quot;00860223&quot;/&gt;&lt;wsp:rsid wsp:val=&quot;008603FE&quot;/&gt;&lt;wsp:rsid wsp:val=&quot;00861E26&quot;/&gt;&lt;wsp:rsid wsp:val=&quot;00864072&quot;/&gt;&lt;wsp:rsid wsp:val=&quot;00864427&quot;/&gt;&lt;wsp:rsid wsp:val=&quot;00864EDE&quot;/&gt;&lt;wsp:rsid wsp:val=&quot;008655B0&quot;/&gt;&lt;wsp:rsid wsp:val=&quot;0086573F&quot;/&gt;&lt;wsp:rsid wsp:val=&quot;008662D3&quot;/&gt;&lt;wsp:rsid wsp:val=&quot;00867563&quot;/&gt;&lt;wsp:rsid wsp:val=&quot;0087048B&quot;/&gt;&lt;wsp:rsid wsp:val=&quot;008722DA&quot;/&gt;&lt;wsp:rsid wsp:val=&quot;008738D6&quot;/&gt;&lt;wsp:rsid wsp:val=&quot;008739D0&quot;/&gt;&lt;wsp:rsid wsp:val=&quot;0087414C&quot;/&gt;&lt;wsp:rsid wsp:val=&quot;00874368&quot;/&gt;&lt;wsp:rsid wsp:val=&quot;008753FB&quot;/&gt;&lt;wsp:rsid wsp:val=&quot;00876311&quot;/&gt;&lt;wsp:rsid wsp:val=&quot;00876F12&quot;/&gt;&lt;wsp:rsid wsp:val=&quot;008778B9&quot;/&gt;&lt;wsp:rsid wsp:val=&quot;008800CA&quot;/&gt;&lt;wsp:rsid wsp:val=&quot;0088109C&quot;/&gt;&lt;wsp:rsid wsp:val=&quot;00881499&quot;/&gt;&lt;wsp:rsid wsp:val=&quot;00882852&quot;/&gt;&lt;wsp:rsid wsp:val=&quot;00883DF5&quot;/&gt;&lt;wsp:rsid wsp:val=&quot;00886615&quot;/&gt;&lt;wsp:rsid wsp:val=&quot;0088759C&quot;/&gt;&lt;wsp:rsid wsp:val=&quot;00890227&quot;/&gt;&lt;wsp:rsid wsp:val=&quot;00890665&quot;/&gt;&lt;wsp:rsid wsp:val=&quot;00890687&quot;/&gt;&lt;wsp:rsid wsp:val=&quot;00890E62&quot;/&gt;&lt;wsp:rsid wsp:val=&quot;00891763&quot;/&gt;&lt;wsp:rsid wsp:val=&quot;00891F27&quot;/&gt;&lt;wsp:rsid wsp:val=&quot;0089217C&quot;/&gt;&lt;wsp:rsid wsp:val=&quot;00893ACF&quot;/&gt;&lt;wsp:rsid wsp:val=&quot;00893D8A&quot;/&gt;&lt;wsp:rsid wsp:val=&quot;0089446D&quot;/&gt;&lt;wsp:rsid wsp:val=&quot;0089528E&quot;/&gt;&lt;wsp:rsid wsp:val=&quot;00895402&quot;/&gt;&lt;wsp:rsid wsp:val=&quot;008A1BC5&quot;/&gt;&lt;wsp:rsid wsp:val=&quot;008A2E9F&quot;/&gt;&lt;wsp:rsid wsp:val=&quot;008A3526&quot;/&gt;&lt;wsp:rsid wsp:val=&quot;008A3DA9&quot;/&gt;&lt;wsp:rsid wsp:val=&quot;008A436D&quot;/&gt;&lt;wsp:rsid wsp:val=&quot;008A4451&quot;/&gt;&lt;wsp:rsid wsp:val=&quot;008A45D8&quot;/&gt;&lt;wsp:rsid wsp:val=&quot;008A59CD&quot;/&gt;&lt;wsp:rsid wsp:val=&quot;008A697E&quot;/&gt;&lt;wsp:rsid wsp:val=&quot;008A6DB5&quot;/&gt;&lt;wsp:rsid wsp:val=&quot;008B0599&quot;/&gt;&lt;wsp:rsid wsp:val=&quot;008B1007&quot;/&gt;&lt;wsp:rsid wsp:val=&quot;008B14B5&quot;/&gt;&lt;wsp:rsid wsp:val=&quot;008B2258&quot;/&gt;&lt;wsp:rsid wsp:val=&quot;008B46CB&quot;/&gt;&lt;wsp:rsid wsp:val=&quot;008B5242&quot;/&gt;&lt;wsp:rsid wsp:val=&quot;008B7519&quot;/&gt;&lt;wsp:rsid wsp:val=&quot;008B796A&quot;/&gt;&lt;wsp:rsid wsp:val=&quot;008B7A58&quot;/&gt;&lt;wsp:rsid wsp:val=&quot;008C02CF&quot;/&gt;&lt;wsp:rsid wsp:val=&quot;008C03E7&quot;/&gt;&lt;wsp:rsid wsp:val=&quot;008C1BEB&quot;/&gt;&lt;wsp:rsid wsp:val=&quot;008C3522&quot;/&gt;&lt;wsp:rsid wsp:val=&quot;008C3BC6&quot;/&gt;&lt;wsp:rsid wsp:val=&quot;008C5050&quot;/&gt;&lt;wsp:rsid wsp:val=&quot;008C68D9&quot;/&gt;&lt;wsp:rsid wsp:val=&quot;008C6B1D&quot;/&gt;&lt;wsp:rsid wsp:val=&quot;008C73B5&quot;/&gt;&lt;wsp:rsid wsp:val=&quot;008D00A7&quot;/&gt;&lt;wsp:rsid wsp:val=&quot;008D09EC&quot;/&gt;&lt;wsp:rsid wsp:val=&quot;008D1D1E&quot;/&gt;&lt;wsp:rsid wsp:val=&quot;008D22D5&quot;/&gt;&lt;wsp:rsid wsp:val=&quot;008D3EBD&quot;/&gt;&lt;wsp:rsid wsp:val=&quot;008D5606&quot;/&gt;&lt;wsp:rsid wsp:val=&quot;008D6535&quot;/&gt;&lt;wsp:rsid wsp:val=&quot;008D6A2C&quot;/&gt;&lt;wsp:rsid wsp:val=&quot;008E1DE4&quot;/&gt;&lt;wsp:rsid wsp:val=&quot;008E3613&quot;/&gt;&lt;wsp:rsid wsp:val=&quot;008E386A&quot;/&gt;&lt;wsp:rsid wsp:val=&quot;008E3FC3&quot;/&gt;&lt;wsp:rsid wsp:val=&quot;008E476D&quot;/&gt;&lt;wsp:rsid wsp:val=&quot;008E5158&quot;/&gt;&lt;wsp:rsid wsp:val=&quot;008E554D&quot;/&gt;&lt;wsp:rsid wsp:val=&quot;008E6855&quot;/&gt;&lt;wsp:rsid wsp:val=&quot;008F11DD&quot;/&gt;&lt;wsp:rsid wsp:val=&quot;008F3A75&quot;/&gt;&lt;wsp:rsid wsp:val=&quot;008F44AF&quot;/&gt;&lt;wsp:rsid wsp:val=&quot;008F5C77&quot;/&gt;&lt;wsp:rsid wsp:val=&quot;008F6FB6&quot;/&gt;&lt;wsp:rsid wsp:val=&quot;009007F6&quot;/&gt;&lt;wsp:rsid wsp:val=&quot;00900D2D&quot;/&gt;&lt;wsp:rsid wsp:val=&quot;0090179D&quot;/&gt;&lt;wsp:rsid wsp:val=&quot;00902150&quot;/&gt;&lt;wsp:rsid wsp:val=&quot;00903343&quot;/&gt;&lt;wsp:rsid wsp:val=&quot;009033C4&quot;/&gt;&lt;wsp:rsid wsp:val=&quot;00903CA3&quot;/&gt;&lt;wsp:rsid wsp:val=&quot;0090540E&quot;/&gt;&lt;wsp:rsid wsp:val=&quot;00906D7D&quot;/&gt;&lt;wsp:rsid wsp:val=&quot;00911435&quot;/&gt;&lt;wsp:rsid wsp:val=&quot;00912209&quot;/&gt;&lt;wsp:rsid wsp:val=&quot;00913076&quot;/&gt;&lt;wsp:rsid wsp:val=&quot;00913081&quot;/&gt;&lt;wsp:rsid wsp:val=&quot;00917D9D&quot;/&gt;&lt;wsp:rsid wsp:val=&quot;00917DF2&quot;/&gt;&lt;wsp:rsid wsp:val=&quot;00921041&quot;/&gt;&lt;wsp:rsid wsp:val=&quot;009216C1&quot;/&gt;&lt;wsp:rsid wsp:val=&quot;00921EFD&quot;/&gt;&lt;wsp:rsid wsp:val=&quot;009222EB&quot;/&gt;&lt;wsp:rsid wsp:val=&quot;0092547A&quot;/&gt;&lt;wsp:rsid wsp:val=&quot;009263C4&quot;/&gt;&lt;wsp:rsid wsp:val=&quot;00926B95&quot;/&gt;&lt;wsp:rsid wsp:val=&quot;00926DCE&quot;/&gt;&lt;wsp:rsid wsp:val=&quot;00926E36&quot;/&gt;&lt;wsp:rsid wsp:val=&quot;0092771C&quot;/&gt;&lt;wsp:rsid wsp:val=&quot;00927CC6&quot;/&gt;&lt;wsp:rsid wsp:val=&quot;00927F5E&quot;/&gt;&lt;wsp:rsid wsp:val=&quot;0093034D&quot;/&gt;&lt;wsp:rsid wsp:val=&quot;009312B8&quot;/&gt;&lt;wsp:rsid wsp:val=&quot;00932AA6&quot;/&gt;&lt;wsp:rsid wsp:val=&quot;00933067&quot;/&gt;&lt;wsp:rsid wsp:val=&quot;00933350&quot;/&gt;&lt;wsp:rsid wsp:val=&quot;009334D7&quot;/&gt;&lt;wsp:rsid wsp:val=&quot;00933C43&quot;/&gt;&lt;wsp:rsid wsp:val=&quot;00933F69&quot;/&gt;&lt;wsp:rsid wsp:val=&quot;0093475B&quot;/&gt;&lt;wsp:rsid wsp:val=&quot;009352E4&quot;/&gt;&lt;wsp:rsid wsp:val=&quot;009358A8&quot;/&gt;&lt;wsp:rsid wsp:val=&quot;00935E2A&quot;/&gt;&lt;wsp:rsid wsp:val=&quot;009370E3&quot;/&gt;&lt;wsp:rsid wsp:val=&quot;0093770A&quot;/&gt;&lt;wsp:rsid wsp:val=&quot;0094020D&quot;/&gt;&lt;wsp:rsid wsp:val=&quot;009424D8&quot;/&gt;&lt;wsp:rsid wsp:val=&quot;009429D7&quot;/&gt;&lt;wsp:rsid wsp:val=&quot;00944937&quot;/&gt;&lt;wsp:rsid wsp:val=&quot;009453B9&quot;/&gt;&lt;wsp:rsid wsp:val=&quot;0094545E&quot;/&gt;&lt;wsp:rsid wsp:val=&quot;00946041&quot;/&gt;&lt;wsp:rsid wsp:val=&quot;009460A0&quot;/&gt;&lt;wsp:rsid wsp:val=&quot;0095056F&quot;/&gt;&lt;wsp:rsid wsp:val=&quot;009509A5&quot;/&gt;&lt;wsp:rsid wsp:val=&quot;00950E09&quot;/&gt;&lt;wsp:rsid wsp:val=&quot;00950E50&quot;/&gt;&lt;wsp:rsid wsp:val=&quot;00951BF7&quot;/&gt;&lt;wsp:rsid wsp:val=&quot;00951F0F&quot;/&gt;&lt;wsp:rsid wsp:val=&quot;009524ED&quot;/&gt;&lt;wsp:rsid wsp:val=&quot;00952D7C&quot;/&gt;&lt;wsp:rsid wsp:val=&quot;00956803&quot;/&gt;&lt;wsp:rsid wsp:val=&quot;00956E4F&quot;/&gt;&lt;wsp:rsid wsp:val=&quot;00960397&quot;/&gt;&lt;wsp:rsid wsp:val=&quot;00960767&quot;/&gt;&lt;wsp:rsid wsp:val=&quot;00960FB1&quot;/&gt;&lt;wsp:rsid wsp:val=&quot;009617C8&quot;/&gt;&lt;wsp:rsid wsp:val=&quot;00961A55&quot;/&gt;&lt;wsp:rsid wsp:val=&quot;00962349&quot;/&gt;&lt;wsp:rsid wsp:val=&quot;00963082&quot;/&gt;&lt;wsp:rsid wsp:val=&quot;00963AD3&quot;/&gt;&lt;wsp:rsid wsp:val=&quot;00966F32&quot;/&gt;&lt;wsp:rsid wsp:val=&quot;00967188&quot;/&gt;&lt;wsp:rsid wsp:val=&quot;00970A0A&quot;/&gt;&lt;wsp:rsid wsp:val=&quot;009714DD&quot;/&gt;&lt;wsp:rsid wsp:val=&quot;00971BFC&quot;/&gt;&lt;wsp:rsid wsp:val=&quot;00971C8C&quot;/&gt;&lt;wsp:rsid wsp:val=&quot;00971F02&quot;/&gt;&lt;wsp:rsid wsp:val=&quot;0097218F&quot;/&gt;&lt;wsp:rsid wsp:val=&quot;00972EB2&quot;/&gt;&lt;wsp:rsid wsp:val=&quot;009738CD&quot;/&gt;&lt;wsp:rsid wsp:val=&quot;00975166&quot;/&gt;&lt;wsp:rsid wsp:val=&quot;0097525E&quot;/&gt;&lt;wsp:rsid wsp:val=&quot;00975DDB&quot;/&gt;&lt;wsp:rsid wsp:val=&quot;0097620E&quot;/&gt;&lt;wsp:rsid wsp:val=&quot;009772AE&quot;/&gt;&lt;wsp:rsid wsp:val=&quot;00977679&quot;/&gt;&lt;wsp:rsid wsp:val=&quot;0098123A&quot;/&gt;&lt;wsp:rsid wsp:val=&quot;00981801&quot;/&gt;&lt;wsp:rsid wsp:val=&quot;00981FA5&quot;/&gt;&lt;wsp:rsid wsp:val=&quot;0098270C&quot;/&gt;&lt;wsp:rsid wsp:val=&quot;009828B5&quot;/&gt;&lt;wsp:rsid wsp:val=&quot;009834C9&quot;/&gt;&lt;wsp:rsid wsp:val=&quot;00985E49&quot;/&gt;&lt;wsp:rsid wsp:val=&quot;00990A08&quot;/&gt;&lt;wsp:rsid wsp:val=&quot;00990C3A&quot;/&gt;&lt;wsp:rsid wsp:val=&quot;009912E8&quot;/&gt;&lt;wsp:rsid wsp:val=&quot;00991FAC&quot;/&gt;&lt;wsp:rsid wsp:val=&quot;00993CEA&quot;/&gt;&lt;wsp:rsid wsp:val=&quot;00994C60&quot;/&gt;&lt;wsp:rsid wsp:val=&quot;00995823&quot;/&gt;&lt;wsp:rsid wsp:val=&quot;00995CD7&quot;/&gt;&lt;wsp:rsid wsp:val=&quot;00995D47&quot;/&gt;&lt;wsp:rsid wsp:val=&quot;00996386&quot;/&gt;&lt;wsp:rsid wsp:val=&quot;00996E9F&quot;/&gt;&lt;wsp:rsid wsp:val=&quot;00997A74&quot;/&gt;&lt;wsp:rsid wsp:val=&quot;009A0BDF&quot;/&gt;&lt;wsp:rsid wsp:val=&quot;009A1A5A&quot;/&gt;&lt;wsp:rsid wsp:val=&quot;009A2958&quot;/&gt;&lt;wsp:rsid wsp:val=&quot;009A337F&quot;/&gt;&lt;wsp:rsid wsp:val=&quot;009A36CC&quot;/&gt;&lt;wsp:rsid wsp:val=&quot;009A386E&quot;/&gt;&lt;wsp:rsid wsp:val=&quot;009A3898&quot;/&gt;&lt;wsp:rsid wsp:val=&quot;009A5240&quot;/&gt;&lt;wsp:rsid wsp:val=&quot;009A648A&quot;/&gt;&lt;wsp:rsid wsp:val=&quot;009A6715&quot;/&gt;&lt;wsp:rsid wsp:val=&quot;009A7650&quot;/&gt;&lt;wsp:rsid wsp:val=&quot;009B1131&quot;/&gt;&lt;wsp:rsid wsp:val=&quot;009B153F&quot;/&gt;&lt;wsp:rsid wsp:val=&quot;009B24C7&quot;/&gt;&lt;wsp:rsid wsp:val=&quot;009B253B&quot;/&gt;&lt;wsp:rsid wsp:val=&quot;009B355D&quot;/&gt;&lt;wsp:rsid wsp:val=&quot;009B4020&quot;/&gt;&lt;wsp:rsid wsp:val=&quot;009B464C&quot;/&gt;&lt;wsp:rsid wsp:val=&quot;009B469C&quot;/&gt;&lt;wsp:rsid wsp:val=&quot;009B4B0D&quot;/&gt;&lt;wsp:rsid wsp:val=&quot;009B55E0&quot;/&gt;&lt;wsp:rsid wsp:val=&quot;009B68A5&quot;/&gt;&lt;wsp:rsid wsp:val=&quot;009B6A1D&quot;/&gt;&lt;wsp:rsid wsp:val=&quot;009B6A72&quot;/&gt;&lt;wsp:rsid wsp:val=&quot;009B780A&quot;/&gt;&lt;wsp:rsid wsp:val=&quot;009B7A16&quot;/&gt;&lt;wsp:rsid wsp:val=&quot;009C06E5&quot;/&gt;&lt;wsp:rsid wsp:val=&quot;009C16E6&quot;/&gt;&lt;wsp:rsid wsp:val=&quot;009C4C80&quot;/&gt;&lt;wsp:rsid wsp:val=&quot;009C5DB6&quot;/&gt;&lt;wsp:rsid wsp:val=&quot;009C6EBD&quot;/&gt;&lt;wsp:rsid wsp:val=&quot;009D0AC7&quot;/&gt;&lt;wsp:rsid wsp:val=&quot;009D21E3&quot;/&gt;&lt;wsp:rsid wsp:val=&quot;009D56BE&quot;/&gt;&lt;wsp:rsid wsp:val=&quot;009D5DDC&quot;/&gt;&lt;wsp:rsid wsp:val=&quot;009D6096&quot;/&gt;&lt;wsp:rsid wsp:val=&quot;009D6505&quot;/&gt;&lt;wsp:rsid wsp:val=&quot;009D6764&quot;/&gt;&lt;wsp:rsid wsp:val=&quot;009D74AD&quot;/&gt;&lt;wsp:rsid wsp:val=&quot;009D763E&quot;/&gt;&lt;wsp:rsid wsp:val=&quot;009D78E7&quot;/&gt;&lt;wsp:rsid wsp:val=&quot;009D7FE3&quot;/&gt;&lt;wsp:rsid wsp:val=&quot;009E4564&quot;/&gt;&lt;wsp:rsid wsp:val=&quot;009E4CF1&quot;/&gt;&lt;wsp:rsid wsp:val=&quot;009E69C9&quot;/&gt;&lt;wsp:rsid wsp:val=&quot;009E7EE6&quot;/&gt;&lt;wsp:rsid wsp:val=&quot;009F09EC&quot;/&gt;&lt;wsp:rsid wsp:val=&quot;009F1AAE&quot;/&gt;&lt;wsp:rsid wsp:val=&quot;009F1ADA&quot;/&gt;&lt;wsp:rsid wsp:val=&quot;009F3071&quot;/&gt;&lt;wsp:rsid wsp:val=&quot;009F3B9D&quot;/&gt;&lt;wsp:rsid wsp:val=&quot;009F4EA5&quot;/&gt;&lt;wsp:rsid wsp:val=&quot;009F5147&quot;/&gt;&lt;wsp:rsid wsp:val=&quot;009F6A80&quot;/&gt;&lt;wsp:rsid wsp:val=&quot;009F785D&quot;/&gt;&lt;wsp:rsid wsp:val=&quot;009F78BB&quot;/&gt;&lt;wsp:rsid wsp:val=&quot;00A01201&quot;/&gt;&lt;wsp:rsid wsp:val=&quot;00A02353&quot;/&gt;&lt;wsp:rsid wsp:val=&quot;00A023FB&quot;/&gt;&lt;wsp:rsid wsp:val=&quot;00A02F09&quot;/&gt;&lt;wsp:rsid wsp:val=&quot;00A05447&quot;/&gt;&lt;wsp:rsid wsp:val=&quot;00A064C7&quot;/&gt;&lt;wsp:rsid wsp:val=&quot;00A07F70&quot;/&gt;&lt;wsp:rsid wsp:val=&quot;00A11497&quot;/&gt;&lt;wsp:rsid wsp:val=&quot;00A11500&quot;/&gt;&lt;wsp:rsid wsp:val=&quot;00A117F8&quot;/&gt;&lt;wsp:rsid wsp:val=&quot;00A12D9A&quot;/&gt;&lt;wsp:rsid wsp:val=&quot;00A13525&quot;/&gt;&lt;wsp:rsid wsp:val=&quot;00A13686&quot;/&gt;&lt;wsp:rsid wsp:val=&quot;00A14687&quot;/&gt;&lt;wsp:rsid wsp:val=&quot;00A14C98&quot;/&gt;&lt;wsp:rsid wsp:val=&quot;00A15547&quot;/&gt;&lt;wsp:rsid wsp:val=&quot;00A15667&quot;/&gt;&lt;wsp:rsid wsp:val=&quot;00A169F8&quot;/&gt;&lt;wsp:rsid wsp:val=&quot;00A17204&quot;/&gt;&lt;wsp:rsid wsp:val=&quot;00A17B58&quot;/&gt;&lt;wsp:rsid wsp:val=&quot;00A17CE8&quot;/&gt;&lt;wsp:rsid wsp:val=&quot;00A214D5&quot;/&gt;&lt;wsp:rsid wsp:val=&quot;00A22F47&quot;/&gt;&lt;wsp:rsid wsp:val=&quot;00A24ECB&quot;/&gt;&lt;wsp:rsid wsp:val=&quot;00A26550&quot;/&gt;&lt;wsp:rsid wsp:val=&quot;00A31352&quot;/&gt;&lt;wsp:rsid wsp:val=&quot;00A3166A&quot;/&gt;&lt;wsp:rsid wsp:val=&quot;00A32E04&quot;/&gt;&lt;wsp:rsid wsp:val=&quot;00A32FBA&quot;/&gt;&lt;wsp:rsid wsp:val=&quot;00A33737&quot;/&gt;&lt;wsp:rsid wsp:val=&quot;00A33CA2&quot;/&gt;&lt;wsp:rsid wsp:val=&quot;00A40EEF&quot;/&gt;&lt;wsp:rsid wsp:val=&quot;00A443EA&quot;/&gt;&lt;wsp:rsid wsp:val=&quot;00A4450B&quot;/&gt;&lt;wsp:rsid wsp:val=&quot;00A4467C&quot;/&gt;&lt;wsp:rsid wsp:val=&quot;00A446FB&quot;/&gt;&lt;wsp:rsid wsp:val=&quot;00A44DE8&quot;/&gt;&lt;wsp:rsid wsp:val=&quot;00A46612&quot;/&gt;&lt;wsp:rsid wsp:val=&quot;00A47802&quot;/&gt;&lt;wsp:rsid wsp:val=&quot;00A50F55&quot;/&gt;&lt;wsp:rsid wsp:val=&quot;00A51D76&quot;/&gt;&lt;wsp:rsid wsp:val=&quot;00A52CD3&quot;/&gt;&lt;wsp:rsid wsp:val=&quot;00A535AE&quot;/&gt;&lt;wsp:rsid wsp:val=&quot;00A53E81&quot;/&gt;&lt;wsp:rsid wsp:val=&quot;00A554BD&quot;/&gt;&lt;wsp:rsid wsp:val=&quot;00A55BE5&quot;/&gt;&lt;wsp:rsid wsp:val=&quot;00A55D41&quot;/&gt;&lt;wsp:rsid wsp:val=&quot;00A561AA&quot;/&gt;&lt;wsp:rsid wsp:val=&quot;00A565E4&quot;/&gt;&lt;wsp:rsid wsp:val=&quot;00A56718&quot;/&gt;&lt;wsp:rsid wsp:val=&quot;00A57ED4&quot;/&gt;&lt;wsp:rsid wsp:val=&quot;00A6007E&quot;/&gt;&lt;wsp:rsid wsp:val=&quot;00A61283&quot;/&gt;&lt;wsp:rsid wsp:val=&quot;00A62B3D&quot;/&gt;&lt;wsp:rsid wsp:val=&quot;00A63AA1&quot;/&gt;&lt;wsp:rsid wsp:val=&quot;00A6592C&quot;/&gt;&lt;wsp:rsid wsp:val=&quot;00A65AB8&quot;/&gt;&lt;wsp:rsid wsp:val=&quot;00A67D9B&quot;/&gt;&lt;wsp:rsid wsp:val=&quot;00A70283&quot;/&gt;&lt;wsp:rsid wsp:val=&quot;00A71185&quot;/&gt;&lt;wsp:rsid wsp:val=&quot;00A716B9&quot;/&gt;&lt;wsp:rsid wsp:val=&quot;00A7201D&quot;/&gt;&lt;wsp:rsid wsp:val=&quot;00A73D7F&quot;/&gt;&lt;wsp:rsid wsp:val=&quot;00A7432F&quot;/&gt;&lt;wsp:rsid wsp:val=&quot;00A74BD5&quot;/&gt;&lt;wsp:rsid wsp:val=&quot;00A75588&quot;/&gt;&lt;wsp:rsid wsp:val=&quot;00A802DC&quot;/&gt;&lt;wsp:rsid wsp:val=&quot;00A80515&quot;/&gt;&lt;wsp:rsid wsp:val=&quot;00A806F6&quot;/&gt;&lt;wsp:rsid wsp:val=&quot;00A81B86&quot;/&gt;&lt;wsp:rsid wsp:val=&quot;00A81D5F&quot;/&gt;&lt;wsp:rsid wsp:val=&quot;00A8278A&quot;/&gt;&lt;wsp:rsid wsp:val=&quot;00A82E33&quot;/&gt;&lt;wsp:rsid wsp:val=&quot;00A842FC&quot;/&gt;&lt;wsp:rsid wsp:val=&quot;00A86788&quot;/&gt;&lt;wsp:rsid wsp:val=&quot;00A90653&quot;/&gt;&lt;wsp:rsid wsp:val=&quot;00A90C9F&quot;/&gt;&lt;wsp:rsid wsp:val=&quot;00A91C50&quot;/&gt;&lt;wsp:rsid wsp:val=&quot;00A93675&quot;/&gt;&lt;wsp:rsid wsp:val=&quot;00A94291&quot;/&gt;&lt;wsp:rsid wsp:val=&quot;00A961CE&quot;/&gt;&lt;wsp:rsid wsp:val=&quot;00A96377&quot;/&gt;&lt;wsp:rsid wsp:val=&quot;00A97398&quot;/&gt;&lt;wsp:rsid wsp:val=&quot;00AA0BB4&quot;/&gt;&lt;wsp:rsid wsp:val=&quot;00AA0F0F&quot;/&gt;&lt;wsp:rsid wsp:val=&quot;00AA11C7&quot;/&gt;&lt;wsp:rsid wsp:val=&quot;00AA1CD4&quot;/&gt;&lt;wsp:rsid wsp:val=&quot;00AA32A8&quot;/&gt;&lt;wsp:rsid wsp:val=&quot;00AA4B64&quot;/&gt;&lt;wsp:rsid wsp:val=&quot;00AA4D0B&quot;/&gt;&lt;wsp:rsid wsp:val=&quot;00AA4E9A&quot;/&gt;&lt;wsp:rsid wsp:val=&quot;00AA5527&quot;/&gt;&lt;wsp:rsid wsp:val=&quot;00AB0241&quot;/&gt;&lt;wsp:rsid wsp:val=&quot;00AB0FD2&quot;/&gt;&lt;wsp:rsid wsp:val=&quot;00AB197D&quot;/&gt;&lt;wsp:rsid wsp:val=&quot;00AB2413&quot;/&gt;&lt;wsp:rsid wsp:val=&quot;00AB3167&quot;/&gt;&lt;wsp:rsid wsp:val=&quot;00AB3650&quot;/&gt;&lt;wsp:rsid wsp:val=&quot;00AB3DA8&quot;/&gt;&lt;wsp:rsid wsp:val=&quot;00AB48AE&quot;/&gt;&lt;wsp:rsid wsp:val=&quot;00AB4F7B&quot;/&gt;&lt;wsp:rsid wsp:val=&quot;00AB785A&quot;/&gt;&lt;wsp:rsid wsp:val=&quot;00AC0B6C&quot;/&gt;&lt;wsp:rsid wsp:val=&quot;00AC0EC5&quot;/&gt;&lt;wsp:rsid wsp:val=&quot;00AC1623&quot;/&gt;&lt;wsp:rsid wsp:val=&quot;00AC1DCA&quot;/&gt;&lt;wsp:rsid wsp:val=&quot;00AC3EDA&quot;/&gt;&lt;wsp:rsid wsp:val=&quot;00AC42A1&quot;/&gt;&lt;wsp:rsid wsp:val=&quot;00AC5476&quot;/&gt;&lt;wsp:rsid wsp:val=&quot;00AC6E04&quot;/&gt;&lt;wsp:rsid wsp:val=&quot;00AC7B42&quot;/&gt;&lt;wsp:rsid wsp:val=&quot;00AD0087&quot;/&gt;&lt;wsp:rsid wsp:val=&quot;00AD0C6D&quot;/&gt;&lt;wsp:rsid wsp:val=&quot;00AD1857&quot;/&gt;&lt;wsp:rsid wsp:val=&quot;00AD2551&quot;/&gt;&lt;wsp:rsid wsp:val=&quot;00AD414E&quot;/&gt;&lt;wsp:rsid wsp:val=&quot;00AD5595&quot;/&gt;&lt;wsp:rsid wsp:val=&quot;00AD58AB&quot;/&gt;&lt;wsp:rsid wsp:val=&quot;00AD599C&quot;/&gt;&lt;wsp:rsid wsp:val=&quot;00AD5E97&quot;/&gt;&lt;wsp:rsid wsp:val=&quot;00AD657F&quot;/&gt;&lt;wsp:rsid wsp:val=&quot;00AD7990&quot;/&gt;&lt;wsp:rsid wsp:val=&quot;00AE057D&quot;/&gt;&lt;wsp:rsid wsp:val=&quot;00AE0748&quot;/&gt;&lt;wsp:rsid wsp:val=&quot;00AE317E&quot;/&gt;&lt;wsp:rsid wsp:val=&quot;00AE4381&quot;/&gt;&lt;wsp:rsid wsp:val=&quot;00AE4EA5&quot;/&gt;&lt;wsp:rsid wsp:val=&quot;00AE5466&quot;/&gt;&lt;wsp:rsid wsp:val=&quot;00AE56C7&quot;/&gt;&lt;wsp:rsid wsp:val=&quot;00AE6334&quot;/&gt;&lt;wsp:rsid wsp:val=&quot;00AE73B8&quot;/&gt;&lt;wsp:rsid wsp:val=&quot;00AE7CB1&quot;/&gt;&lt;wsp:rsid wsp:val=&quot;00AF0144&quot;/&gt;&lt;wsp:rsid wsp:val=&quot;00AF01D0&quot;/&gt;&lt;wsp:rsid wsp:val=&quot;00AF0595&quot;/&gt;&lt;wsp:rsid wsp:val=&quot;00AF236D&quot;/&gt;&lt;wsp:rsid wsp:val=&quot;00AF35A7&quot;/&gt;&lt;wsp:rsid wsp:val=&quot;00AF4A12&quot;/&gt;&lt;wsp:rsid wsp:val=&quot;00AF7D53&quot;/&gt;&lt;wsp:rsid wsp:val=&quot;00B00434&quot;/&gt;&lt;wsp:rsid wsp:val=&quot;00B016C8&quot;/&gt;&lt;wsp:rsid wsp:val=&quot;00B02D3B&quot;/&gt;&lt;wsp:rsid wsp:val=&quot;00B0312E&quot;/&gt;&lt;wsp:rsid wsp:val=&quot;00B04394&quot;/&gt;&lt;wsp:rsid wsp:val=&quot;00B044F6&quot;/&gt;&lt;wsp:rsid wsp:val=&quot;00B05011&quot;/&gt;&lt;wsp:rsid wsp:val=&quot;00B0512B&quot;/&gt;&lt;wsp:rsid wsp:val=&quot;00B05D2B&quot;/&gt;&lt;wsp:rsid wsp:val=&quot;00B071E8&quot;/&gt;&lt;wsp:rsid wsp:val=&quot;00B07A45&quot;/&gt;&lt;wsp:rsid wsp:val=&quot;00B13090&quot;/&gt;&lt;wsp:rsid wsp:val=&quot;00B13616&quot;/&gt;&lt;wsp:rsid wsp:val=&quot;00B1370D&quot;/&gt;&lt;wsp:rsid wsp:val=&quot;00B13AAC&quot;/&gt;&lt;wsp:rsid wsp:val=&quot;00B1539F&quot;/&gt;&lt;wsp:rsid wsp:val=&quot;00B15847&quot;/&gt;&lt;wsp:rsid wsp:val=&quot;00B17751&quot;/&gt;&lt;wsp:rsid wsp:val=&quot;00B177AD&quot;/&gt;&lt;wsp:rsid wsp:val=&quot;00B20B9F&quot;/&gt;&lt;wsp:rsid wsp:val=&quot;00B22AFA&quot;/&gt;&lt;wsp:rsid wsp:val=&quot;00B24382&quot;/&gt;&lt;wsp:rsid wsp:val=&quot;00B24598&quot;/&gt;&lt;wsp:rsid wsp:val=&quot;00B24E5C&quot;/&gt;&lt;wsp:rsid wsp:val=&quot;00B27B5D&quot;/&gt;&lt;wsp:rsid wsp:val=&quot;00B308AC&quot;/&gt;&lt;wsp:rsid wsp:val=&quot;00B33087&quot;/&gt;&lt;wsp:rsid wsp:val=&quot;00B34787&quot;/&gt;&lt;wsp:rsid wsp:val=&quot;00B35A80&quot;/&gt;&lt;wsp:rsid wsp:val=&quot;00B35EA9&quot;/&gt;&lt;wsp:rsid wsp:val=&quot;00B364BD&quot;/&gt;&lt;wsp:rsid wsp:val=&quot;00B36851&quot;/&gt;&lt;wsp:rsid wsp:val=&quot;00B37EF7&quot;/&gt;&lt;wsp:rsid wsp:val=&quot;00B403FA&quot;/&gt;&lt;wsp:rsid wsp:val=&quot;00B40B1C&quot;/&gt;&lt;wsp:rsid wsp:val=&quot;00B410E5&quot;/&gt;&lt;wsp:rsid wsp:val=&quot;00B41465&quot;/&gt;&lt;wsp:rsid wsp:val=&quot;00B417A2&quot;/&gt;&lt;wsp:rsid wsp:val=&quot;00B419FC&quot;/&gt;&lt;wsp:rsid wsp:val=&quot;00B42A75&quot;/&gt;&lt;wsp:rsid wsp:val=&quot;00B4341F&quot;/&gt;&lt;wsp:rsid wsp:val=&quot;00B4575D&quot;/&gt;&lt;wsp:rsid wsp:val=&quot;00B46508&quot;/&gt;&lt;wsp:rsid wsp:val=&quot;00B47F32&quot;/&gt;&lt;wsp:rsid wsp:val=&quot;00B52C23&quot;/&gt;&lt;wsp:rsid wsp:val=&quot;00B53919&quot;/&gt;&lt;wsp:rsid wsp:val=&quot;00B5397B&quot;/&gt;&lt;wsp:rsid wsp:val=&quot;00B53FE8&quot;/&gt;&lt;wsp:rsid wsp:val=&quot;00B550BC&quot;/&gt;&lt;wsp:rsid wsp:val=&quot;00B55F31&quot;/&gt;&lt;wsp:rsid wsp:val=&quot;00B560AF&quot;/&gt;&lt;wsp:rsid wsp:val=&quot;00B564B6&quot;/&gt;&lt;wsp:rsid wsp:val=&quot;00B60178&quot;/&gt;&lt;wsp:rsid wsp:val=&quot;00B60D9D&quot;/&gt;&lt;wsp:rsid wsp:val=&quot;00B61772&quot;/&gt;&lt;wsp:rsid wsp:val=&quot;00B61AF8&quot;/&gt;&lt;wsp:rsid wsp:val=&quot;00B62EE6&quot;/&gt;&lt;wsp:rsid wsp:val=&quot;00B634AA&quot;/&gt;&lt;wsp:rsid wsp:val=&quot;00B64089&quot;/&gt;&lt;wsp:rsid wsp:val=&quot;00B640B1&quot;/&gt;&lt;wsp:rsid wsp:val=&quot;00B64936&quot;/&gt;&lt;wsp:rsid wsp:val=&quot;00B64D10&quot;/&gt;&lt;wsp:rsid wsp:val=&quot;00B65320&quot;/&gt;&lt;wsp:rsid wsp:val=&quot;00B66344&quot;/&gt;&lt;wsp:rsid wsp:val=&quot;00B66FCE&quot;/&gt;&lt;wsp:rsid wsp:val=&quot;00B71342&quot;/&gt;&lt;wsp:rsid wsp:val=&quot;00B72D44&quot;/&gt;&lt;wsp:rsid wsp:val=&quot;00B736DA&quot;/&gt;&lt;wsp:rsid wsp:val=&quot;00B73B49&quot;/&gt;&lt;wsp:rsid wsp:val=&quot;00B73FD5&quot;/&gt;&lt;wsp:rsid wsp:val=&quot;00B7523A&quot;/&gt;&lt;wsp:rsid wsp:val=&quot;00B75C49&quot;/&gt;&lt;wsp:rsid wsp:val=&quot;00B77072&quot;/&gt;&lt;wsp:rsid wsp:val=&quot;00B80E64&quot;/&gt;&lt;wsp:rsid wsp:val=&quot;00B817A8&quot;/&gt;&lt;wsp:rsid wsp:val=&quot;00B81CBE&quot;/&gt;&lt;wsp:rsid wsp:val=&quot;00B81D14&quot;/&gt;&lt;wsp:rsid wsp:val=&quot;00B82142&quot;/&gt;&lt;wsp:rsid wsp:val=&quot;00B82279&quot;/&gt;&lt;wsp:rsid wsp:val=&quot;00B82A3E&quot;/&gt;&lt;wsp:rsid wsp:val=&quot;00B834F7&quot;/&gt;&lt;wsp:rsid wsp:val=&quot;00B83ADE&quot;/&gt;&lt;wsp:rsid wsp:val=&quot;00B841E5&quot;/&gt;&lt;wsp:rsid wsp:val=&quot;00B854A2&quot;/&gt;&lt;wsp:rsid wsp:val=&quot;00B900A1&quot;/&gt;&lt;wsp:rsid wsp:val=&quot;00B90133&quot;/&gt;&lt;wsp:rsid wsp:val=&quot;00B90D93&quot;/&gt;&lt;wsp:rsid wsp:val=&quot;00B92511&quot;/&gt;&lt;wsp:rsid wsp:val=&quot;00B93925&quot;/&gt;&lt;wsp:rsid wsp:val=&quot;00B945D2&quot;/&gt;&lt;wsp:rsid wsp:val=&quot;00B94C1A&quot;/&gt;&lt;wsp:rsid wsp:val=&quot;00B96D0F&quot;/&gt;&lt;wsp:rsid wsp:val=&quot;00B96D2B&quot;/&gt;&lt;wsp:rsid wsp:val=&quot;00B9746D&quot;/&gt;&lt;wsp:rsid wsp:val=&quot;00B97794&quot;/&gt;&lt;wsp:rsid wsp:val=&quot;00BA0E17&quot;/&gt;&lt;wsp:rsid wsp:val=&quot;00BA35F2&quot;/&gt;&lt;wsp:rsid wsp:val=&quot;00BA3D4E&quot;/&gt;&lt;wsp:rsid wsp:val=&quot;00BA4E94&quot;/&gt;&lt;wsp:rsid wsp:val=&quot;00BA7FC2&quot;/&gt;&lt;wsp:rsid wsp:val=&quot;00BB2D77&quot;/&gt;&lt;wsp:rsid wsp:val=&quot;00BB5432&quot;/&gt;&lt;wsp:rsid wsp:val=&quot;00BC1391&quot;/&gt;&lt;wsp:rsid wsp:val=&quot;00BC287E&quot;/&gt;&lt;wsp:rsid wsp:val=&quot;00BC3A24&quot;/&gt;&lt;wsp:rsid wsp:val=&quot;00BC4028&quot;/&gt;&lt;wsp:rsid wsp:val=&quot;00BC4666&quot;/&gt;&lt;wsp:rsid wsp:val=&quot;00BC46D6&quot;/&gt;&lt;wsp:rsid wsp:val=&quot;00BC4AB9&quot;/&gt;&lt;wsp:rsid wsp:val=&quot;00BC640E&quot;/&gt;&lt;wsp:rsid wsp:val=&quot;00BC69C9&quot;/&gt;&lt;wsp:rsid wsp:val=&quot;00BC77ED&quot;/&gt;&lt;wsp:rsid wsp:val=&quot;00BD06B5&quot;/&gt;&lt;wsp:rsid wsp:val=&quot;00BD12B8&quot;/&gt;&lt;wsp:rsid wsp:val=&quot;00BD2568&quot;/&gt;&lt;wsp:rsid wsp:val=&quot;00BD373D&quot;/&gt;&lt;wsp:rsid wsp:val=&quot;00BD446A&quot;/&gt;&lt;wsp:rsid wsp:val=&quot;00BD550E&quot;/&gt;&lt;wsp:rsid wsp:val=&quot;00BD6290&quot;/&gt;&lt;wsp:rsid wsp:val=&quot;00BE1FB1&quot;/&gt;&lt;wsp:rsid wsp:val=&quot;00BE221B&quot;/&gt;&lt;wsp:rsid wsp:val=&quot;00BE2FB7&quot;/&gt;&lt;wsp:rsid wsp:val=&quot;00BE325C&quot;/&gt;&lt;wsp:rsid wsp:val=&quot;00BE4DA5&quot;/&gt;&lt;wsp:rsid wsp:val=&quot;00BE5537&quot;/&gt;&lt;wsp:rsid wsp:val=&quot;00BE6B6E&quot;/&gt;&lt;wsp:rsid wsp:val=&quot;00BE6CA4&quot;/&gt;&lt;wsp:rsid wsp:val=&quot;00BE7836&quot;/&gt;&lt;wsp:rsid wsp:val=&quot;00BE7A11&quot;/&gt;&lt;wsp:rsid wsp:val=&quot;00BE7B69&quot;/&gt;&lt;wsp:rsid wsp:val=&quot;00BE7FA6&quot;/&gt;&lt;wsp:rsid wsp:val=&quot;00BF01AA&quot;/&gt;&lt;wsp:rsid wsp:val=&quot;00BF0633&quot;/&gt;&lt;wsp:rsid wsp:val=&quot;00BF08ED&quot;/&gt;&lt;wsp:rsid wsp:val=&quot;00BF1530&quot;/&gt;&lt;wsp:rsid wsp:val=&quot;00BF1AB0&quot;/&gt;&lt;wsp:rsid wsp:val=&quot;00BF5144&quot;/&gt;&lt;wsp:rsid wsp:val=&quot;00BF6FE5&quot;/&gt;&lt;wsp:rsid wsp:val=&quot;00BF701C&quot;/&gt;&lt;wsp:rsid wsp:val=&quot;00BF722B&quot;/&gt;&lt;wsp:rsid wsp:val=&quot;00BF775E&quot;/&gt;&lt;wsp:rsid wsp:val=&quot;00C01431&quot;/&gt;&lt;wsp:rsid wsp:val=&quot;00C0281C&quot;/&gt;&lt;wsp:rsid wsp:val=&quot;00C02A8B&quot;/&gt;&lt;wsp:rsid wsp:val=&quot;00C02FF9&quot;/&gt;&lt;wsp:rsid wsp:val=&quot;00C068F8&quot;/&gt;&lt;wsp:rsid wsp:val=&quot;00C06E54&quot;/&gt;&lt;wsp:rsid wsp:val=&quot;00C072D7&quot;/&gt;&lt;wsp:rsid wsp:val=&quot;00C07A1A&quot;/&gt;&lt;wsp:rsid wsp:val=&quot;00C07AB8&quot;/&gt;&lt;wsp:rsid wsp:val=&quot;00C07B53&quot;/&gt;&lt;wsp:rsid wsp:val=&quot;00C07E40&quot;/&gt;&lt;wsp:rsid wsp:val=&quot;00C108E3&quot;/&gt;&lt;wsp:rsid wsp:val=&quot;00C10B51&quot;/&gt;&lt;wsp:rsid wsp:val=&quot;00C12675&quot;/&gt;&lt;wsp:rsid wsp:val=&quot;00C128E2&quot;/&gt;&lt;wsp:rsid wsp:val=&quot;00C12CA2&quot;/&gt;&lt;wsp:rsid wsp:val=&quot;00C1361F&quot;/&gt;&lt;wsp:rsid wsp:val=&quot;00C1574E&quot;/&gt;&lt;wsp:rsid wsp:val=&quot;00C16976&quot;/&gt;&lt;wsp:rsid wsp:val=&quot;00C1727A&quot;/&gt;&lt;wsp:rsid wsp:val=&quot;00C20FC3&quot;/&gt;&lt;wsp:rsid wsp:val=&quot;00C218C4&quot;/&gt;&lt;wsp:rsid wsp:val=&quot;00C23B2E&quot;/&gt;&lt;wsp:rsid wsp:val=&quot;00C24342&quot;/&gt;&lt;wsp:rsid wsp:val=&quot;00C257CB&quot;/&gt;&lt;wsp:rsid wsp:val=&quot;00C25E3E&quot;/&gt;&lt;wsp:rsid wsp:val=&quot;00C260AE&quot;/&gt;&lt;wsp:rsid wsp:val=&quot;00C264FD&quot;/&gt;&lt;wsp:rsid wsp:val=&quot;00C2667B&quot;/&gt;&lt;wsp:rsid wsp:val=&quot;00C30A4F&quot;/&gt;&lt;wsp:rsid wsp:val=&quot;00C30DFD&quot;/&gt;&lt;wsp:rsid wsp:val=&quot;00C311B0&quot;/&gt;&lt;wsp:rsid wsp:val=&quot;00C31486&quot;/&gt;&lt;wsp:rsid wsp:val=&quot;00C31B45&quot;/&gt;&lt;wsp:rsid wsp:val=&quot;00C32484&quot;/&gt;&lt;wsp:rsid wsp:val=&quot;00C344B1&quot;/&gt;&lt;wsp:rsid wsp:val=&quot;00C35272&quot;/&gt;&lt;wsp:rsid wsp:val=&quot;00C3638B&quot;/&gt;&lt;wsp:rsid wsp:val=&quot;00C407C4&quot;/&gt;&lt;wsp:rsid wsp:val=&quot;00C4081F&quot;/&gt;&lt;wsp:rsid wsp:val=&quot;00C41574&quot;/&gt;&lt;wsp:rsid wsp:val=&quot;00C415B7&quot;/&gt;&lt;wsp:rsid wsp:val=&quot;00C41AD1&quot;/&gt;&lt;wsp:rsid wsp:val=&quot;00C424EB&quot;/&gt;&lt;wsp:rsid wsp:val=&quot;00C432E3&quot;/&gt;&lt;wsp:rsid wsp:val=&quot;00C45ED3&quot;/&gt;&lt;wsp:rsid wsp:val=&quot;00C465A0&quot;/&gt;&lt;wsp:rsid wsp:val=&quot;00C46FF7&quot;/&gt;&lt;wsp:rsid wsp:val=&quot;00C500DD&quot;/&gt;&lt;wsp:rsid wsp:val=&quot;00C502BF&quot;/&gt;&lt;wsp:rsid wsp:val=&quot;00C50BC5&quot;/&gt;&lt;wsp:rsid wsp:val=&quot;00C52608&quot;/&gt;&lt;wsp:rsid wsp:val=&quot;00C52D3A&quot;/&gt;&lt;wsp:rsid wsp:val=&quot;00C55C6D&quot;/&gt;&lt;wsp:rsid wsp:val=&quot;00C5688D&quot;/&gt;&lt;wsp:rsid wsp:val=&quot;00C56A8F&quot;/&gt;&lt;wsp:rsid wsp:val=&quot;00C56C1B&quot;/&gt;&lt;wsp:rsid wsp:val=&quot;00C56D90&quot;/&gt;&lt;wsp:rsid wsp:val=&quot;00C56F78&quot;/&gt;&lt;wsp:rsid wsp:val=&quot;00C60B32&quot;/&gt;&lt;wsp:rsid wsp:val=&quot;00C6326A&quot;/&gt;&lt;wsp:rsid wsp:val=&quot;00C639E3&quot;/&gt;&lt;wsp:rsid wsp:val=&quot;00C65EB1&quot;/&gt;&lt;wsp:rsid wsp:val=&quot;00C660BD&quot;/&gt;&lt;wsp:rsid wsp:val=&quot;00C66E44&quot;/&gt;&lt;wsp:rsid wsp:val=&quot;00C674A7&quot;/&gt;&lt;wsp:rsid wsp:val=&quot;00C676FA&quot;/&gt;&lt;wsp:rsid wsp:val=&quot;00C70A1F&quot;/&gt;&lt;wsp:rsid wsp:val=&quot;00C71410&quot;/&gt;&lt;wsp:rsid wsp:val=&quot;00C714C4&quot;/&gt;&lt;wsp:rsid wsp:val=&quot;00C725CE&quot;/&gt;&lt;wsp:rsid wsp:val=&quot;00C729AA&quot;/&gt;&lt;wsp:rsid wsp:val=&quot;00C7310E&quot;/&gt;&lt;wsp:rsid wsp:val=&quot;00C74F2F&quot;/&gt;&lt;wsp:rsid wsp:val=&quot;00C7500F&quot;/&gt;&lt;wsp:rsid wsp:val=&quot;00C75456&quot;/&gt;&lt;wsp:rsid wsp:val=&quot;00C75A8E&quot;/&gt;&lt;wsp:rsid wsp:val=&quot;00C75AF2&quot;/&gt;&lt;wsp:rsid wsp:val=&quot;00C76004&quot;/&gt;&lt;wsp:rsid wsp:val=&quot;00C77869&quot;/&gt;&lt;wsp:rsid wsp:val=&quot;00C8005B&quot;/&gt;&lt;wsp:rsid wsp:val=&quot;00C80868&quot;/&gt;&lt;wsp:rsid wsp:val=&quot;00C80989&quot;/&gt;&lt;wsp:rsid wsp:val=&quot;00C810E4&quot;/&gt;&lt;wsp:rsid wsp:val=&quot;00C81486&quot;/&gt;&lt;wsp:rsid wsp:val=&quot;00C8272A&quot;/&gt;&lt;wsp:rsid wsp:val=&quot;00C82F34&quot;/&gt;&lt;wsp:rsid wsp:val=&quot;00C83560&quot;/&gt;&lt;wsp:rsid wsp:val=&quot;00C84677&quot;/&gt;&lt;wsp:rsid wsp:val=&quot;00C84C6A&quot;/&gt;&lt;wsp:rsid wsp:val=&quot;00C854DA&quot;/&gt;&lt;wsp:rsid wsp:val=&quot;00C859F1&quot;/&gt;&lt;wsp:rsid wsp:val=&quot;00C85E94&quot;/&gt;&lt;wsp:rsid wsp:val=&quot;00C85F6D&quot;/&gt;&lt;wsp:rsid wsp:val=&quot;00C86159&quot;/&gt;&lt;wsp:rsid wsp:val=&quot;00C86716&quot;/&gt;&lt;wsp:rsid wsp:val=&quot;00C90016&quot;/&gt;&lt;wsp:rsid wsp:val=&quot;00C90775&quot;/&gt;&lt;wsp:rsid wsp:val=&quot;00C90C37&quot;/&gt;&lt;wsp:rsid wsp:val=&quot;00C9179A&quot;/&gt;&lt;wsp:rsid wsp:val=&quot;00C929A7&quot;/&gt;&lt;wsp:rsid wsp:val=&quot;00C92F62&quot;/&gt;&lt;wsp:rsid wsp:val=&quot;00C93063&quot;/&gt;&lt;wsp:rsid wsp:val=&quot;00C93EB6&quot;/&gt;&lt;wsp:rsid wsp:val=&quot;00C94E1E&quot;/&gt;&lt;wsp:rsid wsp:val=&quot;00C95FE3&quot;/&gt;&lt;wsp:rsid wsp:val=&quot;00C96391&quot;/&gt;&lt;wsp:rsid wsp:val=&quot;00CA0EAC&quot;/&gt;&lt;wsp:rsid wsp:val=&quot;00CA1BDF&quot;/&gt;&lt;wsp:rsid wsp:val=&quot;00CA234F&quot;/&gt;&lt;wsp:rsid wsp:val=&quot;00CA26F1&quot;/&gt;&lt;wsp:rsid wsp:val=&quot;00CA294D&quot;/&gt;&lt;wsp:rsid wsp:val=&quot;00CA2BDF&quot;/&gt;&lt;wsp:rsid wsp:val=&quot;00CA318B&quot;/&gt;&lt;wsp:rsid wsp:val=&quot;00CA62D6&quot;/&gt;&lt;wsp:rsid wsp:val=&quot;00CA6822&quot;/&gt;&lt;wsp:rsid wsp:val=&quot;00CA6A8D&quot;/&gt;&lt;wsp:rsid wsp:val=&quot;00CA74F0&quot;/&gt;&lt;wsp:rsid wsp:val=&quot;00CA7599&quot;/&gt;&lt;wsp:rsid wsp:val=&quot;00CA7A7D&quot;/&gt;&lt;wsp:rsid wsp:val=&quot;00CB2CF1&quot;/&gt;&lt;wsp:rsid wsp:val=&quot;00CB4204&quot;/&gt;&lt;wsp:rsid wsp:val=&quot;00CB7B2E&quot;/&gt;&lt;wsp:rsid wsp:val=&quot;00CB7E48&quot;/&gt;&lt;wsp:rsid wsp:val=&quot;00CC0A94&quot;/&gt;&lt;wsp:rsid wsp:val=&quot;00CC2E4A&quot;/&gt;&lt;wsp:rsid wsp:val=&quot;00CC2E99&quot;/&gt;&lt;wsp:rsid wsp:val=&quot;00CC318E&quot;/&gt;&lt;wsp:rsid wsp:val=&quot;00CC392B&quot;/&gt;&lt;wsp:rsid wsp:val=&quot;00CC3C6D&quot;/&gt;&lt;wsp:rsid wsp:val=&quot;00CC6050&quot;/&gt;&lt;wsp:rsid wsp:val=&quot;00CD0046&quot;/&gt;&lt;wsp:rsid wsp:val=&quot;00CD09AC&quot;/&gt;&lt;wsp:rsid wsp:val=&quot;00CD2A31&quot;/&gt;&lt;wsp:rsid wsp:val=&quot;00CD2C60&quot;/&gt;&lt;wsp:rsid wsp:val=&quot;00CD47BC&quot;/&gt;&lt;wsp:rsid wsp:val=&quot;00CE15EE&quot;/&gt;&lt;wsp:rsid wsp:val=&quot;00CE1B49&quot;/&gt;&lt;wsp:rsid wsp:val=&quot;00CE4683&quot;/&gt;&lt;wsp:rsid wsp:val=&quot;00CE63CC&quot;/&gt;&lt;wsp:rsid wsp:val=&quot;00CE7A2A&quot;/&gt;&lt;wsp:rsid wsp:val=&quot;00CE7A9C&quot;/&gt;&lt;wsp:rsid wsp:val=&quot;00CE7D7B&quot;/&gt;&lt;wsp:rsid wsp:val=&quot;00CF2AE7&quot;/&gt;&lt;wsp:rsid wsp:val=&quot;00CF4A86&quot;/&gt;&lt;wsp:rsid wsp:val=&quot;00CF4C52&quot;/&gt;&lt;wsp:rsid wsp:val=&quot;00CF5535&quot;/&gt;&lt;wsp:rsid wsp:val=&quot;00CF778D&quot;/&gt;&lt;wsp:rsid wsp:val=&quot;00CF79AA&quot;/&gt;&lt;wsp:rsid wsp:val=&quot;00D02271&quot;/&gt;&lt;wsp:rsid wsp:val=&quot;00D02A53&quot;/&gt;&lt;wsp:rsid wsp:val=&quot;00D038B2&quot;/&gt;&lt;wsp:rsid wsp:val=&quot;00D03D6B&quot;/&gt;&lt;wsp:rsid wsp:val=&quot;00D03D93&quot;/&gt;&lt;wsp:rsid wsp:val=&quot;00D04AF0&quot;/&gt;&lt;wsp:rsid wsp:val=&quot;00D04BCD&quot;/&gt;&lt;wsp:rsid wsp:val=&quot;00D064DA&quot;/&gt;&lt;wsp:rsid wsp:val=&quot;00D06CA2&quot;/&gt;&lt;wsp:rsid wsp:val=&quot;00D070F1&quot;/&gt;&lt;wsp:rsid wsp:val=&quot;00D106E0&quot;/&gt;&lt;wsp:rsid wsp:val=&quot;00D11D26&quot;/&gt;&lt;wsp:rsid wsp:val=&quot;00D13517&quot;/&gt;&lt;wsp:rsid wsp:val=&quot;00D13CF2&quot;/&gt;&lt;wsp:rsid wsp:val=&quot;00D14D61&quot;/&gt;&lt;wsp:rsid wsp:val=&quot;00D1529A&quot;/&gt;&lt;wsp:rsid wsp:val=&quot;00D1669C&quot;/&gt;&lt;wsp:rsid wsp:val=&quot;00D16E1A&quot;/&gt;&lt;wsp:rsid wsp:val=&quot;00D17B43&quot;/&gt;&lt;wsp:rsid wsp:val=&quot;00D17CF4&quot;/&gt;&lt;wsp:rsid wsp:val=&quot;00D20801&quot;/&gt;&lt;wsp:rsid wsp:val=&quot;00D20DFD&quot;/&gt;&lt;wsp:rsid wsp:val=&quot;00D212BB&quot;/&gt;&lt;wsp:rsid wsp:val=&quot;00D2195C&quot;/&gt;&lt;wsp:rsid wsp:val=&quot;00D21F0F&quot;/&gt;&lt;wsp:rsid wsp:val=&quot;00D21FD3&quot;/&gt;&lt;wsp:rsid wsp:val=&quot;00D227E8&quot;/&gt;&lt;wsp:rsid wsp:val=&quot;00D22B01&quot;/&gt;&lt;wsp:rsid wsp:val=&quot;00D2322A&quot;/&gt;&lt;wsp:rsid wsp:val=&quot;00D245D8&quot;/&gt;&lt;wsp:rsid wsp:val=&quot;00D24E70&quot;/&gt;&lt;wsp:rsid wsp:val=&quot;00D272D8&quot;/&gt;&lt;wsp:rsid wsp:val=&quot;00D27829&quot;/&gt;&lt;wsp:rsid wsp:val=&quot;00D31668&quot;/&gt;&lt;wsp:rsid wsp:val=&quot;00D317FC&quot;/&gt;&lt;wsp:rsid wsp:val=&quot;00D34054&quot;/&gt;&lt;wsp:rsid wsp:val=&quot;00D356A6&quot;/&gt;&lt;wsp:rsid wsp:val=&quot;00D4051B&quot;/&gt;&lt;wsp:rsid wsp:val=&quot;00D40924&quot;/&gt;&lt;wsp:rsid wsp:val=&quot;00D414FA&quot;/&gt;&lt;wsp:rsid wsp:val=&quot;00D42215&quot;/&gt;&lt;wsp:rsid wsp:val=&quot;00D42CF4&quot;/&gt;&lt;wsp:rsid wsp:val=&quot;00D4335E&quot;/&gt;&lt;wsp:rsid wsp:val=&quot;00D50F00&quot;/&gt;&lt;wsp:rsid wsp:val=&quot;00D518C3&quot;/&gt;&lt;wsp:rsid wsp:val=&quot;00D51A60&quot;/&gt;&lt;wsp:rsid wsp:val=&quot;00D51DD0&quot;/&gt;&lt;wsp:rsid wsp:val=&quot;00D528D5&quot;/&gt;&lt;wsp:rsid wsp:val=&quot;00D53103&quot;/&gt;&lt;wsp:rsid wsp:val=&quot;00D53923&quot;/&gt;&lt;wsp:rsid wsp:val=&quot;00D53970&quot;/&gt;&lt;wsp:rsid wsp:val=&quot;00D54843&quot;/&gt;&lt;wsp:rsid wsp:val=&quot;00D552C7&quot;/&gt;&lt;wsp:rsid wsp:val=&quot;00D560E3&quot;/&gt;&lt;wsp:rsid wsp:val=&quot;00D56591&quot;/&gt;&lt;wsp:rsid wsp:val=&quot;00D565F5&quot;/&gt;&lt;wsp:rsid wsp:val=&quot;00D578A7&quot;/&gt;&lt;wsp:rsid wsp:val=&quot;00D632E4&quot;/&gt;&lt;wsp:rsid wsp:val=&quot;00D635A6&quot;/&gt;&lt;wsp:rsid wsp:val=&quot;00D63DDC&quot;/&gt;&lt;wsp:rsid wsp:val=&quot;00D6542D&quot;/&gt;&lt;wsp:rsid wsp:val=&quot;00D65877&quot;/&gt;&lt;wsp:rsid wsp:val=&quot;00D65AD5&quot;/&gt;&lt;wsp:rsid wsp:val=&quot;00D66654&quot;/&gt;&lt;wsp:rsid wsp:val=&quot;00D66AB2&quot;/&gt;&lt;wsp:rsid wsp:val=&quot;00D672AB&quot;/&gt;&lt;wsp:rsid wsp:val=&quot;00D67594&quot;/&gt;&lt;wsp:rsid wsp:val=&quot;00D677FC&quot;/&gt;&lt;wsp:rsid wsp:val=&quot;00D71B77&quot;/&gt;&lt;wsp:rsid wsp:val=&quot;00D72E69&quot;/&gt;&lt;wsp:rsid wsp:val=&quot;00D72FD6&quot;/&gt;&lt;wsp:rsid wsp:val=&quot;00D7401B&quot;/&gt;&lt;wsp:rsid wsp:val=&quot;00D7579C&quot;/&gt;&lt;wsp:rsid wsp:val=&quot;00D7629E&quot;/&gt;&lt;wsp:rsid wsp:val=&quot;00D774E9&quot;/&gt;&lt;wsp:rsid wsp:val=&quot;00D7759C&quot;/&gt;&lt;wsp:rsid wsp:val=&quot;00D8020D&quot;/&gt;&lt;wsp:rsid wsp:val=&quot;00D824BB&quot;/&gt;&lt;wsp:rsid wsp:val=&quot;00D829AE&quot;/&gt;&lt;wsp:rsid wsp:val=&quot;00D836FA&quot;/&gt;&lt;wsp:rsid wsp:val=&quot;00D84211&quot;/&gt;&lt;wsp:rsid wsp:val=&quot;00D8591D&quot;/&gt;&lt;wsp:rsid wsp:val=&quot;00D859F3&quot;/&gt;&lt;wsp:rsid wsp:val=&quot;00D86183&quot;/&gt;&lt;wsp:rsid wsp:val=&quot;00D86198&quot;/&gt;&lt;wsp:rsid wsp:val=&quot;00D8706F&quot;/&gt;&lt;wsp:rsid wsp:val=&quot;00D87857&quot;/&gt;&lt;wsp:rsid wsp:val=&quot;00D90605&quot;/&gt;&lt;wsp:rsid wsp:val=&quot;00D92FB3&quot;/&gt;&lt;wsp:rsid wsp:val=&quot;00D93D09&quot;/&gt;&lt;wsp:rsid wsp:val=&quot;00D97130&quot;/&gt;&lt;wsp:rsid wsp:val=&quot;00D9768D&quot;/&gt;&lt;wsp:rsid wsp:val=&quot;00D977FE&quot;/&gt;&lt;wsp:rsid wsp:val=&quot;00DA24D0&quot;/&gt;&lt;wsp:rsid wsp:val=&quot;00DA38A6&quot;/&gt;&lt;wsp:rsid wsp:val=&quot;00DA6035&quot;/&gt;&lt;wsp:rsid wsp:val=&quot;00DA60BF&quot;/&gt;&lt;wsp:rsid wsp:val=&quot;00DA65FE&quot;/&gt;&lt;wsp:rsid wsp:val=&quot;00DA74D5&quot;/&gt;&lt;wsp:rsid wsp:val=&quot;00DA7BCD&quot;/&gt;&lt;wsp:rsid wsp:val=&quot;00DB09C8&quot;/&gt;&lt;wsp:rsid wsp:val=&quot;00DB0C2F&quot;/&gt;&lt;wsp:rsid wsp:val=&quot;00DB26EC&quot;/&gt;&lt;wsp:rsid wsp:val=&quot;00DB297F&quot;/&gt;&lt;wsp:rsid wsp:val=&quot;00DB2BC9&quot;/&gt;&lt;wsp:rsid wsp:val=&quot;00DB4919&quot;/&gt;&lt;wsp:rsid wsp:val=&quot;00DB4947&quot;/&gt;&lt;wsp:rsid wsp:val=&quot;00DC319D&quot;/&gt;&lt;wsp:rsid wsp:val=&quot;00DC37BF&quot;/&gt;&lt;wsp:rsid wsp:val=&quot;00DC42BE&quot;/&gt;&lt;wsp:rsid wsp:val=&quot;00DC4D3E&quot;/&gt;&lt;wsp:rsid wsp:val=&quot;00DC5299&quot;/&gt;&lt;wsp:rsid wsp:val=&quot;00DC565E&quot;/&gt;&lt;wsp:rsid wsp:val=&quot;00DC57CF&quot;/&gt;&lt;wsp:rsid wsp:val=&quot;00DD0737&quot;/&gt;&lt;wsp:rsid wsp:val=&quot;00DD0A9F&quot;/&gt;&lt;wsp:rsid wsp:val=&quot;00DD0EA4&quot;/&gt;&lt;wsp:rsid wsp:val=&quot;00DD2045&quot;/&gt;&lt;wsp:rsid wsp:val=&quot;00DD3E85&quot;/&gt;&lt;wsp:rsid wsp:val=&quot;00DD43D0&quot;/&gt;&lt;wsp:rsid wsp:val=&quot;00DD446F&quot;/&gt;&lt;wsp:rsid wsp:val=&quot;00DD4F86&quot;/&gt;&lt;wsp:rsid wsp:val=&quot;00DD5E8A&quot;/&gt;&lt;wsp:rsid wsp:val=&quot;00DD78DA&quot;/&gt;&lt;wsp:rsid wsp:val=&quot;00DE004A&quot;/&gt;&lt;wsp:rsid wsp:val=&quot;00DE09F1&quot;/&gt;&lt;wsp:rsid wsp:val=&quot;00DE0E88&quot;/&gt;&lt;wsp:rsid wsp:val=&quot;00DE24F0&quot;/&gt;&lt;wsp:rsid wsp:val=&quot;00DE28DF&quot;/&gt;&lt;wsp:rsid wsp:val=&quot;00DE3E9E&quot;/&gt;&lt;wsp:rsid wsp:val=&quot;00DE4775&quot;/&gt;&lt;wsp:rsid wsp:val=&quot;00DE49B3&quot;/&gt;&lt;wsp:rsid wsp:val=&quot;00DE4C27&quot;/&gt;&lt;wsp:rsid wsp:val=&quot;00DE4F07&quot;/&gt;&lt;wsp:rsid wsp:val=&quot;00DE5044&quot;/&gt;&lt;wsp:rsid wsp:val=&quot;00DE5238&quot;/&gt;&lt;wsp:rsid wsp:val=&quot;00DE548C&quot;/&gt;&lt;wsp:rsid wsp:val=&quot;00DE5FF0&quot;/&gt;&lt;wsp:rsid wsp:val=&quot;00DE61AD&quot;/&gt;&lt;wsp:rsid wsp:val=&quot;00DF1B4C&quot;/&gt;&lt;wsp:rsid wsp:val=&quot;00DF1FE6&quot;/&gt;&lt;wsp:rsid wsp:val=&quot;00DF2C6A&quot;/&gt;&lt;wsp:rsid wsp:val=&quot;00DF2DC3&quot;/&gt;&lt;wsp:rsid wsp:val=&quot;00DF4D2A&quot;/&gt;&lt;wsp:rsid wsp:val=&quot;00DF6589&quot;/&gt;&lt;wsp:rsid wsp:val=&quot;00E00D02&quot;/&gt;&lt;wsp:rsid wsp:val=&quot;00E0132C&quot;/&gt;&lt;wsp:rsid wsp:val=&quot;00E014AF&quot;/&gt;&lt;wsp:rsid wsp:val=&quot;00E041E4&quot;/&gt;&lt;wsp:rsid wsp:val=&quot;00E048AF&quot;/&gt;&lt;wsp:rsid wsp:val=&quot;00E049B9&quot;/&gt;&lt;wsp:rsid wsp:val=&quot;00E05057&quot;/&gt;&lt;wsp:rsid wsp:val=&quot;00E0561E&quot;/&gt;&lt;wsp:rsid wsp:val=&quot;00E06B36&quot;/&gt;&lt;wsp:rsid wsp:val=&quot;00E07DB8&quot;/&gt;&lt;wsp:rsid wsp:val=&quot;00E1063B&quot;/&gt;&lt;wsp:rsid wsp:val=&quot;00E10C83&quot;/&gt;&lt;wsp:rsid wsp:val=&quot;00E12970&quot;/&gt;&lt;wsp:rsid wsp:val=&quot;00E12AFA&quot;/&gt;&lt;wsp:rsid wsp:val=&quot;00E12B37&quot;/&gt;&lt;wsp:rsid wsp:val=&quot;00E13D17&quot;/&gt;&lt;wsp:rsid wsp:val=&quot;00E14318&quot;/&gt;&lt;wsp:rsid wsp:val=&quot;00E144AA&quot;/&gt;&lt;wsp:rsid wsp:val=&quot;00E14C20&quot;/&gt;&lt;wsp:rsid wsp:val=&quot;00E15324&quot;/&gt;&lt;wsp:rsid wsp:val=&quot;00E1558E&quot;/&gt;&lt;wsp:rsid wsp:val=&quot;00E1615C&quot;/&gt;&lt;wsp:rsid wsp:val=&quot;00E1638E&quot;/&gt;&lt;wsp:rsid wsp:val=&quot;00E1755B&quot;/&gt;&lt;wsp:rsid wsp:val=&quot;00E17654&quot;/&gt;&lt;wsp:rsid wsp:val=&quot;00E203C6&quot;/&gt;&lt;wsp:rsid wsp:val=&quot;00E20C2E&quot;/&gt;&lt;wsp:rsid wsp:val=&quot;00E20E03&quot;/&gt;&lt;wsp:rsid wsp:val=&quot;00E21642&quot;/&gt;&lt;wsp:rsid wsp:val=&quot;00E237EB&quot;/&gt;&lt;wsp:rsid wsp:val=&quot;00E24577&quot;/&gt;&lt;wsp:rsid wsp:val=&quot;00E2506C&quot;/&gt;&lt;wsp:rsid wsp:val=&quot;00E25F52&quot;/&gt;&lt;wsp:rsid wsp:val=&quot;00E262FF&quot;/&gt;&lt;wsp:rsid wsp:val=&quot;00E31958&quot;/&gt;&lt;wsp:rsid wsp:val=&quot;00E33489&quot;/&gt;&lt;wsp:rsid wsp:val=&quot;00E33E34&quot;/&gt;&lt;wsp:rsid wsp:val=&quot;00E3492E&quot;/&gt;&lt;wsp:rsid wsp:val=&quot;00E36AF7&quot;/&gt;&lt;wsp:rsid wsp:val=&quot;00E36FFC&quot;/&gt;&lt;wsp:rsid wsp:val=&quot;00E374DE&quot;/&gt;&lt;wsp:rsid wsp:val=&quot;00E41C3D&quot;/&gt;&lt;wsp:rsid wsp:val=&quot;00E4241B&quot;/&gt;&lt;wsp:rsid wsp:val=&quot;00E42430&quot;/&gt;&lt;wsp:rsid wsp:val=&quot;00E42CCF&quot;/&gt;&lt;wsp:rsid wsp:val=&quot;00E43E2F&quot;/&gt;&lt;wsp:rsid wsp:val=&quot;00E44267&quot;/&gt;&lt;wsp:rsid wsp:val=&quot;00E44C3D&quot;/&gt;&lt;wsp:rsid wsp:val=&quot;00E454F8&quot;/&gt;&lt;wsp:rsid wsp:val=&quot;00E45A54&quot;/&gt;&lt;wsp:rsid wsp:val=&quot;00E471EA&quot;/&gt;&lt;wsp:rsid wsp:val=&quot;00E50F14&quot;/&gt;&lt;wsp:rsid wsp:val=&quot;00E513F3&quot;/&gt;&lt;wsp:rsid wsp:val=&quot;00E54911&quot;/&gt;&lt;wsp:rsid wsp:val=&quot;00E54CF8&quot;/&gt;&lt;wsp:rsid wsp:val=&quot;00E56094&quot;/&gt;&lt;wsp:rsid wsp:val=&quot;00E57070&quot;/&gt;&lt;wsp:rsid wsp:val=&quot;00E57947&quot;/&gt;&lt;wsp:rsid wsp:val=&quot;00E57E14&quot;/&gt;&lt;wsp:rsid wsp:val=&quot;00E60469&quot;/&gt;&lt;wsp:rsid wsp:val=&quot;00E61F35&quot;/&gt;&lt;wsp:rsid wsp:val=&quot;00E62D98&quot;/&gt;&lt;wsp:rsid wsp:val=&quot;00E62F53&quot;/&gt;&lt;wsp:rsid wsp:val=&quot;00E630B4&quot;/&gt;&lt;wsp:rsid wsp:val=&quot;00E678F6&quot;/&gt;&lt;wsp:rsid wsp:val=&quot;00E67E93&quot;/&gt;&lt;wsp:rsid wsp:val=&quot;00E70430&quot;/&gt;&lt;wsp:rsid wsp:val=&quot;00E707F6&quot;/&gt;&lt;wsp:rsid wsp:val=&quot;00E710F2&quot;/&gt;&lt;wsp:rsid wsp:val=&quot;00E722FA&quot;/&gt;&lt;wsp:rsid wsp:val=&quot;00E737F6&quot;/&gt;&lt;wsp:rsid wsp:val=&quot;00E73ACB&quot;/&gt;&lt;wsp:rsid wsp:val=&quot;00E74853&quot;/&gt;&lt;wsp:rsid wsp:val=&quot;00E751F2&quot;/&gt;&lt;wsp:rsid wsp:val=&quot;00E75711&quot;/&gt;&lt;wsp:rsid wsp:val=&quot;00E761AF&quot;/&gt;&lt;wsp:rsid wsp:val=&quot;00E763DD&quot;/&gt;&lt;wsp:rsid wsp:val=&quot;00E7670C&quot;/&gt;&lt;wsp:rsid wsp:val=&quot;00E76CC7&quot;/&gt;&lt;wsp:rsid wsp:val=&quot;00E7751B&quot;/&gt;&lt;wsp:rsid wsp:val=&quot;00E77587&quot;/&gt;&lt;wsp:rsid wsp:val=&quot;00E80F00&quot;/&gt;&lt;wsp:rsid wsp:val=&quot;00E813CA&quot;/&gt;&lt;wsp:rsid wsp:val=&quot;00E83142&quot;/&gt;&lt;wsp:rsid wsp:val=&quot;00E83200&quot;/&gt;&lt;wsp:rsid wsp:val=&quot;00E84488&quot;/&gt;&lt;wsp:rsid wsp:val=&quot;00E84B1D&quot;/&gt;&lt;wsp:rsid wsp:val=&quot;00E87413&quot;/&gt;&lt;wsp:rsid wsp:val=&quot;00E91619&quot;/&gt;&lt;wsp:rsid wsp:val=&quot;00E91B27&quot;/&gt;&lt;wsp:rsid wsp:val=&quot;00E9255C&quot;/&gt;&lt;wsp:rsid wsp:val=&quot;00E92B01&quot;/&gt;&lt;wsp:rsid wsp:val=&quot;00E92D2B&quot;/&gt;&lt;wsp:rsid wsp:val=&quot;00E933D9&quot;/&gt;&lt;wsp:rsid wsp:val=&quot;00E93474&quot;/&gt;&lt;wsp:rsid wsp:val=&quot;00E95069&quot;/&gt;&lt;wsp:rsid wsp:val=&quot;00E9546E&quot;/&gt;&lt;wsp:rsid wsp:val=&quot;00E954A9&quot;/&gt;&lt;wsp:rsid wsp:val=&quot;00E96747&quot;/&gt;&lt;wsp:rsid wsp:val=&quot;00E97C59&quot;/&gt;&lt;wsp:rsid wsp:val=&quot;00E97C8A&quot;/&gt;&lt;wsp:rsid wsp:val=&quot;00EA0730&quot;/&gt;&lt;wsp:rsid wsp:val=&quot;00EA1EF0&quot;/&gt;&lt;wsp:rsid wsp:val=&quot;00EA4703&quot;/&gt;&lt;wsp:rsid wsp:val=&quot;00EA4BBC&quot;/&gt;&lt;wsp:rsid wsp:val=&quot;00EA56EA&quot;/&gt;&lt;wsp:rsid wsp:val=&quot;00EA6767&quot;/&gt;&lt;wsp:rsid wsp:val=&quot;00EB10F2&quot;/&gt;&lt;wsp:rsid wsp:val=&quot;00EB2425&quot;/&gt;&lt;wsp:rsid wsp:val=&quot;00EB384E&quot;/&gt;&lt;wsp:rsid wsp:val=&quot;00EB45A1&quot;/&gt;&lt;wsp:rsid wsp:val=&quot;00EB51F7&quot;/&gt;&lt;wsp:rsid wsp:val=&quot;00EB6BCD&quot;/&gt;&lt;wsp:rsid wsp:val=&quot;00EB7303&quot;/&gt;&lt;wsp:rsid wsp:val=&quot;00EC0CA9&quot;/&gt;&lt;wsp:rsid wsp:val=&quot;00EC17D3&quot;/&gt;&lt;wsp:rsid wsp:val=&quot;00EC180E&quot;/&gt;&lt;wsp:rsid wsp:val=&quot;00EC2486&quot;/&gt;&lt;wsp:rsid wsp:val=&quot;00EC7C5D&quot;/&gt;&lt;wsp:rsid wsp:val=&quot;00ED30C5&quot;/&gt;&lt;wsp:rsid wsp:val=&quot;00ED3143&quot;/&gt;&lt;wsp:rsid wsp:val=&quot;00ED4152&quot;/&gt;&lt;wsp:rsid wsp:val=&quot;00ED6A7D&quot;/&gt;&lt;wsp:rsid wsp:val=&quot;00ED7459&quot;/&gt;&lt;wsp:rsid wsp:val=&quot;00ED74BD&quot;/&gt;&lt;wsp:rsid wsp:val=&quot;00ED7528&quot;/&gt;&lt;wsp:rsid wsp:val=&quot;00ED76A6&quot;/&gt;&lt;wsp:rsid wsp:val=&quot;00EE100E&quot;/&gt;&lt;wsp:rsid wsp:val=&quot;00EE111D&quot;/&gt;&lt;wsp:rsid wsp:val=&quot;00EE2523&quot;/&gt;&lt;wsp:rsid wsp:val=&quot;00EE3A51&quot;/&gt;&lt;wsp:rsid wsp:val=&quot;00EE4078&quot;/&gt;&lt;wsp:rsid wsp:val=&quot;00EE4A79&quot;/&gt;&lt;wsp:rsid wsp:val=&quot;00EE56BE&quot;/&gt;&lt;wsp:rsid wsp:val=&quot;00EE6B30&quot;/&gt;&lt;wsp:rsid wsp:val=&quot;00EE744C&quot;/&gt;&lt;wsp:rsid wsp:val=&quot;00EE7A9E&quot;/&gt;&lt;wsp:rsid wsp:val=&quot;00EF08FD&quot;/&gt;&lt;wsp:rsid wsp:val=&quot;00EF1580&quot;/&gt;&lt;wsp:rsid wsp:val=&quot;00EF15B6&quot;/&gt;&lt;wsp:rsid wsp:val=&quot;00EF178B&quot;/&gt;&lt;wsp:rsid wsp:val=&quot;00EF22A2&quot;/&gt;&lt;wsp:rsid wsp:val=&quot;00EF25A9&quot;/&gt;&lt;wsp:rsid wsp:val=&quot;00EF2FD4&quot;/&gt;&lt;wsp:rsid wsp:val=&quot;00EF3263&quot;/&gt;&lt;wsp:rsid wsp:val=&quot;00EF4A71&quot;/&gt;&lt;wsp:rsid wsp:val=&quot;00EF4FD8&quot;/&gt;&lt;wsp:rsid wsp:val=&quot;00EF5217&quot;/&gt;&lt;wsp:rsid wsp:val=&quot;00EF524D&quot;/&gt;&lt;wsp:rsid wsp:val=&quot;00EF57F2&quot;/&gt;&lt;wsp:rsid wsp:val=&quot;00EF5C1D&quot;/&gt;&lt;wsp:rsid wsp:val=&quot;00EF62D4&quot;/&gt;&lt;wsp:rsid wsp:val=&quot;00EF6698&quot;/&gt;&lt;wsp:rsid wsp:val=&quot;00EF6FB7&quot;/&gt;&lt;wsp:rsid wsp:val=&quot;00EF73FC&quot;/&gt;&lt;wsp:rsid wsp:val=&quot;00EF7580&quot;/&gt;&lt;wsp:rsid wsp:val=&quot;00F00708&quot;/&gt;&lt;wsp:rsid wsp:val=&quot;00F02A5E&quot;/&gt;&lt;wsp:rsid wsp:val=&quot;00F04689&quot;/&gt;&lt;wsp:rsid wsp:val=&quot;00F07B35&quot;/&gt;&lt;wsp:rsid wsp:val=&quot;00F07C8B&quot;/&gt;&lt;wsp:rsid wsp:val=&quot;00F10542&quot;/&gt;&lt;wsp:rsid wsp:val=&quot;00F10E8A&quot;/&gt;&lt;wsp:rsid wsp:val=&quot;00F129A0&quot;/&gt;&lt;wsp:rsid wsp:val=&quot;00F12BE4&quot;/&gt;&lt;wsp:rsid wsp:val=&quot;00F134D2&quot;/&gt;&lt;wsp:rsid wsp:val=&quot;00F1365F&quot;/&gt;&lt;wsp:rsid wsp:val=&quot;00F137C2&quot;/&gt;&lt;wsp:rsid wsp:val=&quot;00F1387A&quot;/&gt;&lt;wsp:rsid wsp:val=&quot;00F13C4E&quot;/&gt;&lt;wsp:rsid wsp:val=&quot;00F14553&quot;/&gt;&lt;wsp:rsid wsp:val=&quot;00F1499A&quot;/&gt;&lt;wsp:rsid wsp:val=&quot;00F14EDE&quot;/&gt;&lt;wsp:rsid wsp:val=&quot;00F15563&quot;/&gt;&lt;wsp:rsid wsp:val=&quot;00F167C0&quot;/&gt;&lt;wsp:rsid wsp:val=&quot;00F16CBF&quot;/&gt;&lt;wsp:rsid wsp:val=&quot;00F176AB&quot;/&gt;&lt;wsp:rsid wsp:val=&quot;00F20024&quot;/&gt;&lt;wsp:rsid wsp:val=&quot;00F207B4&quot;/&gt;&lt;wsp:rsid wsp:val=&quot;00F20C98&quot;/&gt;&lt;wsp:rsid wsp:val=&quot;00F21839&quot;/&gt;&lt;wsp:rsid wsp:val=&quot;00F219BC&quot;/&gt;&lt;wsp:rsid wsp:val=&quot;00F21F7B&quot;/&gt;&lt;wsp:rsid wsp:val=&quot;00F227B9&quot;/&gt;&lt;wsp:rsid wsp:val=&quot;00F2366D&quot;/&gt;&lt;wsp:rsid wsp:val=&quot;00F23C49&quot;/&gt;&lt;wsp:rsid wsp:val=&quot;00F23D36&quot;/&gt;&lt;wsp:rsid wsp:val=&quot;00F23F0E&quot;/&gt;&lt;wsp:rsid wsp:val=&quot;00F251D2&quot;/&gt;&lt;wsp:rsid wsp:val=&quot;00F25457&quot;/&gt;&lt;wsp:rsid wsp:val=&quot;00F25B04&quot;/&gt;&lt;wsp:rsid wsp:val=&quot;00F25E25&quot;/&gt;&lt;wsp:rsid wsp:val=&quot;00F26318&quot;/&gt;&lt;wsp:rsid wsp:val=&quot;00F26F26&quot;/&gt;&lt;wsp:rsid wsp:val=&quot;00F30889&quot;/&gt;&lt;wsp:rsid wsp:val=&quot;00F30D61&quot;/&gt;&lt;wsp:rsid wsp:val=&quot;00F32289&quot;/&gt;&lt;wsp:rsid wsp:val=&quot;00F3244A&quot;/&gt;&lt;wsp:rsid wsp:val=&quot;00F3353C&quot;/&gt;&lt;wsp:rsid wsp:val=&quot;00F335CC&quot;/&gt;&lt;wsp:rsid wsp:val=&quot;00F35A8F&quot;/&gt;&lt;wsp:rsid wsp:val=&quot;00F35AFB&quot;/&gt;&lt;wsp:rsid wsp:val=&quot;00F35B32&quot;/&gt;&lt;wsp:rsid wsp:val=&quot;00F36380&quot;/&gt;&lt;wsp:rsid wsp:val=&quot;00F36791&quot;/&gt;&lt;wsp:rsid wsp:val=&quot;00F36BA2&quot;/&gt;&lt;wsp:rsid wsp:val=&quot;00F37718&quot;/&gt;&lt;wsp:rsid wsp:val=&quot;00F37A90&quot;/&gt;&lt;wsp:rsid wsp:val=&quot;00F4048B&quot;/&gt;&lt;wsp:rsid wsp:val=&quot;00F416FF&quot;/&gt;&lt;wsp:rsid wsp:val=&quot;00F428A4&quot;/&gt;&lt;wsp:rsid wsp:val=&quot;00F430FD&quot;/&gt;&lt;wsp:rsid wsp:val=&quot;00F4650E&quot;/&gt;&lt;wsp:rsid wsp:val=&quot;00F46F26&quot;/&gt;&lt;wsp:rsid wsp:val=&quot;00F47584&quot;/&gt;&lt;wsp:rsid wsp:val=&quot;00F50489&quot;/&gt;&lt;wsp:rsid wsp:val=&quot;00F52B7E&quot;/&gt;&lt;wsp:rsid wsp:val=&quot;00F53FA6&quot;/&gt;&lt;wsp:rsid wsp:val=&quot;00F571A2&quot;/&gt;&lt;wsp:rsid wsp:val=&quot;00F571C6&quot;/&gt;&lt;wsp:rsid wsp:val=&quot;00F57577&quot;/&gt;&lt;wsp:rsid wsp:val=&quot;00F61547&quot;/&gt;&lt;wsp:rsid wsp:val=&quot;00F61F3A&quot;/&gt;&lt;wsp:rsid wsp:val=&quot;00F6337C&quot;/&gt;&lt;wsp:rsid wsp:val=&quot;00F63AFE&quot;/&gt;&lt;wsp:rsid wsp:val=&quot;00F64468&quot;/&gt;&lt;wsp:rsid wsp:val=&quot;00F64540&quot;/&gt;&lt;wsp:rsid wsp:val=&quot;00F64E34&quot;/&gt;&lt;wsp:rsid wsp:val=&quot;00F65064&quot;/&gt;&lt;wsp:rsid wsp:val=&quot;00F653B5&quot;/&gt;&lt;wsp:rsid wsp:val=&quot;00F654E2&quot;/&gt;&lt;wsp:rsid wsp:val=&quot;00F65BBC&quot;/&gt;&lt;wsp:rsid wsp:val=&quot;00F67057&quot;/&gt;&lt;wsp:rsid wsp:val=&quot;00F702FE&quot;/&gt;&lt;wsp:rsid wsp:val=&quot;00F70B36&quot;/&gt;&lt;wsp:rsid wsp:val=&quot;00F726FD&quot;/&gt;&lt;wsp:rsid wsp:val=&quot;00F72C26&quot;/&gt;&lt;wsp:rsid wsp:val=&quot;00F72EA5&quot;/&gt;&lt;wsp:rsid wsp:val=&quot;00F739CB&quot;/&gt;&lt;wsp:rsid wsp:val=&quot;00F73EEC&quot;/&gt;&lt;wsp:rsid wsp:val=&quot;00F746E4&quot;/&gt;&lt;wsp:rsid wsp:val=&quot;00F74805&quot;/&gt;&lt;wsp:rsid wsp:val=&quot;00F74955&quot;/&gt;&lt;wsp:rsid wsp:val=&quot;00F74AAD&quot;/&gt;&lt;wsp:rsid wsp:val=&quot;00F74E5D&quot;/&gt;&lt;wsp:rsid wsp:val=&quot;00F76E19&quot;/&gt;&lt;wsp:rsid wsp:val=&quot;00F775AE&quot;/&gt;&lt;wsp:rsid wsp:val=&quot;00F80CDB&quot;/&gt;&lt;wsp:rsid wsp:val=&quot;00F81B39&quot;/&gt;&lt;wsp:rsid wsp:val=&quot;00F83EC3&quot;/&gt;&lt;wsp:rsid wsp:val=&quot;00F843B1&quot;/&gt;&lt;wsp:rsid wsp:val=&quot;00F8531F&quot;/&gt;&lt;wsp:rsid wsp:val=&quot;00F865A9&quot;/&gt;&lt;wsp:rsid wsp:val=&quot;00F86DD6&quot;/&gt;&lt;wsp:rsid wsp:val=&quot;00F90440&quot;/&gt;&lt;wsp:rsid wsp:val=&quot;00F906B5&quot;/&gt;&lt;wsp:rsid wsp:val=&quot;00F92425&quot;/&gt;&lt;wsp:rsid wsp:val=&quot;00F92C33&quot;/&gt;&lt;wsp:rsid wsp:val=&quot;00F9639A&quot;/&gt;&lt;wsp:rsid wsp:val=&quot;00FA0B22&quot;/&gt;&lt;wsp:rsid wsp:val=&quot;00FA16D1&quot;/&gt;&lt;wsp:rsid wsp:val=&quot;00FA275B&quot;/&gt;&lt;wsp:rsid wsp:val=&quot;00FA3FA0&quot;/&gt;&lt;wsp:rsid wsp:val=&quot;00FA5106&quot;/&gt;&lt;wsp:rsid wsp:val=&quot;00FA5368&quot;/&gt;&lt;wsp:rsid wsp:val=&quot;00FA5516&quot;/&gt;&lt;wsp:rsid wsp:val=&quot;00FA5934&quot;/&gt;&lt;wsp:rsid wsp:val=&quot;00FA61E8&quot;/&gt;&lt;wsp:rsid wsp:val=&quot;00FA66A3&quot;/&gt;&lt;wsp:rsid wsp:val=&quot;00FB19B4&quot;/&gt;&lt;wsp:rsid wsp:val=&quot;00FB1D74&quot;/&gt;&lt;wsp:rsid wsp:val=&quot;00FB2F6C&quot;/&gt;&lt;wsp:rsid wsp:val=&quot;00FB3F72&quot;/&gt;&lt;wsp:rsid wsp:val=&quot;00FB6DDA&quot;/&gt;&lt;wsp:rsid wsp:val=&quot;00FB6E41&quot;/&gt;&lt;wsp:rsid wsp:val=&quot;00FB6F60&quot;/&gt;&lt;wsp:rsid wsp:val=&quot;00FB714F&quot;/&gt;&lt;wsp:rsid wsp:val=&quot;00FB76C0&quot;/&gt;&lt;wsp:rsid wsp:val=&quot;00FC02DF&quot;/&gt;&lt;wsp:rsid wsp:val=&quot;00FC152D&quot;/&gt;&lt;wsp:rsid wsp:val=&quot;00FC1CE5&quot;/&gt;&lt;wsp:rsid wsp:val=&quot;00FC2090&quot;/&gt;&lt;wsp:rsid wsp:val=&quot;00FC27C7&quot;/&gt;&lt;wsp:rsid wsp:val=&quot;00FC3BD1&quot;/&gt;&lt;wsp:rsid wsp:val=&quot;00FC3C65&quot;/&gt;&lt;wsp:rsid wsp:val=&quot;00FC3E52&quot;/&gt;&lt;wsp:rsid wsp:val=&quot;00FC4EC9&quot;/&gt;&lt;wsp:rsid wsp:val=&quot;00FC76C1&quot;/&gt;&lt;wsp:rsid wsp:val=&quot;00FD1B95&quot;/&gt;&lt;wsp:rsid wsp:val=&quot;00FD1F76&quot;/&gt;&lt;wsp:rsid wsp:val=&quot;00FD36FF&quot;/&gt;&lt;wsp:rsid wsp:val=&quot;00FD384F&quot;/&gt;&lt;wsp:rsid wsp:val=&quot;00FD403F&quot;/&gt;&lt;wsp:rsid wsp:val=&quot;00FD5B04&quot;/&gt;&lt;wsp:rsid wsp:val=&quot;00FD65BC&quot;/&gt;&lt;wsp:rsid wsp:val=&quot;00FE04A1&quot;/&gt;&lt;wsp:rsid wsp:val=&quot;00FE0F4C&quot;/&gt;&lt;wsp:rsid wsp:val=&quot;00FE150A&quot;/&gt;&lt;wsp:rsid wsp:val=&quot;00FE1560&quot;/&gt;&lt;wsp:rsid wsp:val=&quot;00FE1B4D&quot;/&gt;&lt;wsp:rsid wsp:val=&quot;00FE1E40&quot;/&gt;&lt;wsp:rsid wsp:val=&quot;00FE28BC&quot;/&gt;&lt;wsp:rsid wsp:val=&quot;00FE40B4&quot;/&gt;&lt;wsp:rsid wsp:val=&quot;00FE4128&quot;/&gt;&lt;wsp:rsid wsp:val=&quot;00FE4185&quot;/&gt;&lt;wsp:rsid wsp:val=&quot;00FE5D7C&quot;/&gt;&lt;wsp:rsid wsp:val=&quot;00FE5DF4&quot;/&gt;&lt;wsp:rsid wsp:val=&quot;00FE653A&quot;/&gt;&lt;wsp:rsid wsp:val=&quot;00FF01D9&quot;/&gt;&lt;wsp:rsid wsp:val=&quot;00FF1696&quot;/&gt;&lt;wsp:rsid wsp:val=&quot;00FF1C43&quot;/&gt;&lt;wsp:rsid wsp:val=&quot;00FF20DB&quot;/&gt;&lt;wsp:rsid wsp:val=&quot;00FF3037&quot;/&gt;&lt;wsp:rsid wsp:val=&quot;00FF356E&quot;/&gt;&lt;wsp:rsid wsp:val=&quot;00FF3643&quot;/&gt;&lt;wsp:rsid wsp:val=&quot;00FF3F2C&quot;/&gt;&lt;wsp:rsid wsp:val=&quot;00FF51E6&quot;/&gt;&lt;wsp:rsid wsp:val=&quot;00FF5910&quot;/&gt;&lt;wsp:rsid wsp:val=&quot;00FF6077&quot;/&gt;&lt;wsp:rsid wsp:val=&quot;00FF68FE&quot;/&gt;&lt;wsp:rsid wsp:val=&quot;00FF719B&quot;/&gt;&lt;wsp:rsid wsp:val=&quot;00FF7886&quot;/&gt;&lt;/wsp:rsids&gt;&lt;/w:docPr&gt;&lt;w:body&gt;&lt;w:p wsp:rsidR=&quot;00000000&quot; wsp:rsidRDefault=&quot;00966F32&quot;&gt;&lt;m:oMathPara&gt;&lt;m:oMath&gt;&lt;m:sSub&gt;&lt;m:sSubPr&gt;&lt;m:ctrlPr&gt;&lt;w:rPr&gt;&lt;w:rFonts w:ascii=&quot;Cambria Math&quot; w:h-ansi=&quot;Cambria Math&quot;/&gt;&lt;wx:font wx:val=&quot;Cambria Math&quot;/&gt;&lt;w:i/&gt;&lt;w:sz w:val=&quot;18&quot;/&gt;&lt;w:sz-cs w:val=&quot;21&quot;/&gt;&lt;/w:rPr&gt;&lt;/m:ctrlPr&gt;&lt;/m:sSubPr&gt;&lt;m:e&gt;&lt;m:r&gt;&lt;w:rPr&gt;&lt;w:rFonts w:ascii=&quot;Cambria Math&quot; w:h-ansi=&quot;Cambria Math&quot;/&gt;&lt;wx:font wx:val=&quot;Cambria Math&quot;/&gt;&lt;w:i/&gt;&lt;w:sz w:val=&quot;18&quot;/&gt;&lt;w:sz-cs w:val=&quot;21&quot;/&gt;&lt;/w:rPr&gt;&lt;m:t&gt;C&lt;/m:t&gt;&lt;/m:r&gt;&lt;/m:e&gt;&lt;m:sub&gt;&lt;m:r&gt;&lt;m:rPr&gt;&lt;m:sty m:val=&quot;p&quot;/&gt;&lt;/m:rPr&gt;&lt;w:rPr&gt;&lt;w:rFonts w:ascii=&quot;Cambria Math&quot; w:h-ansi=&quot;Cambria Math&quot; w:hint=&quot;fareast&quot;/&gt;&lt;wx:font wx:val=&quot;瀹嬩綋&quot;/&gt;&lt;w:sz w:val=&quot;18&quot;/&gt;&lt;w:sz-cs w:val=&quot;21&quot;/&gt;&lt;/w:rPr&gt;&lt;m:t&gt;鍙犲姞&lt;/m:t&gt;&lt;/m:r&gt;&lt;/m:sub&gt;&lt;/m:sSub&gt;&lt;/m:oMath&gt;&lt;/m:oMathPara&gt;&lt;/w:p&gt;&lt;w:sectPr wsp:rsidR=&quot;00000000&quot;&gt;&lt;w:pgSz w:w=&quot;12240&quot; w:h=&quot;15840&quot;/&gt;&lt;w:pgMar w:top=&quot;1440&quot; w:right=&quot;1th&quot; w:th&quot; w:th&quot; w:th&quot; w:80&quot; w:hi0&quot;w:hint w:bottom=&quot;1440&quot; w:left=&quot;1800&quot; w:header=&quot;720&quot; w:footer=&quot;720&quot; w:gutter=&quot;0&quot;/&gt;&lt;w:cols w:space=&quot;720&quot;/&gt;&lt;/w:sectPr&gt;&lt;/w:body&gt;&lt;/w:wordDocument&gt;">
                  <v:path/>
                  <v:fill on="f" focussize="0,0"/>
                  <v:stroke on="f" joinstyle="miter"/>
                  <v:imagedata r:id="rId38" chromakey="#FFFFFF" o:title=""/>
                  <o:lock v:ext="edit" aspectratio="t"/>
                  <w10:wrap type="none"/>
                  <w10:anchorlock/>
                </v:shape>
              </w:pic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sz w:val="18"/>
                <w:szCs w:val="18"/>
                <w:highlight w:val="none"/>
              </w:rPr>
              <w:t>不达标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区域环境质量的整体变化情况</w:t>
            </w:r>
          </w:p>
        </w:tc>
        <w:tc>
          <w:tcPr>
            <w:tcW w:w="1655" w:type="pct"/>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i/>
                <w:sz w:val="18"/>
                <w:szCs w:val="18"/>
                <w:highlight w:val="none"/>
              </w:rPr>
              <w:t xml:space="preserve">k </w:t>
            </w:r>
            <w:r>
              <w:rPr>
                <w:rFonts w:hint="default" w:ascii="Times New Roman" w:hAnsi="Times New Roman" w:eastAsia="宋体" w:cs="Times New Roman"/>
                <w:sz w:val="18"/>
                <w:szCs w:val="18"/>
                <w:highlight w:val="none"/>
              </w:rPr>
              <w:t>≤-20% □</w:t>
            </w:r>
          </w:p>
        </w:tc>
        <w:tc>
          <w:tcPr>
            <w:tcW w:w="1908"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i/>
                <w:sz w:val="18"/>
                <w:szCs w:val="18"/>
                <w:highlight w:val="none"/>
              </w:rPr>
              <w:t>k</w:t>
            </w:r>
            <w:r>
              <w:rPr>
                <w:rFonts w:hint="default" w:ascii="Times New Roman" w:hAnsi="Times New Roman" w:eastAsia="宋体" w:cs="Times New Roman"/>
                <w:sz w:val="18"/>
                <w:szCs w:val="18"/>
                <w:highlight w:val="none"/>
              </w:rPr>
              <w:t xml:space="preserve"> ＞-20%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环境监测</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计划</w:t>
            </w: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污染源监测</w:t>
            </w:r>
          </w:p>
        </w:tc>
        <w:tc>
          <w:tcPr>
            <w:tcW w:w="1517"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监测因子：（  颗粒物、  SO</w:t>
            </w:r>
            <w:r>
              <w:rPr>
                <w:rFonts w:hint="default" w:ascii="Times New Roman" w:hAnsi="Times New Roman" w:eastAsia="宋体" w:cs="Times New Roman"/>
                <w:sz w:val="18"/>
                <w:szCs w:val="18"/>
                <w:highlight w:val="none"/>
                <w:vertAlign w:val="subscript"/>
              </w:rPr>
              <w:t>2</w:t>
            </w:r>
            <w:r>
              <w:rPr>
                <w:rFonts w:hint="default" w:ascii="Times New Roman" w:hAnsi="Times New Roman" w:eastAsia="宋体" w:cs="Times New Roman"/>
                <w:sz w:val="18"/>
                <w:szCs w:val="18"/>
                <w:highlight w:val="none"/>
              </w:rPr>
              <w:t>、NO</w:t>
            </w:r>
            <w:r>
              <w:rPr>
                <w:rFonts w:hint="default" w:ascii="Times New Roman" w:hAnsi="Times New Roman" w:eastAsia="宋体" w:cs="Times New Roman"/>
                <w:sz w:val="18"/>
                <w:szCs w:val="18"/>
                <w:highlight w:val="none"/>
                <w:vertAlign w:val="subscript"/>
              </w:rPr>
              <w:t>X</w:t>
            </w:r>
            <w:r>
              <w:rPr>
                <w:rFonts w:hint="default" w:ascii="Times New Roman" w:hAnsi="Times New Roman" w:eastAsia="宋体" w:cs="Times New Roman"/>
                <w:sz w:val="18"/>
                <w:szCs w:val="18"/>
                <w:highlight w:val="none"/>
              </w:rPr>
              <w:t>、氨、硫化氢）</w:t>
            </w:r>
          </w:p>
        </w:tc>
        <w:tc>
          <w:tcPr>
            <w:tcW w:w="1414"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 xml:space="preserve">有组织废气监测 √    </w:t>
            </w:r>
            <w:r>
              <w:rPr>
                <w:rFonts w:hint="default" w:ascii="Times New Roman" w:hAnsi="Times New Roman" w:eastAsia="宋体" w:cs="Times New Roman"/>
                <w:sz w:val="18"/>
                <w:szCs w:val="18"/>
                <w:highlight w:val="none"/>
              </w:rPr>
              <w:br w:type="textWrapping"/>
            </w:r>
            <w:r>
              <w:rPr>
                <w:rFonts w:hint="default" w:ascii="Times New Roman" w:hAnsi="Times New Roman" w:eastAsia="宋体" w:cs="Times New Roman"/>
                <w:sz w:val="18"/>
                <w:szCs w:val="18"/>
                <w:highlight w:val="none"/>
              </w:rPr>
              <w:t>无组织废气监测 √</w:t>
            </w:r>
          </w:p>
        </w:tc>
        <w:tc>
          <w:tcPr>
            <w:tcW w:w="631"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环境质量监测</w:t>
            </w:r>
          </w:p>
        </w:tc>
        <w:tc>
          <w:tcPr>
            <w:tcW w:w="1517" w:type="pct"/>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监测因子：（/）</w:t>
            </w:r>
          </w:p>
        </w:tc>
        <w:tc>
          <w:tcPr>
            <w:tcW w:w="1414"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监测点位数（     ）</w:t>
            </w:r>
          </w:p>
        </w:tc>
        <w:tc>
          <w:tcPr>
            <w:tcW w:w="631"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评价结论</w:t>
            </w: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环境影响</w:t>
            </w:r>
          </w:p>
        </w:tc>
        <w:tc>
          <w:tcPr>
            <w:tcW w:w="3563" w:type="pct"/>
            <w:gridSpan w:val="1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可以接受√        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大气环境防护距离</w:t>
            </w:r>
          </w:p>
        </w:tc>
        <w:tc>
          <w:tcPr>
            <w:tcW w:w="3563" w:type="pct"/>
            <w:gridSpan w:val="1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距（     ）厂界最远（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p>
        </w:tc>
        <w:tc>
          <w:tcPr>
            <w:tcW w:w="9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污染源年排放量</w:t>
            </w:r>
          </w:p>
        </w:tc>
        <w:tc>
          <w:tcPr>
            <w:tcW w:w="874"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SO</w:t>
            </w:r>
            <w:r>
              <w:rPr>
                <w:rFonts w:hint="default" w:ascii="Times New Roman" w:hAnsi="Times New Roman" w:eastAsia="宋体" w:cs="Times New Roman"/>
                <w:sz w:val="18"/>
                <w:szCs w:val="18"/>
                <w:highlight w:val="none"/>
                <w:vertAlign w:val="subscript"/>
              </w:rPr>
              <w:t>2</w:t>
            </w:r>
            <w:r>
              <w:rPr>
                <w:rFonts w:hint="default" w:ascii="Times New Roman" w:hAnsi="Times New Roman" w:eastAsia="宋体" w:cs="Times New Roman"/>
                <w:sz w:val="18"/>
                <w:szCs w:val="18"/>
                <w:highlight w:val="none"/>
              </w:rPr>
              <w:t>:（0.0045）t/a</w:t>
            </w:r>
          </w:p>
        </w:tc>
        <w:tc>
          <w:tcPr>
            <w:tcW w:w="1103" w:type="pct"/>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NO</w:t>
            </w:r>
            <w:r>
              <w:rPr>
                <w:rFonts w:hint="default" w:ascii="Times New Roman" w:hAnsi="Times New Roman" w:eastAsia="宋体" w:cs="Times New Roman"/>
                <w:sz w:val="18"/>
                <w:szCs w:val="18"/>
                <w:highlight w:val="none"/>
                <w:vertAlign w:val="subscript"/>
              </w:rPr>
              <w:t>x</w:t>
            </w:r>
            <w:r>
              <w:rPr>
                <w:rFonts w:hint="default" w:ascii="Times New Roman" w:hAnsi="Times New Roman" w:eastAsia="宋体" w:cs="Times New Roman"/>
                <w:sz w:val="18"/>
                <w:szCs w:val="18"/>
                <w:highlight w:val="none"/>
              </w:rPr>
              <w:t>:（0.106）t/a</w:t>
            </w:r>
          </w:p>
        </w:tc>
        <w:tc>
          <w:tcPr>
            <w:tcW w:w="842"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颗粒物:（0.0066）t/a</w:t>
            </w:r>
          </w:p>
        </w:tc>
        <w:tc>
          <w:tcPr>
            <w:tcW w:w="743"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VOC</w:t>
            </w:r>
            <w:r>
              <w:rPr>
                <w:rFonts w:hint="default" w:ascii="Times New Roman" w:hAnsi="Times New Roman" w:eastAsia="宋体" w:cs="Times New Roman"/>
                <w:sz w:val="18"/>
                <w:szCs w:val="18"/>
                <w:highlight w:val="none"/>
                <w:vertAlign w:val="subscript"/>
              </w:rPr>
              <w:t>s</w:t>
            </w:r>
            <w:r>
              <w:rPr>
                <w:rFonts w:hint="default" w:ascii="Times New Roman" w:hAnsi="Times New Roman" w:eastAsia="宋体" w:cs="Times New Roman"/>
                <w:sz w:val="18"/>
                <w:szCs w:val="18"/>
                <w:highlight w:val="none"/>
              </w:rPr>
              <w:t>:</w:t>
            </w:r>
            <w:r>
              <w:rPr>
                <w:rFonts w:hint="default" w:ascii="Times New Roman" w:hAnsi="Times New Roman" w:eastAsia="宋体" w:cs="Times New Roman"/>
                <w:color w:val="00B0F0"/>
                <w:sz w:val="18"/>
                <w:szCs w:val="18"/>
                <w:highlight w:val="none"/>
              </w:rPr>
              <w:t xml:space="preserve">（/ </w:t>
            </w:r>
            <w:r>
              <w:rPr>
                <w:rFonts w:hint="default" w:ascii="Times New Roman" w:hAnsi="Times New Roman" w:eastAsia="宋体" w:cs="Times New Roman"/>
                <w:sz w:val="18"/>
                <w:szCs w:val="18"/>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000" w:type="pct"/>
            <w:gridSpan w:val="2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right="0" w:right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注：“□” 为勾选项 ，填“√” ；“（   ）” 为内容填写项</w:t>
            </w:r>
          </w:p>
        </w:tc>
      </w:tr>
    </w:tbl>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4.2.2水环境影响分析</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 xml:space="preserve">4.2.2.1地表水环境影响分析  </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项目采取雨污分流制，雨水经雨水沟排出场区。 </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项目产生的废水包括生活废水及养殖废水，养殖废水包括猪尿、猪舍冲洗废水和粪便渗滤液。项目养殖废水、生活污水均经污水沟及管道收集后进厌氧消化处理装置（黑膜沼气池）处理，沼液和沼渣全部用作农肥综合利用，无废水排放；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综上，项目</w:t>
      </w:r>
      <w:r>
        <w:rPr>
          <w:rFonts w:hint="default" w:ascii="Times New Roman" w:hAnsi="Times New Roman" w:cs="Times New Roman"/>
          <w:color w:val="000000"/>
          <w:kern w:val="0"/>
          <w:sz w:val="24"/>
          <w:szCs w:val="24"/>
          <w:highlight w:val="none"/>
          <w:lang w:eastAsia="zh-CN"/>
        </w:rPr>
        <w:t>正常工况</w:t>
      </w:r>
      <w:r>
        <w:rPr>
          <w:rFonts w:hint="default" w:ascii="Times New Roman" w:hAnsi="Times New Roman" w:cs="Times New Roman"/>
          <w:color w:val="000000"/>
          <w:kern w:val="0"/>
          <w:sz w:val="24"/>
          <w:szCs w:val="24"/>
          <w:highlight w:val="none"/>
        </w:rPr>
        <w:t>对地表水环境影响很小。</w:t>
      </w:r>
    </w:p>
    <w:p>
      <w:pPr>
        <w:keepNext w:val="0"/>
        <w:keepLines w:val="0"/>
        <w:pageBreakBefore w:val="0"/>
        <w:widowControl w:val="0"/>
        <w:kinsoku/>
        <w:wordWrap/>
        <w:overflowPunct/>
        <w:topLinePunct w:val="0"/>
        <w:autoSpaceDE/>
        <w:autoSpaceDN/>
        <w:bidi w:val="0"/>
        <w:adjustRightInd/>
        <w:snapToGrid/>
        <w:spacing w:before="120" w:beforeLines="50" w:after="120" w:afterLines="50"/>
        <w:ind w:firstLine="480" w:firstLineChars="200"/>
        <w:jc w:val="left"/>
        <w:textAlignment w:val="auto"/>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w:t>
      </w:r>
      <w:r>
        <w:rPr>
          <w:rFonts w:hint="eastAsia" w:ascii="Times New Roman" w:hAnsi="Times New Roman" w:eastAsia="黑体" w:cs="Times New Roman"/>
          <w:sz w:val="24"/>
          <w:szCs w:val="24"/>
          <w:highlight w:val="none"/>
          <w:lang w:val="en-US" w:eastAsia="zh-CN"/>
        </w:rPr>
        <w:t>2</w:t>
      </w:r>
      <w:r>
        <w:rPr>
          <w:rFonts w:hint="default" w:ascii="Times New Roman" w:hAnsi="Times New Roman" w:eastAsia="黑体" w:cs="Times New Roman"/>
          <w:sz w:val="24"/>
          <w:szCs w:val="24"/>
          <w:highlight w:val="none"/>
        </w:rPr>
        <w:t xml:space="preserve">.2地下水环境影响分析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（1）区域地下水赋存特征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区域含水层由孔隙含水层、基岩裂隙含水层组成。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松散岩类孔隙含水层组主要分布在山间盆地及宽谷中，由第四系松散堆积物组成，属孔隙潜水，地层厚度一般3m~8m，最厚达数十米。含水层主要由砂、砾卵石组成，厚度一般2m~5m，盆地大于5m，水位埋深受地形影响差异较大，单位涌水量大多小于1000m</w:t>
      </w:r>
      <w:r>
        <w:rPr>
          <w:rFonts w:hint="default" w:ascii="Times New Roman" w:hAnsi="Times New Roman" w:eastAsia="宋体" w:cs="Times New Roman"/>
          <w:color w:val="000000"/>
          <w:kern w:val="0"/>
          <w:sz w:val="24"/>
          <w:szCs w:val="24"/>
          <w:highlight w:val="none"/>
          <w:vertAlign w:val="superscript"/>
        </w:rPr>
        <w:t>3</w:t>
      </w:r>
      <w:r>
        <w:rPr>
          <w:rFonts w:hint="default" w:ascii="Times New Roman" w:hAnsi="Times New Roman" w:eastAsia="宋体" w:cs="Times New Roman"/>
          <w:color w:val="000000"/>
          <w:kern w:val="0"/>
          <w:sz w:val="24"/>
          <w:szCs w:val="24"/>
          <w:highlight w:val="none"/>
        </w:rPr>
        <w:t xml:space="preserve">/d。水化学类型为HCO3--Ca2+•Mg2+型水。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基岩裂隙含水岩组划分为层状裂隙水、网状脉状裂隙水及块状构造裂隙水。层状裂隙水赋存在长城系、蓟县系和青白口系碎屑岩构造裂隙中，由于泥岩和砂岩呈互层状产出，地下水往往具承压性，单井涌水量小于500m3/d。网状脉状裂隙水在太古界、元古界变质花岗岩、花岗岩及各类混合岩中，风化构造裂隙，含水比较均匀，多呈潜水类型，富水性弱，泉水流量一般在0.1~1.0L/S。块状构造裂隙水,主要赋存在晚元古代至中生代侵入岩及火山岩裂隙和断裂构造带中，富水性极不均一，与裂隙发育程度和断裂构造关系密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（2）区域地下水补径排条件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区域地下水运动规律严格受地形、地貌、气象和地表水系的控制，本区地下水的补给来源主要为大气降水。地下水交替强烈。无论是地表水还是地下水，均汇入到相应的河流、谷底、盆地中赋存或补给下游。基岩裂隙水以泉的形式为主要排泄途径。盆地、谷地中地下水排泄为人工开采、测向径流及少量蒸发。本区各类型地下水径流距离短，具有就近补给、当地排泄的特点。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区内地表水、地下水参与改变着地形地貌，使沟谷深切，地形变陡，支沟发育。形成了水土流失的地形地貌。另外，在漫长的地壳演化中，由于地下水的参与活动，加剧了岩石的风化、剥离。</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（3）地层特征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区域第四系土层主要为杂填土、粉质粘土、中砂、粉质粘土、粗砾砂、圆砾；下伏太古界混合花岗岩全、强风化层。各（岩）土层特征分述如下：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①杂填土：厚度0.40m-2.90m。杂色，稍湿，松散，主要成分为粘性土、砂粒等组成。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②粉质粘土：厚度2.60m-6.60m。黄褐色，可塑，局部软塑；表面稍有光泽，干强度及韧性中等，无摇振反应。局部相变为粉土，夹薄层中砂，可称与中砂互层。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③中砂：厚度0.20m-4.60m。黄褐色，稍湿-饱和，稍密-中密；混粒，长石、石英质。夹薄层粉质粘土。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④粉质粘土：厚度0.30m-3.30m。黄褐色，软塑-可塑，表面稍有光泽反应，干强度及韧性中等，无摇振反应。含少量中砂。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⑤粗砾砂：厚度为0.70m-5.50m。黄褐色，饱和，中密-密实，长石石英质，颗粒较不均匀。局部含少量圆砾。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⑥圆砾：厚度4.00m-10.60m。黄褐色，中密~密实，饱和。混粒，圆砾最大粒径为100mm，一般粒径20m-30mm，呈亚圆状及次棱角状，含少量卵石；中粗砂、砾砂充填。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⑦混合花岗岩全风化层：黄褐色，中粒结构，块状构造，矿物成份以石英、长石、云母为主，除石英外，长石、云母已风化分解，岩体极破碎。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⑧混合花岗岩强风化层：层顶高程在5.39m-11.38m之间，揭露厚度大于11.50m。黄褐色，中粒结构，块状构造；矿物成份以石英、长石、云母为主，风化程度强，岩体破碎。</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（4）包气带岩性、结构、厚度、分布及垂向渗透系数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包气带是连接地面污染物与地下含水层的主要通道和过渡带，既是污染物媒介体，又是污染物的净化场所和防护层。项目场地包气带厚度大于5m，岩性以粉质粘土、中砂为主。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项目场地包气带防污能力中等，含水层较易受污染。对于基岩裂隙水含水层，污染物经过包气带吸附之后，向基岩有一定的下渗，但基岩渗透系数均小于10</w:t>
      </w:r>
      <w:r>
        <w:rPr>
          <w:rFonts w:hint="default" w:ascii="Times New Roman" w:hAnsi="Times New Roman" w:eastAsia="宋体" w:cs="Times New Roman"/>
          <w:color w:val="000000"/>
          <w:kern w:val="0"/>
          <w:sz w:val="24"/>
          <w:szCs w:val="24"/>
          <w:highlight w:val="none"/>
          <w:vertAlign w:val="superscript"/>
        </w:rPr>
        <w:t>-7</w:t>
      </w:r>
      <w:r>
        <w:rPr>
          <w:rFonts w:hint="default" w:ascii="Times New Roman" w:hAnsi="Times New Roman" w:eastAsia="宋体" w:cs="Times New Roman"/>
          <w:color w:val="000000"/>
          <w:kern w:val="0"/>
          <w:sz w:val="24"/>
          <w:szCs w:val="24"/>
          <w:highlight w:val="none"/>
        </w:rPr>
        <w:t>cm/s，因此项目对基岩裂隙水含水层构成污染的可能性小。</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（5）水文地质特征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项目场地主要含水层为⑤粗砾砂、⑥圆砾层，按埋藏条件属潜水。地下水水位埋深5.40m~8.20m，水位绝对高程16.88m~18.67m，地下水水利坡度为1.5‰，地下水流向自西北向东南，与洋河水流向基本一致。地下水主要来源于大气降水和侧向渗流的补给，受季节性降水的影响，年水位变化幅度约2.0m。地下水PH值6.71~6.76，属中性水，地下水化学类型属HCO</w:t>
      </w:r>
      <w:r>
        <w:rPr>
          <w:rFonts w:hint="default" w:ascii="Times New Roman" w:hAnsi="Times New Roman" w:eastAsia="宋体" w:cs="Times New Roman"/>
          <w:color w:val="000000"/>
          <w:kern w:val="0"/>
          <w:sz w:val="24"/>
          <w:szCs w:val="24"/>
          <w:highlight w:val="none"/>
          <w:vertAlign w:val="subscript"/>
        </w:rPr>
        <w:t>3</w:t>
      </w:r>
      <w:r>
        <w:rPr>
          <w:rFonts w:hint="default" w:ascii="Times New Roman" w:hAnsi="Times New Roman" w:eastAsia="宋体" w:cs="Times New Roman"/>
          <w:color w:val="000000"/>
          <w:kern w:val="0"/>
          <w:sz w:val="24"/>
          <w:szCs w:val="24"/>
          <w:highlight w:val="none"/>
          <w:vertAlign w:val="superscript"/>
        </w:rPr>
        <w:t>-</w:t>
      </w:r>
      <w:r>
        <w:rPr>
          <w:rFonts w:hint="default" w:ascii="Times New Roman" w:hAnsi="Times New Roman" w:eastAsia="宋体" w:cs="Times New Roman"/>
          <w:color w:val="000000"/>
          <w:kern w:val="0"/>
          <w:sz w:val="24"/>
          <w:szCs w:val="24"/>
          <w:highlight w:val="none"/>
        </w:rPr>
        <w:t>-Ca</w:t>
      </w:r>
      <w:r>
        <w:rPr>
          <w:rFonts w:hint="default" w:ascii="Times New Roman" w:hAnsi="Times New Roman" w:eastAsia="宋体" w:cs="Times New Roman"/>
          <w:color w:val="000000"/>
          <w:kern w:val="0"/>
          <w:sz w:val="24"/>
          <w:szCs w:val="24"/>
          <w:highlight w:val="none"/>
          <w:vertAlign w:val="superscript"/>
        </w:rPr>
        <w:t>2+</w:t>
      </w:r>
      <w:r>
        <w:rPr>
          <w:rFonts w:hint="default" w:ascii="Times New Roman" w:hAnsi="Times New Roman" w:eastAsia="宋体" w:cs="Times New Roman"/>
          <w:color w:val="000000"/>
          <w:kern w:val="0"/>
          <w:sz w:val="24"/>
          <w:szCs w:val="24"/>
          <w:highlight w:val="none"/>
        </w:rPr>
        <w:t>+Mg</w:t>
      </w:r>
      <w:r>
        <w:rPr>
          <w:rFonts w:hint="default" w:ascii="Times New Roman" w:hAnsi="Times New Roman" w:eastAsia="宋体" w:cs="Times New Roman"/>
          <w:color w:val="000000"/>
          <w:kern w:val="0"/>
          <w:sz w:val="24"/>
          <w:szCs w:val="24"/>
          <w:highlight w:val="none"/>
          <w:vertAlign w:val="superscript"/>
        </w:rPr>
        <w:t>2+</w:t>
      </w:r>
      <w:r>
        <w:rPr>
          <w:rFonts w:hint="default" w:ascii="Times New Roman" w:hAnsi="Times New Roman" w:eastAsia="宋体" w:cs="Times New Roman"/>
          <w:color w:val="000000"/>
          <w:kern w:val="0"/>
          <w:sz w:val="24"/>
          <w:szCs w:val="24"/>
          <w:highlight w:val="none"/>
        </w:rPr>
        <w:t xml:space="preserve">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黑体" w:cs="Times New Roman"/>
          <w:sz w:val="24"/>
          <w:szCs w:val="24"/>
          <w:highlight w:val="none"/>
        </w:rPr>
      </w:pPr>
      <w:r>
        <w:rPr>
          <w:rFonts w:hint="default" w:ascii="Times New Roman" w:hAnsi="Times New Roman" w:eastAsia="宋体" w:cs="Times New Roman"/>
          <w:color w:val="000000"/>
          <w:kern w:val="0"/>
          <w:sz w:val="24"/>
          <w:szCs w:val="24"/>
          <w:highlight w:val="none"/>
        </w:rPr>
        <w:t>①</w:t>
      </w:r>
      <w:r>
        <w:rPr>
          <w:rFonts w:hint="default" w:ascii="Times New Roman" w:hAnsi="Times New Roman" w:eastAsia="黑体" w:cs="Times New Roman"/>
          <w:sz w:val="24"/>
          <w:szCs w:val="24"/>
          <w:highlight w:val="none"/>
        </w:rPr>
        <w:t xml:space="preserve">地下水水质污染途径分析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根据项目特点，结合本工程废水排放情况，分析项目可能造成的地下水污染途径有以下几种途径：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（1）猪舍防渗措施不足，导致废水渗入地下造成对地下水水质的污染；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（2）项目使用的混合搅拌池 、沼气池、储粪池、无害化处理池、沼液存储池、污水管道防渗措施不足，而造成废水渗漏污染；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②地下水水质影响预测及分析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项目场地包气带防污能力中等，含水层较易受污染。对于基岩裂隙水含水层，污染物经过包气带吸附之后，向基岩有一定的下渗，但基岩渗透系数均小于10</w:t>
      </w:r>
      <w:r>
        <w:rPr>
          <w:rFonts w:hint="default" w:ascii="Times New Roman" w:hAnsi="Times New Roman" w:eastAsia="宋体" w:cs="Times New Roman"/>
          <w:color w:val="000000"/>
          <w:kern w:val="0"/>
          <w:sz w:val="24"/>
          <w:szCs w:val="24"/>
          <w:highlight w:val="none"/>
          <w:vertAlign w:val="superscript"/>
        </w:rPr>
        <w:t>-7</w:t>
      </w:r>
      <w:r>
        <w:rPr>
          <w:rFonts w:hint="default" w:ascii="Times New Roman" w:hAnsi="Times New Roman" w:eastAsia="宋体" w:cs="Times New Roman"/>
          <w:color w:val="000000"/>
          <w:kern w:val="0"/>
          <w:sz w:val="24"/>
          <w:szCs w:val="24"/>
          <w:highlight w:val="none"/>
        </w:rPr>
        <w:t>cm/s，因此项目对基岩裂隙水含水层构成污染的可能性小。此外，根据中国环境出版社出版的《地下水系统的污染与控制》介绍，污染物在入渗过程中或进入含水层时，由于自身的理化特性和地层及含水介质条件，会发生复杂的吸附、迁移、分解和转化等过程，COD、SS、氨氮等的去除率可达85~95%，土壤生态系统对污染物有较强的阻隔，因此评价认为，项目一旦发生渗漏，废水中污染物质一般不会穿过土壤层而渗入潜水层中，但项目仍必须落实下文的防渗措施，通过上述分析可知，项目对地下水环境影响较小。</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③地下水污染防控措施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（1）分区防控措施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为防止项目运行期间对地下水构成影响，评价要求对项目区严格划分污染区和非污染区，根据污染性质的不同，污染区进行相应的防渗，防渗分区为一般防渗区和重点防渗区。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① 一般防渗区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一般防渗区主要为存在污染物，但污染风险较小的区域，主要为仓库、沼气设备间，要求渗透系数小于 1.0×10</w:t>
      </w:r>
      <w:r>
        <w:rPr>
          <w:rFonts w:hint="default" w:ascii="Times New Roman" w:hAnsi="Times New Roman" w:eastAsia="宋体" w:cs="Times New Roman"/>
          <w:color w:val="000000"/>
          <w:kern w:val="0"/>
          <w:sz w:val="24"/>
          <w:szCs w:val="24"/>
          <w:highlight w:val="none"/>
          <w:vertAlign w:val="superscript"/>
        </w:rPr>
        <w:t>-5</w:t>
      </w:r>
      <w:r>
        <w:rPr>
          <w:rFonts w:hint="default" w:ascii="Times New Roman" w:hAnsi="Times New Roman" w:eastAsia="宋体" w:cs="Times New Roman"/>
          <w:color w:val="000000"/>
          <w:kern w:val="0"/>
          <w:sz w:val="24"/>
          <w:szCs w:val="24"/>
          <w:highlight w:val="none"/>
        </w:rPr>
        <w:t xml:space="preserve"> cm/s。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 xml:space="preserve">②重点防渗区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重点污染防渗区指污染风险较大的区域，主要包括猪舍、沼气池、储粪</w:t>
      </w:r>
      <w:r>
        <w:rPr>
          <w:rFonts w:hint="default" w:ascii="Times New Roman" w:hAnsi="Times New Roman" w:cs="Times New Roman"/>
          <w:color w:val="000000"/>
          <w:kern w:val="0"/>
          <w:sz w:val="24"/>
          <w:szCs w:val="24"/>
          <w:highlight w:val="none"/>
          <w:lang w:eastAsia="zh-CN"/>
        </w:rPr>
        <w:t>储尿</w:t>
      </w:r>
      <w:r>
        <w:rPr>
          <w:rFonts w:hint="default" w:ascii="Times New Roman" w:hAnsi="Times New Roman" w:eastAsia="宋体" w:cs="Times New Roman"/>
          <w:color w:val="000000"/>
          <w:kern w:val="0"/>
          <w:sz w:val="24"/>
          <w:szCs w:val="24"/>
          <w:highlight w:val="none"/>
        </w:rPr>
        <w:t xml:space="preserve">池、沼液存储池及污水管道。要求渗透系数小于1.0×10 </w:t>
      </w:r>
      <w:r>
        <w:rPr>
          <w:rFonts w:hint="default" w:ascii="Times New Roman" w:hAnsi="Times New Roman" w:eastAsia="宋体" w:cs="Times New Roman"/>
          <w:color w:val="000000"/>
          <w:kern w:val="0"/>
          <w:sz w:val="24"/>
          <w:szCs w:val="24"/>
          <w:highlight w:val="none"/>
          <w:vertAlign w:val="superscript"/>
        </w:rPr>
        <w:t>-7</w:t>
      </w:r>
      <w:r>
        <w:rPr>
          <w:rFonts w:hint="default" w:ascii="Times New Roman" w:hAnsi="Times New Roman" w:eastAsia="宋体" w:cs="Times New Roman"/>
          <w:color w:val="000000"/>
          <w:kern w:val="0"/>
          <w:sz w:val="24"/>
          <w:szCs w:val="24"/>
          <w:highlight w:val="none"/>
        </w:rPr>
        <w:t xml:space="preserve"> cm/s。其中黑膜沼气池采用粘土夯实+1.5mm高密度聚乙烯膜（HDPE膜）防腐防渗，其他池体及污水沟等采用1.5mm高密度聚乙烯膜（HDPE膜）+水泥层防腐防渗。</w:t>
      </w:r>
    </w:p>
    <w:p>
      <w:pPr>
        <w:spacing w:before="120" w:beforeLines="50" w:after="120" w:afterLines="50"/>
        <w:ind w:firstLine="480" w:firstLineChars="200"/>
        <w:jc w:val="left"/>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4.2.2.</w:t>
      </w:r>
      <w:r>
        <w:rPr>
          <w:rFonts w:hint="eastAsia" w:ascii="Times New Roman" w:hAnsi="Times New Roman" w:eastAsia="黑体" w:cs="Times New Roman"/>
          <w:sz w:val="24"/>
          <w:szCs w:val="24"/>
          <w:highlight w:val="none"/>
          <w:lang w:val="en-US" w:eastAsia="zh-CN"/>
        </w:rPr>
        <w:t>3</w:t>
      </w:r>
      <w:r>
        <w:rPr>
          <w:rFonts w:hint="default" w:ascii="Times New Roman" w:hAnsi="Times New Roman" w:eastAsia="黑体" w:cs="Times New Roman"/>
          <w:sz w:val="24"/>
          <w:szCs w:val="24"/>
          <w:highlight w:val="none"/>
        </w:rPr>
        <w:t xml:space="preserve">地下水环境跟踪检测计划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地下水环境跟踪检测每年丰、枯水期各进行一次，检测委托有资质的检测单位承担，检测点位为项目场区水井和</w:t>
      </w:r>
      <w:r>
        <w:rPr>
          <w:rFonts w:hint="default" w:ascii="Times New Roman" w:hAnsi="Times New Roman" w:cs="Times New Roman"/>
          <w:color w:val="000000"/>
          <w:kern w:val="0"/>
          <w:sz w:val="24"/>
          <w:szCs w:val="24"/>
          <w:highlight w:val="none"/>
          <w:lang w:eastAsia="zh-CN"/>
        </w:rPr>
        <w:t>莫黑石</w:t>
      </w:r>
      <w:r>
        <w:rPr>
          <w:rFonts w:hint="default" w:ascii="Times New Roman" w:hAnsi="Times New Roman" w:cs="Times New Roman"/>
          <w:color w:val="000000"/>
          <w:kern w:val="0"/>
          <w:sz w:val="24"/>
          <w:szCs w:val="24"/>
          <w:highlight w:val="none"/>
        </w:rPr>
        <w:t>水井两个点位，检测因子包括pH、高锰酸盐指数、溶解性总固体氨氮、总大肠菌群、细菌总数五项，同时记录井深。</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4.2.3声环境影响预测与评价</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 xml:space="preserve">4.2.3.1噪声源分析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项目噪声主要为沼气设备间风机、发电机噪声、水泵</w:t>
      </w:r>
      <w:r>
        <w:rPr>
          <w:rFonts w:hint="default" w:ascii="Times New Roman" w:hAnsi="Times New Roman" w:cs="Times New Roman"/>
          <w:color w:val="000000"/>
          <w:kern w:val="0"/>
          <w:sz w:val="24"/>
          <w:szCs w:val="24"/>
          <w:highlight w:val="none"/>
          <w:lang w:eastAsia="zh-CN"/>
        </w:rPr>
        <w:t>和饲料加工设备</w:t>
      </w:r>
      <w:r>
        <w:rPr>
          <w:rFonts w:hint="default" w:ascii="Times New Roman" w:hAnsi="Times New Roman" w:eastAsia="宋体" w:cs="Times New Roman"/>
          <w:color w:val="000000"/>
          <w:kern w:val="0"/>
          <w:sz w:val="24"/>
          <w:szCs w:val="24"/>
          <w:highlight w:val="none"/>
        </w:rPr>
        <w:t>噪声等，源强约70-85dB（A），项目选用低噪声设备，并置于房屋内建筑隔声，设备安装减振基础，风机为小型风机，风机安装消声器，采取上述措施后，项目场界噪声达标。项目主要噪声设备声级及降噪措施见表4-14。</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表4-14   主要噪声设备及降噪措施一览表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33" w:type="pct"/>
            <w:vAlign w:val="center"/>
          </w:tcPr>
          <w:p>
            <w:pPr>
              <w:jc w:val="center"/>
              <w:rPr>
                <w:rFonts w:hint="default" w:ascii="Times New Roman" w:hAnsi="Times New Roman" w:cs="Times New Roman"/>
                <w:b/>
                <w:bCs/>
                <w:highlight w:val="none"/>
              </w:rPr>
            </w:pPr>
            <w:r>
              <w:rPr>
                <w:rFonts w:hint="default" w:ascii="Times New Roman" w:hAnsi="Times New Roman" w:cs="Times New Roman"/>
                <w:b/>
                <w:bCs/>
                <w:highlight w:val="none"/>
              </w:rPr>
              <w:t>序号</w:t>
            </w:r>
          </w:p>
        </w:tc>
        <w:tc>
          <w:tcPr>
            <w:tcW w:w="833" w:type="pct"/>
            <w:tcBorders>
              <w:right w:val="single" w:color="auto" w:sz="4" w:space="0"/>
            </w:tcBorders>
            <w:vAlign w:val="center"/>
          </w:tcPr>
          <w:p>
            <w:pPr>
              <w:jc w:val="center"/>
              <w:rPr>
                <w:rFonts w:hint="default" w:ascii="Times New Roman" w:hAnsi="Times New Roman" w:cs="Times New Roman"/>
                <w:b/>
                <w:bCs/>
                <w:highlight w:val="none"/>
              </w:rPr>
            </w:pPr>
            <w:r>
              <w:rPr>
                <w:rFonts w:hint="default" w:ascii="Times New Roman" w:hAnsi="Times New Roman" w:cs="Times New Roman"/>
                <w:b/>
                <w:bCs/>
                <w:highlight w:val="none"/>
              </w:rPr>
              <w:t>噪声源</w:t>
            </w:r>
          </w:p>
        </w:tc>
        <w:tc>
          <w:tcPr>
            <w:tcW w:w="833" w:type="pct"/>
            <w:tcBorders>
              <w:left w:val="single" w:color="auto" w:sz="4" w:space="0"/>
            </w:tcBorders>
            <w:vAlign w:val="center"/>
          </w:tcPr>
          <w:p>
            <w:pPr>
              <w:jc w:val="center"/>
              <w:rPr>
                <w:rFonts w:hint="default" w:ascii="Times New Roman" w:hAnsi="Times New Roman" w:cs="Times New Roman"/>
                <w:b/>
                <w:bCs/>
                <w:highlight w:val="none"/>
              </w:rPr>
            </w:pPr>
            <w:r>
              <w:rPr>
                <w:rFonts w:hint="default" w:ascii="Times New Roman" w:hAnsi="Times New Roman" w:cs="Times New Roman"/>
                <w:b/>
                <w:bCs/>
                <w:highlight w:val="none"/>
              </w:rPr>
              <w:t>数量</w:t>
            </w:r>
          </w:p>
        </w:tc>
        <w:tc>
          <w:tcPr>
            <w:tcW w:w="833" w:type="pct"/>
            <w:vAlign w:val="center"/>
          </w:tcPr>
          <w:p>
            <w:pPr>
              <w:jc w:val="center"/>
              <w:rPr>
                <w:rFonts w:hint="default" w:ascii="Times New Roman" w:hAnsi="Times New Roman" w:cs="Times New Roman"/>
                <w:b/>
                <w:bCs/>
                <w:highlight w:val="none"/>
              </w:rPr>
            </w:pPr>
            <w:r>
              <w:rPr>
                <w:rFonts w:hint="default" w:ascii="Times New Roman" w:hAnsi="Times New Roman" w:cs="Times New Roman"/>
                <w:b/>
                <w:bCs/>
                <w:highlight w:val="none"/>
              </w:rPr>
              <w:t>单台源强dB(A)</w:t>
            </w:r>
          </w:p>
        </w:tc>
        <w:tc>
          <w:tcPr>
            <w:tcW w:w="833" w:type="pct"/>
            <w:vAlign w:val="center"/>
          </w:tcPr>
          <w:p>
            <w:pPr>
              <w:jc w:val="center"/>
              <w:rPr>
                <w:rFonts w:hint="default" w:ascii="Times New Roman" w:hAnsi="Times New Roman" w:cs="Times New Roman"/>
                <w:b/>
                <w:bCs/>
                <w:highlight w:val="none"/>
              </w:rPr>
            </w:pPr>
            <w:r>
              <w:rPr>
                <w:rFonts w:hint="default" w:ascii="Times New Roman" w:hAnsi="Times New Roman" w:cs="Times New Roman"/>
                <w:b/>
                <w:bCs/>
                <w:highlight w:val="none"/>
              </w:rPr>
              <w:t>防治措施</w:t>
            </w:r>
          </w:p>
        </w:tc>
        <w:tc>
          <w:tcPr>
            <w:tcW w:w="833" w:type="pct"/>
            <w:vAlign w:val="center"/>
          </w:tcPr>
          <w:p>
            <w:pPr>
              <w:jc w:val="center"/>
              <w:rPr>
                <w:rFonts w:hint="default" w:ascii="Times New Roman" w:hAnsi="Times New Roman" w:cs="Times New Roman"/>
                <w:b/>
                <w:bCs/>
                <w:highlight w:val="none"/>
              </w:rPr>
            </w:pPr>
            <w:r>
              <w:rPr>
                <w:rFonts w:hint="default" w:ascii="Times New Roman" w:hAnsi="Times New Roman" w:cs="Times New Roman"/>
                <w:b/>
                <w:bCs/>
                <w:highlight w:val="none"/>
              </w:rPr>
              <w:t>降噪效果dB(A)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833" w:type="pct"/>
            <w:tcBorders>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沼气发电机</w:t>
            </w:r>
          </w:p>
        </w:tc>
        <w:tc>
          <w:tcPr>
            <w:tcW w:w="833" w:type="pct"/>
            <w:tcBorders>
              <w:lef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75</w:t>
            </w:r>
          </w:p>
        </w:tc>
        <w:tc>
          <w:tcPr>
            <w:tcW w:w="833" w:type="pct"/>
            <w:vMerge w:val="restart"/>
            <w:vAlign w:val="center"/>
          </w:tcPr>
          <w:p>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rPr>
              <w:t>减振基础，建筑隔声</w:t>
            </w:r>
            <w:r>
              <w:rPr>
                <w:rFonts w:hint="default" w:ascii="Times New Roman" w:hAnsi="Times New Roman" w:cs="Times New Roman"/>
                <w:highlight w:val="none"/>
                <w:lang w:eastAsia="zh-CN"/>
              </w:rPr>
              <w:t>等</w:t>
            </w:r>
          </w:p>
        </w:tc>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2</w:t>
            </w:r>
          </w:p>
        </w:tc>
        <w:tc>
          <w:tcPr>
            <w:tcW w:w="833" w:type="pct"/>
            <w:tcBorders>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风机</w:t>
            </w:r>
          </w:p>
        </w:tc>
        <w:tc>
          <w:tcPr>
            <w:tcW w:w="833" w:type="pct"/>
            <w:tcBorders>
              <w:lef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70</w:t>
            </w:r>
          </w:p>
        </w:tc>
        <w:tc>
          <w:tcPr>
            <w:tcW w:w="833" w:type="pct"/>
            <w:vMerge w:val="continue"/>
            <w:vAlign w:val="center"/>
          </w:tcPr>
          <w:p>
            <w:pPr>
              <w:jc w:val="center"/>
              <w:rPr>
                <w:rFonts w:hint="default" w:ascii="Times New Roman" w:hAnsi="Times New Roman" w:cs="Times New Roman"/>
                <w:highlight w:val="none"/>
              </w:rPr>
            </w:pPr>
          </w:p>
        </w:tc>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3</w:t>
            </w:r>
          </w:p>
        </w:tc>
        <w:tc>
          <w:tcPr>
            <w:tcW w:w="833" w:type="pct"/>
            <w:tcBorders>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排渣泵</w:t>
            </w:r>
          </w:p>
        </w:tc>
        <w:tc>
          <w:tcPr>
            <w:tcW w:w="833" w:type="pct"/>
            <w:tcBorders>
              <w:lef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85</w:t>
            </w:r>
          </w:p>
        </w:tc>
        <w:tc>
          <w:tcPr>
            <w:tcW w:w="833" w:type="pct"/>
            <w:vMerge w:val="continue"/>
            <w:vAlign w:val="center"/>
          </w:tcPr>
          <w:p>
            <w:pPr>
              <w:jc w:val="center"/>
              <w:rPr>
                <w:rFonts w:hint="default" w:ascii="Times New Roman" w:hAnsi="Times New Roman" w:cs="Times New Roman"/>
                <w:highlight w:val="none"/>
              </w:rPr>
            </w:pPr>
          </w:p>
        </w:tc>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4</w:t>
            </w:r>
          </w:p>
        </w:tc>
        <w:tc>
          <w:tcPr>
            <w:tcW w:w="833" w:type="pct"/>
            <w:tcBorders>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排水泵</w:t>
            </w:r>
          </w:p>
        </w:tc>
        <w:tc>
          <w:tcPr>
            <w:tcW w:w="833" w:type="pct"/>
            <w:tcBorders>
              <w:lef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3</w:t>
            </w:r>
          </w:p>
        </w:tc>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75</w:t>
            </w:r>
          </w:p>
        </w:tc>
        <w:tc>
          <w:tcPr>
            <w:tcW w:w="833" w:type="pct"/>
            <w:vMerge w:val="continue"/>
            <w:vAlign w:val="center"/>
          </w:tcPr>
          <w:p>
            <w:pPr>
              <w:jc w:val="center"/>
              <w:rPr>
                <w:rFonts w:hint="default" w:ascii="Times New Roman" w:hAnsi="Times New Roman" w:cs="Times New Roman"/>
                <w:highlight w:val="none"/>
              </w:rPr>
            </w:pPr>
          </w:p>
        </w:tc>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5</w:t>
            </w:r>
          </w:p>
        </w:tc>
        <w:tc>
          <w:tcPr>
            <w:tcW w:w="833" w:type="pct"/>
            <w:tcBorders>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刮粪机</w:t>
            </w:r>
          </w:p>
        </w:tc>
        <w:tc>
          <w:tcPr>
            <w:tcW w:w="833" w:type="pct"/>
            <w:tcBorders>
              <w:lef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14</w:t>
            </w:r>
          </w:p>
        </w:tc>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70</w:t>
            </w:r>
          </w:p>
        </w:tc>
        <w:tc>
          <w:tcPr>
            <w:tcW w:w="833" w:type="pct"/>
            <w:vMerge w:val="continue"/>
            <w:vAlign w:val="center"/>
          </w:tcPr>
          <w:p>
            <w:pPr>
              <w:jc w:val="center"/>
              <w:rPr>
                <w:rFonts w:hint="default" w:ascii="Times New Roman" w:hAnsi="Times New Roman" w:cs="Times New Roman"/>
                <w:highlight w:val="none"/>
              </w:rPr>
            </w:pPr>
          </w:p>
        </w:tc>
        <w:tc>
          <w:tcPr>
            <w:tcW w:w="833" w:type="pct"/>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33" w:type="pct"/>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6</w:t>
            </w:r>
          </w:p>
        </w:tc>
        <w:tc>
          <w:tcPr>
            <w:tcW w:w="833" w:type="pct"/>
            <w:tcBorders>
              <w:right w:val="single" w:color="auto" w:sz="4" w:space="0"/>
            </w:tcBorders>
            <w:vAlign w:val="center"/>
          </w:tcPr>
          <w:p>
            <w:pPr>
              <w:jc w:val="center"/>
              <w:rPr>
                <w:rFonts w:hint="default" w:ascii="Times New Roman" w:hAnsi="Times New Roman" w:eastAsia="宋体" w:cs="Times New Roman"/>
                <w:highlight w:val="none"/>
                <w:lang w:eastAsia="zh-CN"/>
              </w:rPr>
            </w:pPr>
            <w:r>
              <w:rPr>
                <w:rFonts w:hint="default" w:ascii="Times New Roman" w:hAnsi="Times New Roman" w:cs="Times New Roman"/>
                <w:highlight w:val="none"/>
                <w:lang w:eastAsia="zh-CN"/>
              </w:rPr>
              <w:t>破碎筛分</w:t>
            </w:r>
          </w:p>
        </w:tc>
        <w:tc>
          <w:tcPr>
            <w:tcW w:w="833" w:type="pct"/>
            <w:tcBorders>
              <w:left w:val="single" w:color="auto" w:sz="4" w:space="0"/>
            </w:tcBorders>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w:t>
            </w:r>
          </w:p>
        </w:tc>
        <w:tc>
          <w:tcPr>
            <w:tcW w:w="833" w:type="pct"/>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85</w:t>
            </w:r>
          </w:p>
        </w:tc>
        <w:tc>
          <w:tcPr>
            <w:tcW w:w="833" w:type="pct"/>
            <w:vMerge w:val="continue"/>
            <w:vAlign w:val="center"/>
          </w:tcPr>
          <w:p>
            <w:pPr>
              <w:jc w:val="center"/>
              <w:rPr>
                <w:rFonts w:hint="default" w:ascii="Times New Roman" w:hAnsi="Times New Roman" w:cs="Times New Roman"/>
                <w:highlight w:val="none"/>
              </w:rPr>
            </w:pPr>
          </w:p>
        </w:tc>
        <w:tc>
          <w:tcPr>
            <w:tcW w:w="833" w:type="pct"/>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20</w:t>
            </w:r>
          </w:p>
        </w:tc>
      </w:tr>
    </w:tbl>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 xml:space="preserve">4.2.3.2 噪声预测模式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预测模式采用《环境影响评价技术导则》（HJ/T2.4-2009）中推荐的声环境影响预测模式。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建设项目声源在预测点产生的等效声级贡献值计算公式：</w:t>
      </w:r>
    </w:p>
    <w:p>
      <w:pPr>
        <w:adjustRightInd w:val="0"/>
        <w:snapToGrid w:val="0"/>
        <w:spacing w:before="120" w:beforeLines="50" w:after="120" w:afterLines="50" w:line="360" w:lineRule="auto"/>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 xml:space="preserve"> </w:t>
      </w:r>
      <w:r>
        <w:rPr>
          <w:rFonts w:hint="default" w:ascii="Times New Roman" w:hAnsi="Times New Roman" w:cs="Times New Roman"/>
          <w:highlight w:val="none"/>
        </w:rPr>
        <w:drawing>
          <wp:inline distT="0" distB="0" distL="0" distR="0">
            <wp:extent cx="4324350" cy="24098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9"/>
                    <a:stretch>
                      <a:fillRect/>
                    </a:stretch>
                  </pic:blipFill>
                  <pic:spPr>
                    <a:xfrm>
                      <a:off x="0" y="0"/>
                      <a:ext cx="4324350" cy="2409825"/>
                    </a:xfrm>
                    <a:prstGeom prst="rect">
                      <a:avLst/>
                    </a:prstGeom>
                  </pic:spPr>
                </pic:pic>
              </a:graphicData>
            </a:graphic>
          </wp:inline>
        </w:drawing>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 xml:space="preserve">4.2.3.3 预测结果及影响分析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根据预测模式和参数，以现状检测点为预测点，预测本项目主要噪声源对厂界及敏感点噪声影响预测结果见下表。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表4-15  噪声预测结果  单位：dB(A)</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7"/>
        <w:gridCol w:w="1217"/>
        <w:gridCol w:w="1217"/>
        <w:gridCol w:w="1217"/>
        <w:gridCol w:w="1217"/>
        <w:gridCol w:w="1218"/>
        <w:gridCol w:w="1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18"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1218"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预测点</w:t>
            </w:r>
          </w:p>
        </w:tc>
        <w:tc>
          <w:tcPr>
            <w:tcW w:w="2436"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贡献值</w:t>
            </w:r>
          </w:p>
        </w:tc>
        <w:tc>
          <w:tcPr>
            <w:tcW w:w="2437"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标准值</w:t>
            </w:r>
          </w:p>
        </w:tc>
        <w:tc>
          <w:tcPr>
            <w:tcW w:w="1219"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1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121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昼间</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夜间</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昼间</w:t>
            </w:r>
          </w:p>
        </w:tc>
        <w:tc>
          <w:tcPr>
            <w:tcW w:w="121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夜间</w:t>
            </w:r>
          </w:p>
        </w:tc>
        <w:tc>
          <w:tcPr>
            <w:tcW w:w="1219"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北厂界</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25.84</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25.84</w:t>
            </w:r>
          </w:p>
        </w:tc>
        <w:tc>
          <w:tcPr>
            <w:tcW w:w="1218"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55</w:t>
            </w:r>
          </w:p>
        </w:tc>
        <w:tc>
          <w:tcPr>
            <w:tcW w:w="1219"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w:t>
            </w:r>
          </w:p>
        </w:tc>
        <w:tc>
          <w:tcPr>
            <w:tcW w:w="121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西厂界</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28.17</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28.17</w:t>
            </w:r>
          </w:p>
        </w:tc>
        <w:tc>
          <w:tcPr>
            <w:tcW w:w="121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1219"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121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南厂界</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36.08</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36.08</w:t>
            </w:r>
          </w:p>
        </w:tc>
        <w:tc>
          <w:tcPr>
            <w:tcW w:w="121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1219"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121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东厂界</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24.43</w:t>
            </w:r>
          </w:p>
        </w:tc>
        <w:tc>
          <w:tcPr>
            <w:tcW w:w="12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24.43</w:t>
            </w:r>
          </w:p>
        </w:tc>
        <w:tc>
          <w:tcPr>
            <w:tcW w:w="121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1219"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p>
        </w:tc>
        <w:tc>
          <w:tcPr>
            <w:tcW w:w="121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bl>
    <w:p>
      <w:pPr>
        <w:keepNext w:val="0"/>
        <w:keepLines w:val="0"/>
        <w:pageBreakBefore w:val="0"/>
        <w:widowControl w:val="0"/>
        <w:kinsoku/>
        <w:wordWrap/>
        <w:overflowPunct/>
        <w:topLinePunct w:val="0"/>
        <w:autoSpaceDE w:val="0"/>
        <w:autoSpaceDN w:val="0"/>
        <w:bidi w:val="0"/>
        <w:adjustRightInd w:val="0"/>
        <w:snapToGrid/>
        <w:spacing w:before="0" w:beforeLines="50"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从表4-20的预测结果可以看出，项目各场界环境噪声贡献值为24.43dB(A)~36.08dB(A)昼间、夜间均达到《工业企业厂界环境噪声排放标准》（GB12348-2008）1类标准要求。同时项目周边200m范围内无居民区等声环境敏感点，所以项目建设对周边声环境影响不大。</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4.2.4固废环境影响分析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本项目产生的固体废物包括：猪粪、病死猪、职工日常生活产生的生活垃圾、废脱硫剂及接种时产生的医疗废物。</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（1）猪粪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本项目鲜猪粪产生量为12.17t/d（4442.05t/a），本项目采用干清粪工艺。根据前文分析可知，因项目沼气池内需要添加粪便使其料液TS浓度达到8%，才能厌氧反应正常进行，而粪便固态物质含量为40%，根据项目沼气池内不同季节废水量计算可知，夏季沼气池内计算需要粪便投入量为9.18t/d，其他季节需要粪便投入量为8.07t/d。因此可知项目每日产生的9.12t猪粪全部进入沼气池，剩余3.05t/d进入储粪池及无害化处理池厌氧发酵，无害化处理池容积100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，无害化处理后用作农肥。</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（2）病死猪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根据前文养殖周期图可知，本项目因伤病致死的猪平均约每年1250头。本项目按HJ/T 81-2001《畜禽养殖业污染防治技术规范》及相关要求，在厂区内设病死猪暂存库1间，暂存后将病死猪及时送无害化处理厂处理。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（3）废脱硫剂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本项目沼气产生量为1.749万m3/a，根据相关资料，沼气中H2S含量约0.5~2.0g/m³，脱硫后含量20mg/m3。根据上述化学反应方程式，氧化铁脱硫剂的理论需要量约为0.9t/a。一般当脱硫剂有效成分减少 25%时，脱硫效果明显变差，脱硫剂不能继续使用，需要更换。因此，本项目废脱硫剂产生量为3.6t/a。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废脱硫剂属一般固体废物，储存于库房内的暂存间内，全部由供货厂家回收再生利用。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（5）沼液、沼渣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①沼渣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沼渣是由进入沼气池的粪便产生， 根据前文分析，进入沼气池的粪便量为3080.96t/a，粪便中干物质含量为40%，粪便中干物质被厌氧反应降解50%，10%进入沼液，剩下40%转化为沼渣，沼渣经固液分离后而含水率为70%，因此项目沼渣产生量为3080.96t/a×40%×40%÷（1-70%）=1643.17t/a。沼渣存放于沼渣储存池，全部用作农肥。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根据前文分析并计算可知，项目夏季沼渣产生量为7.686t/d，其他季节沼渣产生量为6.786t/d。</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②沼液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根据前文水平衡图可知，夏季产生沼液中水总含量为30.744t/d×122d=3750.77t，其他季节产生沼液中水总含量为27.144t/d×243d=6595.99t。因此项目沼液年产生量为（3750.77t+6595.99t）=10346.76t/a。项目沼液存放于沼液储存池，沼液池容积6000m3，可满足沼液日常储存要求，并可容纳非追肥期沼液暂存要求，沼液最终全部用作农肥施用于周边农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（6）生活垃圾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cs="Times New Roman"/>
          <w:color w:val="000000"/>
          <w:kern w:val="0"/>
          <w:sz w:val="24"/>
          <w:szCs w:val="24"/>
          <w:highlight w:val="none"/>
        </w:rPr>
        <w:t>项目员工生活垃圾产生量为</w:t>
      </w:r>
      <w:r>
        <w:rPr>
          <w:rFonts w:hint="default" w:ascii="Times New Roman" w:hAnsi="Times New Roman" w:cs="Times New Roman"/>
          <w:color w:val="000000"/>
          <w:kern w:val="0"/>
          <w:sz w:val="24"/>
          <w:szCs w:val="24"/>
          <w:highlight w:val="none"/>
          <w:lang w:val="en-US" w:eastAsia="zh-CN"/>
        </w:rPr>
        <w:t>1.5</w:t>
      </w:r>
      <w:r>
        <w:rPr>
          <w:rFonts w:hint="default" w:ascii="Times New Roman" w:hAnsi="Times New Roman" w:cs="Times New Roman"/>
          <w:color w:val="000000"/>
          <w:kern w:val="0"/>
          <w:sz w:val="24"/>
          <w:szCs w:val="24"/>
          <w:highlight w:val="none"/>
        </w:rPr>
        <w:t>t/a，生活垃圾由环卫部门集中处理</w:t>
      </w:r>
      <w:r>
        <w:rPr>
          <w:rFonts w:hint="default" w:ascii="Times New Roman" w:hAnsi="Times New Roman" w:cs="Times New Roman"/>
          <w:color w:val="000000"/>
          <w:kern w:val="0"/>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（7）接种防疫废物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本项目为猪配种、注射疫苗及为猪治病医疗时均产生少量医疗废物，主要为废注射器、废药瓶、废一次性手套等，产生量约为0.7t/a。在厂区内危废库暂存后，委托徐山口危险废物处理中心进行处理。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lang w:eastAsia="zh-CN"/>
        </w:rPr>
      </w:pPr>
      <w:r>
        <w:rPr>
          <w:rFonts w:hint="default" w:ascii="Times New Roman" w:hAnsi="Times New Roman" w:cs="Times New Roman"/>
          <w:color w:val="000000"/>
          <w:kern w:val="0"/>
          <w:sz w:val="24"/>
          <w:szCs w:val="24"/>
          <w:highlight w:val="none"/>
          <w:lang w:eastAsia="zh-CN"/>
        </w:rPr>
        <w:t>（</w:t>
      </w:r>
      <w:r>
        <w:rPr>
          <w:rFonts w:hint="default" w:ascii="Times New Roman" w:hAnsi="Times New Roman" w:cs="Times New Roman"/>
          <w:color w:val="000000"/>
          <w:kern w:val="0"/>
          <w:sz w:val="24"/>
          <w:szCs w:val="24"/>
          <w:highlight w:val="none"/>
          <w:lang w:val="en-US" w:eastAsia="zh-CN"/>
        </w:rPr>
        <w:t>8</w:t>
      </w:r>
      <w:r>
        <w:rPr>
          <w:rFonts w:hint="default" w:ascii="Times New Roman" w:hAnsi="Times New Roman" w:cs="Times New Roman"/>
          <w:color w:val="000000"/>
          <w:kern w:val="0"/>
          <w:sz w:val="24"/>
          <w:szCs w:val="24"/>
          <w:highlight w:val="none"/>
          <w:lang w:eastAsia="zh-CN"/>
        </w:rPr>
        <w:t>）饲料加工地面落尘及废气治理除尘灰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lang w:val="en-US" w:eastAsia="zh-CN"/>
        </w:rPr>
      </w:pPr>
      <w:r>
        <w:rPr>
          <w:rFonts w:hint="default" w:ascii="Times New Roman" w:hAnsi="Times New Roman" w:cs="Times New Roman"/>
          <w:color w:val="000000"/>
          <w:kern w:val="0"/>
          <w:sz w:val="24"/>
          <w:szCs w:val="24"/>
          <w:highlight w:val="none"/>
          <w:lang w:eastAsia="zh-CN"/>
        </w:rPr>
        <w:t>根据物料平衡计算，项目地面落尘及除尘灰约</w:t>
      </w:r>
      <w:r>
        <w:rPr>
          <w:rFonts w:hint="default" w:ascii="Times New Roman" w:hAnsi="Times New Roman" w:cs="Times New Roman"/>
          <w:color w:val="000000"/>
          <w:kern w:val="0"/>
          <w:sz w:val="24"/>
          <w:szCs w:val="24"/>
          <w:highlight w:val="none"/>
          <w:lang w:val="en-US" w:eastAsia="zh-CN"/>
        </w:rPr>
        <w:t>1.2t/a，回用于饲料生产，不外排。</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w:t>
      </w:r>
      <w:r>
        <w:rPr>
          <w:rFonts w:hint="default" w:ascii="Times New Roman" w:hAnsi="Times New Roman" w:cs="Times New Roman"/>
          <w:color w:val="000000"/>
          <w:kern w:val="0"/>
          <w:sz w:val="24"/>
          <w:szCs w:val="24"/>
          <w:highlight w:val="none"/>
          <w:lang w:val="en-US" w:eastAsia="zh-CN"/>
        </w:rPr>
        <w:t>9</w:t>
      </w:r>
      <w:r>
        <w:rPr>
          <w:rFonts w:hint="default" w:ascii="Times New Roman" w:hAnsi="Times New Roman" w:cs="Times New Roman"/>
          <w:color w:val="000000"/>
          <w:kern w:val="0"/>
          <w:sz w:val="24"/>
          <w:szCs w:val="24"/>
          <w:highlight w:val="none"/>
        </w:rPr>
        <w:t xml:space="preserve">）固废运输过程影响分析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评价要求粪便在清运的过程中及清运的设施必须采取防渗、防流失、防遗散等措施，项目无害化处理后的粪便采用专业运输车辆运输，其中沼液及沼渣采用封闭式罐车抽运，粪便采用封闭式车辆运输，运输过程中尽量绕行敏感点，防止沿途遗撒并减轻运输过程中臭气影响。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综上分析，本项目固体废物均可得到合理处置，符合“减量化、无害化、资源化”的总体原则，在加强管理，并在落实好各项污染防治措施和固体废物安全处置措施的前提下，项目产生的固体废物对周围环境的影响较小。</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4.2.5 环境风险分析</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 xml:space="preserve">4.2.5.1物质危险性辨识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本项目运营涉及到的危险物质主要为沼气（主要成分为CH</w:t>
      </w:r>
      <w:r>
        <w:rPr>
          <w:rFonts w:hint="default" w:ascii="Times New Roman" w:hAnsi="Times New Roman" w:cs="Times New Roman"/>
          <w:color w:val="000000"/>
          <w:kern w:val="0"/>
          <w:sz w:val="24"/>
          <w:szCs w:val="24"/>
          <w:highlight w:val="none"/>
          <w:vertAlign w:val="subscript"/>
        </w:rPr>
        <w:t>4</w:t>
      </w:r>
      <w:r>
        <w:rPr>
          <w:rFonts w:hint="default" w:ascii="Times New Roman" w:hAnsi="Times New Roman" w:cs="Times New Roman"/>
          <w:color w:val="000000"/>
          <w:kern w:val="0"/>
          <w:sz w:val="24"/>
          <w:szCs w:val="24"/>
          <w:highlight w:val="none"/>
        </w:rPr>
        <w:t xml:space="preserve">），根据《建设项目环境风险评价技术导则》（HJ/T169-2018）附录A.1的物质危险性标准，沼气属可燃气体，属于危险物质。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1、重大危险源辨识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根据《危险化学品重大危险源辨识》（GB18218-2009），甲烷易燃气体临界量为50t。甲烷密度为0.71kg/m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（标准状况下，1个标准大气压，20℃）；贮气柜按150</w:t>
      </w:r>
      <w:r>
        <w:rPr>
          <w:rFonts w:hint="default" w:ascii="Times New Roman" w:hAnsi="Times New Roman" w:cs="Times New Roman"/>
          <w:color w:val="000000"/>
          <w:kern w:val="0"/>
          <w:sz w:val="24"/>
          <w:szCs w:val="24"/>
          <w:highlight w:val="none"/>
          <w:lang w:val="en-US" w:eastAsia="zh-CN"/>
        </w:rPr>
        <w:t>00</w:t>
      </w:r>
      <w:r>
        <w:rPr>
          <w:rFonts w:hint="default" w:ascii="Times New Roman" w:hAnsi="Times New Roman" w:cs="Times New Roman"/>
          <w:color w:val="000000"/>
          <w:kern w:val="0"/>
          <w:sz w:val="24"/>
          <w:szCs w:val="24"/>
          <w:highlight w:val="none"/>
        </w:rPr>
        <w:t>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计算，甲烷储量为</w:t>
      </w:r>
      <w:r>
        <w:rPr>
          <w:rFonts w:hint="default" w:ascii="Times New Roman" w:hAnsi="Times New Roman" w:cs="Times New Roman"/>
          <w:color w:val="000000"/>
          <w:kern w:val="0"/>
          <w:sz w:val="24"/>
          <w:szCs w:val="24"/>
          <w:highlight w:val="none"/>
          <w:lang w:val="en-US" w:eastAsia="zh-CN"/>
        </w:rPr>
        <w:t>10.65</w:t>
      </w:r>
      <w:r>
        <w:rPr>
          <w:rFonts w:hint="default" w:ascii="Times New Roman" w:hAnsi="Times New Roman" w:cs="Times New Roman"/>
          <w:color w:val="000000"/>
          <w:kern w:val="0"/>
          <w:sz w:val="24"/>
          <w:szCs w:val="24"/>
          <w:highlight w:val="none"/>
        </w:rPr>
        <w:t>t</w:t>
      </w:r>
      <w:r>
        <w:rPr>
          <w:rFonts w:hint="default" w:ascii="Times New Roman" w:hAnsi="Times New Roman" w:cs="Times New Roman"/>
          <w:color w:val="000000"/>
          <w:kern w:val="0"/>
          <w:sz w:val="24"/>
          <w:szCs w:val="24"/>
          <w:highlight w:val="none"/>
          <w:lang w:eastAsia="zh-CN"/>
        </w:rPr>
        <w:t>，</w:t>
      </w:r>
      <w:r>
        <w:rPr>
          <w:rFonts w:hint="default" w:ascii="Times New Roman" w:hAnsi="Times New Roman" w:cs="Times New Roman"/>
          <w:color w:val="000000"/>
          <w:kern w:val="0"/>
          <w:sz w:val="24"/>
          <w:szCs w:val="24"/>
          <w:highlight w:val="none"/>
          <w:lang w:val="en-US" w:eastAsia="zh-CN"/>
        </w:rPr>
        <w:t>Q=0.213，</w:t>
      </w:r>
      <w:r>
        <w:rPr>
          <w:rFonts w:hint="default" w:ascii="Times New Roman" w:hAnsi="Times New Roman" w:cs="Times New Roman"/>
          <w:color w:val="000000"/>
          <w:kern w:val="0"/>
          <w:sz w:val="24"/>
          <w:szCs w:val="24"/>
          <w:highlight w:val="none"/>
        </w:rPr>
        <w:t xml:space="preserve">因此本项目贮存沼气不属于重大危险源。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2、沼气理化性质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沼气的主要成分是甲烷，沼气中甲烷（CH</w:t>
      </w:r>
      <w:r>
        <w:rPr>
          <w:rFonts w:hint="default" w:ascii="Times New Roman" w:hAnsi="Times New Roman" w:cs="Times New Roman"/>
          <w:color w:val="000000"/>
          <w:kern w:val="0"/>
          <w:sz w:val="24"/>
          <w:szCs w:val="24"/>
          <w:highlight w:val="none"/>
          <w:vertAlign w:val="subscript"/>
        </w:rPr>
        <w:t>4</w:t>
      </w:r>
      <w:r>
        <w:rPr>
          <w:rFonts w:hint="default" w:ascii="Times New Roman" w:hAnsi="Times New Roman" w:cs="Times New Roman"/>
          <w:color w:val="000000"/>
          <w:kern w:val="0"/>
          <w:sz w:val="24"/>
          <w:szCs w:val="24"/>
          <w:highlight w:val="none"/>
        </w:rPr>
        <w:t>）含量为50%～80%、CO</w:t>
      </w:r>
      <w:r>
        <w:rPr>
          <w:rFonts w:hint="default" w:ascii="Times New Roman" w:hAnsi="Times New Roman" w:cs="Times New Roman"/>
          <w:color w:val="000000"/>
          <w:kern w:val="0"/>
          <w:sz w:val="24"/>
          <w:szCs w:val="24"/>
          <w:highlight w:val="none"/>
          <w:vertAlign w:val="subscript"/>
        </w:rPr>
        <w:t>2</w:t>
      </w:r>
      <w:r>
        <w:rPr>
          <w:rFonts w:hint="default" w:ascii="Times New Roman" w:hAnsi="Times New Roman" w:cs="Times New Roman"/>
          <w:color w:val="000000"/>
          <w:kern w:val="0"/>
          <w:sz w:val="24"/>
          <w:szCs w:val="24"/>
          <w:highlight w:val="none"/>
        </w:rPr>
        <w:t>含量为20%～40%、N</w:t>
      </w:r>
      <w:r>
        <w:rPr>
          <w:rFonts w:hint="default" w:ascii="Times New Roman" w:hAnsi="Times New Roman" w:cs="Times New Roman"/>
          <w:color w:val="000000"/>
          <w:kern w:val="0"/>
          <w:sz w:val="24"/>
          <w:szCs w:val="24"/>
          <w:highlight w:val="none"/>
          <w:vertAlign w:val="subscript"/>
        </w:rPr>
        <w:t>2</w:t>
      </w:r>
      <w:r>
        <w:rPr>
          <w:rFonts w:hint="default" w:ascii="Times New Roman" w:hAnsi="Times New Roman" w:cs="Times New Roman"/>
          <w:color w:val="000000"/>
          <w:kern w:val="0"/>
          <w:sz w:val="24"/>
          <w:szCs w:val="24"/>
          <w:highlight w:val="none"/>
        </w:rPr>
        <w:t>含量为0%～5%、H2含量小于1%、H2S含量为0.1%～3%。由于沼气含有少量H</w:t>
      </w:r>
      <w:r>
        <w:rPr>
          <w:rFonts w:hint="default" w:ascii="Times New Roman" w:hAnsi="Times New Roman" w:cs="Times New Roman"/>
          <w:color w:val="000000"/>
          <w:kern w:val="0"/>
          <w:sz w:val="24"/>
          <w:szCs w:val="24"/>
          <w:highlight w:val="none"/>
          <w:vertAlign w:val="subscript"/>
        </w:rPr>
        <w:t>2</w:t>
      </w:r>
      <w:r>
        <w:rPr>
          <w:rFonts w:hint="default" w:ascii="Times New Roman" w:hAnsi="Times New Roman" w:cs="Times New Roman"/>
          <w:color w:val="000000"/>
          <w:kern w:val="0"/>
          <w:sz w:val="24"/>
          <w:szCs w:val="24"/>
          <w:highlight w:val="none"/>
        </w:rPr>
        <w:t>S，所以略带臭味。沼气在空气中爆炸极限为8.6～20.8％（按体积比）。</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（1）毒理学资料及环境行为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沼气属微毒类。有单纯性窒息作用，在高浓度时因缺氧窒息而引起中毒。空气中甲烷达到25～30%出现头昏、呼吸加速、运动失调。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急性毒性：小鼠吸入甲烷42%浓度×60分钟，麻醉作用；兔吸入甲烷42%浓度×60分钟，麻醉作用。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（2）危险特性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沼气易燃，与空气混合能形成爆炸性混合物，遇热源和明火有燃烧爆炸的危险。与五氧化溴、氯气、次氯酸、三氟化氮、液氧、二氟化氧及其它强氧化剂接触剧烈反应。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燃烧产物：一氧化碳、二氧化碳。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3、环境风险类别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根据沼气的理化性质，其危险性主要表现为火灾和爆炸，同时也具有一定的窒息性危险。当项目生物质能利用工程设施出现沼气泄漏事故时，可能诱发火灾、爆炸、人员窒息性中毒事故，伴随产生的次生环境问题主要包括大气污染、消防水溢流对地表水和地下水及土壤的污染。</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 xml:space="preserve">4.2.5.2评价等级与评价范围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根据《建设项目环境风险评价技术导则》（HJ/T169-2018），环境风险评价等级判据见表4-16。</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表4-16 环境风险评价等级判据</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3"/>
        <w:gridCol w:w="1704"/>
        <w:gridCol w:w="1705"/>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类别</w:t>
            </w:r>
          </w:p>
        </w:tc>
        <w:tc>
          <w:tcPr>
            <w:tcW w:w="17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剧毒危险性</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一般毒性危险性</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可燃、易燃危险性物质</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爆炸危险性物质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重大危险源</w:t>
            </w:r>
          </w:p>
        </w:tc>
        <w:tc>
          <w:tcPr>
            <w:tcW w:w="17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非重大危险源</w:t>
            </w:r>
          </w:p>
        </w:tc>
        <w:tc>
          <w:tcPr>
            <w:tcW w:w="17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环境敏感区</w:t>
            </w:r>
          </w:p>
        </w:tc>
        <w:tc>
          <w:tcPr>
            <w:tcW w:w="17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w:t>
            </w:r>
          </w:p>
        </w:tc>
        <w:tc>
          <w:tcPr>
            <w:tcW w:w="17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w:t>
            </w:r>
          </w:p>
        </w:tc>
      </w:tr>
    </w:tbl>
    <w:p>
      <w:pPr>
        <w:keepNext w:val="0"/>
        <w:keepLines w:val="0"/>
        <w:pageBreakBefore w:val="0"/>
        <w:widowControl w:val="0"/>
        <w:kinsoku/>
        <w:wordWrap/>
        <w:overflowPunct/>
        <w:topLinePunct w:val="0"/>
        <w:autoSpaceDE w:val="0"/>
        <w:autoSpaceDN w:val="0"/>
        <w:bidi w:val="0"/>
        <w:adjustRightInd w:val="0"/>
        <w:snapToGrid/>
        <w:spacing w:before="0" w:beforeLines="50"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不处于环境敏感区，系统中沼气储存总量为0.09t＜50t（临界量），不属于重大危险源。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因此，确定本项目环境风险评价工作等级为二级。评价范围为以本项目贮气柜为中心，周围3km范围。</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4.2.5.</w:t>
      </w:r>
      <w:r>
        <w:rPr>
          <w:rFonts w:hint="eastAsia" w:ascii="Times New Roman" w:hAnsi="Times New Roman" w:eastAsia="黑体" w:cs="Times New Roman"/>
          <w:sz w:val="24"/>
          <w:szCs w:val="24"/>
          <w:highlight w:val="none"/>
          <w:lang w:val="en-US" w:eastAsia="zh-CN"/>
        </w:rPr>
        <w:t>3</w:t>
      </w:r>
      <w:r>
        <w:rPr>
          <w:rFonts w:hint="default" w:ascii="Times New Roman" w:hAnsi="Times New Roman" w:eastAsia="黑体" w:cs="Times New Roman"/>
          <w:sz w:val="24"/>
          <w:szCs w:val="24"/>
          <w:highlight w:val="none"/>
        </w:rPr>
        <w:t xml:space="preserve">风险源项分析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1、泄漏事故成因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发生沼气泄漏的原因主要是：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气柜出现破裂导致泄漏；②沼气输送管线破裂或法兰接口不严导致泄漏。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2、火灾爆炸事故成因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发生沼气火灾、爆炸的原因主要是：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①沼气泄漏遇明火引发火灾；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②沼气柜超压引起爆炸；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3、人员中毒事故成因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发生人员沼气中毒事故原因主要是：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人员对沼气池进行维修或下池检修、清除沼渣时，未采取安全措施，导致人员窒息和中毒事故的发生。室内沼气管线、阀门等部件出现沼气泄漏，导致室内人员窒息和中毒事故的发生。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4、最大可信事故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本项目最大可信事故包括沼气泄漏诱发人员中毒、火灾、爆炸事故。根据多年事故概率统计资料表明，发生泄漏、火灾、爆炸事故概率统计结果见表4-17。</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表4-17  泄漏事故类型概率统计</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2" w:type="dxa"/>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2843" w:type="dxa"/>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事故</w:t>
            </w:r>
          </w:p>
        </w:tc>
        <w:tc>
          <w:tcPr>
            <w:tcW w:w="2843" w:type="dxa"/>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发生概率（次/年）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2"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843"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管道输送泄漏</w:t>
            </w:r>
          </w:p>
        </w:tc>
        <w:tc>
          <w:tcPr>
            <w:tcW w:w="2843"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1.25*10</w:t>
            </w:r>
            <w:r>
              <w:rPr>
                <w:rFonts w:hint="default" w:ascii="Times New Roman" w:hAnsi="Times New Roman" w:eastAsia="宋体" w:cs="Times New Roman"/>
                <w:sz w:val="21"/>
                <w:szCs w:val="21"/>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2"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2843"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泵泄漏</w:t>
            </w:r>
          </w:p>
        </w:tc>
        <w:tc>
          <w:tcPr>
            <w:tcW w:w="2843"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1.67*10</w:t>
            </w:r>
            <w:r>
              <w:rPr>
                <w:rFonts w:hint="default" w:ascii="Times New Roman" w:hAnsi="Times New Roman" w:eastAsia="宋体" w:cs="Times New Roman"/>
                <w:sz w:val="21"/>
                <w:szCs w:val="21"/>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2"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2843"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装置泄漏、储罐破裂泄漏</w:t>
            </w:r>
          </w:p>
        </w:tc>
        <w:tc>
          <w:tcPr>
            <w:tcW w:w="2843"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1.67*10</w:t>
            </w:r>
            <w:r>
              <w:rPr>
                <w:rFonts w:hint="default" w:ascii="Times New Roman" w:hAnsi="Times New Roman" w:eastAsia="宋体" w:cs="Times New Roman"/>
                <w:sz w:val="21"/>
                <w:szCs w:val="21"/>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2"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w:t>
            </w:r>
          </w:p>
        </w:tc>
        <w:tc>
          <w:tcPr>
            <w:tcW w:w="2843"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其他</w:t>
            </w:r>
          </w:p>
        </w:tc>
        <w:tc>
          <w:tcPr>
            <w:tcW w:w="2843"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8.34*10</w:t>
            </w:r>
            <w:r>
              <w:rPr>
                <w:rFonts w:hint="default" w:ascii="Times New Roman" w:hAnsi="Times New Roman" w:eastAsia="宋体" w:cs="Times New Roman"/>
                <w:sz w:val="21"/>
                <w:szCs w:val="21"/>
                <w:highlight w:val="none"/>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42"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2843"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合计</w:t>
            </w:r>
          </w:p>
        </w:tc>
        <w:tc>
          <w:tcPr>
            <w:tcW w:w="2843"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5.41*10</w:t>
            </w:r>
            <w:r>
              <w:rPr>
                <w:rFonts w:hint="default" w:ascii="Times New Roman" w:hAnsi="Times New Roman" w:eastAsia="宋体" w:cs="Times New Roman"/>
                <w:sz w:val="21"/>
                <w:szCs w:val="21"/>
                <w:highlight w:val="none"/>
                <w:vertAlign w:val="superscript"/>
              </w:rPr>
              <w:t>-2</w:t>
            </w:r>
          </w:p>
        </w:tc>
      </w:tr>
    </w:tbl>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一般事故成因类型及所占比例统计结果见表4-18.</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表4-18  一般事故成因统计结果</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50" w:type="pct"/>
            <w:tcBorders>
              <w:right w:val="single" w:color="auto" w:sz="4" w:space="0"/>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1250" w:type="pct"/>
            <w:tcBorders>
              <w:right w:val="single" w:color="auto" w:sz="4" w:space="0"/>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事故原因</w:t>
            </w:r>
          </w:p>
        </w:tc>
        <w:tc>
          <w:tcPr>
            <w:tcW w:w="1250" w:type="pct"/>
            <w:tcBorders>
              <w:left w:val="single" w:color="auto" w:sz="4" w:space="0"/>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发生概率（次/年）</w:t>
            </w:r>
          </w:p>
        </w:tc>
        <w:tc>
          <w:tcPr>
            <w:tcW w:w="1250" w:type="pct"/>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所在比例%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垫圈破损</w:t>
            </w:r>
          </w:p>
        </w:tc>
        <w:tc>
          <w:tcPr>
            <w:tcW w:w="1250" w:type="pct"/>
            <w:tcBorders>
              <w:lef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2.5*10</w:t>
            </w:r>
            <w:r>
              <w:rPr>
                <w:rFonts w:hint="default" w:ascii="Times New Roman" w:hAnsi="Times New Roman" w:eastAsia="宋体" w:cs="Times New Roman"/>
                <w:sz w:val="21"/>
                <w:szCs w:val="21"/>
                <w:highlight w:val="none"/>
                <w:vertAlign w:val="superscript"/>
              </w:rPr>
              <w:t>-2</w:t>
            </w:r>
          </w:p>
        </w:tc>
        <w:tc>
          <w:tcPr>
            <w:tcW w:w="125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仪表失灵</w:t>
            </w:r>
          </w:p>
        </w:tc>
        <w:tc>
          <w:tcPr>
            <w:tcW w:w="1250" w:type="pct"/>
            <w:tcBorders>
              <w:lef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8.3*10</w:t>
            </w:r>
            <w:r>
              <w:rPr>
                <w:rFonts w:hint="default" w:ascii="Times New Roman" w:hAnsi="Times New Roman" w:eastAsia="宋体" w:cs="Times New Roman"/>
                <w:sz w:val="21"/>
                <w:szCs w:val="21"/>
                <w:highlight w:val="none"/>
                <w:vertAlign w:val="superscript"/>
              </w:rPr>
              <w:t>-3</w:t>
            </w:r>
          </w:p>
        </w:tc>
        <w:tc>
          <w:tcPr>
            <w:tcW w:w="125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连接密封不良</w:t>
            </w:r>
          </w:p>
        </w:tc>
        <w:tc>
          <w:tcPr>
            <w:tcW w:w="1250" w:type="pct"/>
            <w:tcBorders>
              <w:lef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8.3*10</w:t>
            </w:r>
            <w:r>
              <w:rPr>
                <w:rFonts w:hint="default" w:ascii="Times New Roman" w:hAnsi="Times New Roman" w:eastAsia="宋体" w:cs="Times New Roman"/>
                <w:sz w:val="21"/>
                <w:szCs w:val="21"/>
                <w:highlight w:val="none"/>
                <w:vertAlign w:val="superscript"/>
              </w:rPr>
              <w:t>-3</w:t>
            </w:r>
          </w:p>
        </w:tc>
        <w:tc>
          <w:tcPr>
            <w:tcW w:w="125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w:t>
            </w:r>
          </w:p>
        </w:tc>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泵故障</w:t>
            </w:r>
          </w:p>
        </w:tc>
        <w:tc>
          <w:tcPr>
            <w:tcW w:w="1250" w:type="pct"/>
            <w:tcBorders>
              <w:lef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4.2*10</w:t>
            </w:r>
            <w:r>
              <w:rPr>
                <w:rFonts w:hint="default" w:ascii="Times New Roman" w:hAnsi="Times New Roman" w:eastAsia="宋体" w:cs="Times New Roman"/>
                <w:sz w:val="21"/>
                <w:szCs w:val="21"/>
                <w:highlight w:val="none"/>
                <w:vertAlign w:val="superscript"/>
              </w:rPr>
              <w:t>-3</w:t>
            </w:r>
          </w:p>
        </w:tc>
        <w:tc>
          <w:tcPr>
            <w:tcW w:w="125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人为事故</w:t>
            </w:r>
          </w:p>
        </w:tc>
        <w:tc>
          <w:tcPr>
            <w:tcW w:w="1250" w:type="pct"/>
            <w:tcBorders>
              <w:lef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8.3*10</w:t>
            </w:r>
            <w:r>
              <w:rPr>
                <w:rFonts w:hint="default" w:ascii="Times New Roman" w:hAnsi="Times New Roman" w:eastAsia="宋体" w:cs="Times New Roman"/>
                <w:sz w:val="21"/>
                <w:szCs w:val="21"/>
                <w:highlight w:val="none"/>
                <w:vertAlign w:val="superscript"/>
              </w:rPr>
              <w:t>-3</w:t>
            </w:r>
          </w:p>
        </w:tc>
        <w:tc>
          <w:tcPr>
            <w:tcW w:w="125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250" w:type="pct"/>
            <w:tcBorders>
              <w:righ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合计</w:t>
            </w:r>
          </w:p>
        </w:tc>
        <w:tc>
          <w:tcPr>
            <w:tcW w:w="1250" w:type="pct"/>
            <w:tcBorders>
              <w:left w:val="single" w:color="auto" w:sz="4" w:space="0"/>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5.41*10</w:t>
            </w:r>
            <w:r>
              <w:rPr>
                <w:rFonts w:hint="default" w:ascii="Times New Roman" w:hAnsi="Times New Roman" w:eastAsia="宋体" w:cs="Times New Roman"/>
                <w:sz w:val="21"/>
                <w:szCs w:val="21"/>
                <w:highlight w:val="none"/>
                <w:vertAlign w:val="superscript"/>
              </w:rPr>
              <w:t>-2</w:t>
            </w:r>
          </w:p>
        </w:tc>
        <w:tc>
          <w:tcPr>
            <w:tcW w:w="125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100</w:t>
            </w:r>
          </w:p>
        </w:tc>
      </w:tr>
    </w:tbl>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4.2.5.4环境风险事故后果分析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本项目运营期若安全管理措施不当，将因沼气泄漏诱发人员中毒、火灾爆炸事故危险度大大增加，一旦发生沼气泄漏、火灾、爆炸安全事故，将严重威胁项目评价区域内人民群众的生命、财产安全和环境安全，出现上述安全事故可能导致人员窒息中毒，火灾产生的热辐射、爆炸产生的冲击波对其评价区域人民群众的生命、财产都将构成威胁，发生安全事故还将伴随次生大气污染、水污染、土壤污染。</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4.2.5.5疫病风险分析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猪疾病的防控是猪养殖的主要内容，一旦疾病发生，就会影响猪的繁殖性能及生长，甚至引起猪死亡、种猪淘汰。在建厂初期引进猪的品种、繁殖性能以及健康状况至关重要，这将是猪厂运作的基础条件。另外，对引进猪的检测检疫要严格把关，避免引入潜在感染的猪，尤其是传染性疾病潜伏期的猪。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针对这些问题猪厂建立疫病防治措施体系如下：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（1）疫病监测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对猪厂常见传染病、我国已扑灭的疾病和外来病制定疫病监控方案；与当地畜牧兽医行政管理部门建立定期的疫病监督抽查报告制度。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每次免疫和检疫结果要有完整的记录，检疫与检测报告妥善保管。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（2）疫病的控制本项目从唐山新六有限公司引进仔猪，均为检查、检疫后健康仔猪，不会携带疫病等。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（3）疫病的扑灭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在养殖厂发生疫病或怀疑发生疫病时根据《中华人民共和国动物防疫法》及时采取措施、及时诊断、及时报告。如发现传染疫情，对猪群实施严格的隔离、扑杀措施并追踪调查病猪的亲代和子代，对猪群实施清群和净化措施。对患有传染性疾病的猪，应及时隔离并尽快确诊，同时对病猪的分泌物、粪便、剩余饲料及剖析的病变部分等焚烧深埋无害化处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（4）建立并保存猪用药档案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免疫与检疫时仔细看清各种生物制剂的名称、批号、有效期、免疫单位、剂量等，以防影响免疫效期。严格把握允许使用药物、慎用药物和禁用药物的规定。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企业建立完善的防治防疫体系并按照疫病防治措施严格执行，可保证疫病风险降低在可接受的范围之内。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（5）发生疫情时的紧急防制措施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①应立即组成防疫小组，尽快做出确切诊断，迅速向有关上级部门报告疫情。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②迅速隔离病猪，对危害较重的传染病应及时划区封锁，建立封锁带，出入人员和车辆要严格消毒，同时严格消毒污染环境。解除封锁的条件是在最后一头病猪痊愈或屠宰后两个潜伏期内再无新病例出现，经过全面大消毒，报上级主管部门批准，方可解除封锁。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③对病猪及封锁区内的猪实行合理的综合防制措施，包括疫苗的紧急接种、抗生素疗法、高免血清的特异性疗法、化学疗法、增强体质和生理机能的辅助疗法等。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④病死猪尸体要严格按照防疫条例进行处置。同时根据《畜禽养殖业污染治理工程技术规范》（HJ/497-2009）和《畜禽养殖业污染防治技术规范》（HJ/T81-2001）中的有关规定，在厂区内设置病死猪暂存室，及时送往有资质单位进行处置。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⑤出现重大疫情时必须严格执行《重大动物疫情应急条例》中相关规定。</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4.2.5.6粪污泄露事故分析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1、事故分析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项目混合搅拌池、沼气池、沼渣、沼液储池、储粪池、粪便无害化处理池、圈舍地面或排水管道等一旦发生渗漏，项目少量废水或粪便渗滤液会下渗，对地下水产生影响。评价要求项目员工对养殖场内的各类设施定期检查，一旦发生渗漏及时修补，此外，及时将发生渗漏的池中的粪便或废水导入其它池中。根据中国环境出版社出版的《地下水系统的污染与控制》介绍，污染物在入渗过程中或进入含水层时，由于自身的理化特性和地层及含水介质条件，会发生复杂的吸附、迁移、分解和转化等过程，COD、SS等的去除率可达85~95%，土壤生态系统对污染物有较强的阻隔。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对于基岩裂隙水含水层，污染物经过包气带吸附之后，向基岩有一定的下渗，但基岩渗透系数均小于10</w:t>
      </w:r>
      <w:r>
        <w:rPr>
          <w:rFonts w:hint="default" w:ascii="Times New Roman" w:hAnsi="Times New Roman" w:cs="Times New Roman"/>
          <w:color w:val="000000"/>
          <w:kern w:val="0"/>
          <w:sz w:val="24"/>
          <w:szCs w:val="24"/>
          <w:highlight w:val="none"/>
          <w:vertAlign w:val="superscript"/>
        </w:rPr>
        <w:t>-7</w:t>
      </w:r>
      <w:r>
        <w:rPr>
          <w:rFonts w:hint="default" w:ascii="Times New Roman" w:hAnsi="Times New Roman" w:cs="Times New Roman"/>
          <w:color w:val="000000"/>
          <w:kern w:val="0"/>
          <w:sz w:val="24"/>
          <w:szCs w:val="24"/>
          <w:highlight w:val="none"/>
        </w:rPr>
        <w:t xml:space="preserve">cm/s，因此项目废水一旦发生渗漏对基岩裂隙水含水层构成污染的可能性小。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因此评价认为，项目一旦发生渗漏，对地下水环境构成污染的可能性小，但项目仍必须落实前文所述的防渗措施，通过上述分析可知，项目对地下水环境影响轻微。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2）项目存在灾害天气因雨水冲刷将粪便冲出场区随地表径流冲入附近农田产生污染的风险，本项目拟采取以下防范措施：项目混合池搅拌池、沼液存储池设置顶盖密封，沼气池覆膜密封，储粪池、粪便无害化处理池设置活动式顶盖并设置防雨顶棚及围堰，项目四周厂界均设置实体围墙，防止下雨形成地表径流冲刷场区将粪便和废水冲入项目周边农田造成其污染。采取上述措施后，粪便因雨水冲刷流出场区的风险极小。</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 xml:space="preserve">4.2.5.7环境风险评价结论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风险评价结论：项目的风险处于可接受的水平，风险管理措施有效可行，因而从风险角度分析本项目是可行的。</w:t>
      </w:r>
    </w:p>
    <w:p>
      <w:pPr>
        <w:rPr>
          <w:rFonts w:hint="default" w:ascii="Times New Roman" w:hAnsi="Times New Roman" w:eastAsia="黑体" w:cs="Times New Roman"/>
          <w:bCs/>
          <w:sz w:val="32"/>
          <w:szCs w:val="32"/>
          <w:highlight w:val="none"/>
        </w:rPr>
      </w:pPr>
      <w:bookmarkStart w:id="114" w:name="_Toc32511"/>
      <w:r>
        <w:rPr>
          <w:rFonts w:hint="default" w:ascii="Times New Roman" w:hAnsi="Times New Roman" w:eastAsia="黑体" w:cs="Times New Roman"/>
          <w:bCs/>
          <w:sz w:val="32"/>
          <w:szCs w:val="32"/>
          <w:highlight w:val="none"/>
        </w:rPr>
        <w:br w:type="page"/>
      </w:r>
    </w:p>
    <w:p>
      <w:pPr>
        <w:spacing w:before="120" w:beforeLines="50" w:after="120" w:afterLines="50"/>
        <w:jc w:val="left"/>
        <w:outlineLvl w:val="0"/>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5环境保护措施及其可行性论证</w:t>
      </w:r>
      <w:bookmarkEnd w:id="114"/>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15" w:name="_Toc23306"/>
      <w:r>
        <w:rPr>
          <w:rFonts w:hint="default" w:ascii="Times New Roman" w:hAnsi="Times New Roman" w:eastAsia="黑体" w:cs="Times New Roman"/>
          <w:bCs/>
          <w:sz w:val="30"/>
          <w:szCs w:val="30"/>
          <w:highlight w:val="none"/>
        </w:rPr>
        <w:t>5.1施工期环保措施</w:t>
      </w:r>
      <w:bookmarkEnd w:id="115"/>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施工期污染以施工废水、施工大气、施工噪声和施工固体废物为主，并可伴随着小部分水土流失。企业应加强施工期的污染防治措施，将施工期污染物对环境的影响降低到最小，对厂区周围环境敏感目标的影响降低到最小程度。</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5.1.1文明安全施工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1、要由具备资质证书的施工单位进行施工，并严格确保施工区域，施工边界要有围档，围档高度不得低于1.8m，做到坚固，平稳、整洁、美观；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2、施工要划定施工区，合理安排施工进度。 </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5.1.2施工期废水防治措施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工程施工期间，严禁污水乱排和污染道路、环境等。本项目施工期设置隔油池和沉砂池，施工设备清洗废水经隔油、沉砂处理后用于施工场地降尘。施工人员生活污水排入现有防渗旱厕，定期清掏。本项目施工内容较少，施工期持续时间短，施工过程中产生的废水对周围环境不会造成影响。 </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5.1.3施工期大气防治措施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为使施工过程中产生的扬尘和废气对周围环境空气的影响降低到最小程度，建议采取以下防护措施：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1、易产生扬尘的施工作业应伴随洒水，使作业面保持一定的湿度；对施工厂地内松散、干涸的表土，也应经常洒水防止粉尘、扬尘；回填土方时，在表层土质干燥时应适当洒水，防止粉尘飞扬；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2、加强回填土方堆放场的管理，要制定土方表面压实、定期喷水、覆盖等措施；不需要的泥土，建筑材料弃渣应及时运走，不宜长时间堆积；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3、运土卡车及建筑材料运输车应按规定配置防洒落装备，装载不宜过满，保证运输过程中不散落；并规划好运输车辆的运行路线与时间，尽量避免在繁华区、交通集中区和居民住宅等敏感区行驶；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4、运输车辆加蓬盖，且出装、卸场地前应先冲洗干净，减少车轮、底盘等携</w:t>
      </w:r>
      <w:r>
        <w:rPr>
          <w:rFonts w:hint="default" w:ascii="Times New Roman" w:hAnsi="Times New Roman" w:cs="Times New Roman"/>
          <w:sz w:val="24"/>
          <w:szCs w:val="24"/>
          <w:highlight w:val="none"/>
        </w:rPr>
        <w:t>带泥土散落路面；</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5、对运输过程中散落在路面上的泥土要及时清扫，以减少运行过程中的扬尘；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6、施工过程中，应严禁将废弃的建筑材料作为燃料燃烧；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7、施工结束时，应及时对施工占用厂地恢复地面道路及植被。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经上述治理后，施工期产生的粉尘、扬尘满足《大气污染物综合排放标准》（GB16297-1996）表2中无组织排放监控浓度限值，对环境空气及敏感点的影响较小。  </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5.1.4施工期噪声防治措施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噪声主要来源于施工设备和汽车运输，其控制应从规范施工秩序着手，对产生高噪声设备尽量安排在白天使用，合理安排高噪声设备远离敏感目标作业，同时夜间（22:00～6:00）不使用噪声设备。汽车晚间运输尽量用灯光示警，禁鸣喇叭。此外，尽量选用低噪声机械设备或带隔声、消声的设备，对产生噪声的施工设备加强维护和维修工作，亦对噪声有良好作用。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经上述治理后，施工期产生的噪声满足《建筑施工场界环境噪声排放标准》（GB12523-2011）中要求，对场界声环境及敏感点声环境的影响较小。 </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5.1.5施工期固体废物防治措施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为施工阶段所产生的废弃建筑碎块、渣土垃圾用于场地平整，不外排。施工人员生活垃圾定期运往垃圾中转站，由当地市政环卫部门统一处理。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经上述治理后，施工期产生的固体废物对周围环境的影响较小。 </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5.1.6生态环境保护措施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（1）施工现场周围生态环境保护措施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施工期要保护周围生态环境，不允许占用工程征地外的土地。运送物料车辆要设定固定行车路线，落实运输车辆防止扬尘、降噪措施，保护施工现场周围农田生态环境。禁止在区外随意取土，用作区内土地平整等，以保护区域土地资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加强对施工人员生态环境方面知识的教育，加强管理，增强对生态环境保护的意识和观念，并使施工人员变为自觉行为。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（2）水土流失防治措施·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施工期挖方集中堆积并苫盖，采用彩钢板临时遮挡，避免造成水土流失，施工弃土用于场地平整，平整过程中及时压实。合理安排施工时间，避免雨天施工。</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16" w:name="_Toc30978"/>
      <w:r>
        <w:rPr>
          <w:rFonts w:hint="default" w:ascii="Times New Roman" w:hAnsi="Times New Roman" w:eastAsia="黑体" w:cs="Times New Roman"/>
          <w:bCs/>
          <w:sz w:val="30"/>
          <w:szCs w:val="30"/>
          <w:highlight w:val="none"/>
        </w:rPr>
        <w:t>5.</w:t>
      </w:r>
      <w:r>
        <w:rPr>
          <w:rFonts w:hint="default" w:ascii="Times New Roman" w:hAnsi="Times New Roman" w:eastAsia="黑体" w:cs="Times New Roman"/>
          <w:bCs/>
          <w:sz w:val="30"/>
          <w:szCs w:val="30"/>
          <w:highlight w:val="none"/>
          <w:lang w:val="en-US" w:eastAsia="zh-CN"/>
        </w:rPr>
        <w:t>2</w:t>
      </w:r>
      <w:r>
        <w:rPr>
          <w:rFonts w:hint="default" w:ascii="Times New Roman" w:hAnsi="Times New Roman" w:eastAsia="黑体" w:cs="Times New Roman"/>
          <w:bCs/>
          <w:sz w:val="30"/>
          <w:szCs w:val="30"/>
          <w:highlight w:val="none"/>
        </w:rPr>
        <w:t>运营期环境保护措施论证</w:t>
      </w:r>
      <w:bookmarkEnd w:id="116"/>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5.2.1废水</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 xml:space="preserve">5.2.1.1废水产生及处理情况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项目采取雨污分流制，雨水经雨水沟排出场区。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项目产生的废水包括生活废水和养殖废水，其中生活废水为员工洗漱废水，养殖废水包括猪尿和猪舍冲洗废水，生活废水及养殖废水全部经污水沟及管道收集后进入废水厌氧消化处理装置（沼气池）处理后，沼液和沼渣全部用作农肥综合利用，无废水排放。</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5.2.1.2废水处理工艺</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项目废水处理工艺见下图。</w:t>
      </w:r>
    </w:p>
    <w:p>
      <w:pPr>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object>
          <v:shape id="_x0000_i1053" o:spt="75" type="#_x0000_t75" style="height:315pt;width:415.3pt;" o:ole="t" filled="f" o:preferrelative="t" stroked="f" coordsize="21600,21600">
            <v:path/>
            <v:fill on="f" focussize="0,0"/>
            <v:stroke on="f"/>
            <v:imagedata r:id="rId41" o:title=""/>
            <o:lock v:ext="edit" aspectratio="f"/>
            <w10:wrap type="none"/>
            <w10:anchorlock/>
          </v:shape>
          <o:OLEObject Type="Embed" ProgID="Visio.Drawing.11" ShapeID="_x0000_i1053" DrawAspect="Content" ObjectID="_1468075735" r:id="rId40">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图5-1 污水处理工艺流程图</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sz w:val="24"/>
          <w:szCs w:val="24"/>
          <w:highlight w:val="none"/>
        </w:rPr>
      </w:pPr>
    </w:p>
    <w:p>
      <w:pPr>
        <w:pStyle w:val="41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工艺流程、原理及主要参数：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养殖废水</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生活废水</w:t>
      </w:r>
      <w:r>
        <w:rPr>
          <w:rFonts w:hint="default" w:ascii="Times New Roman" w:hAnsi="Times New Roman" w:cs="Times New Roman"/>
          <w:sz w:val="24"/>
          <w:szCs w:val="24"/>
          <w:highlight w:val="none"/>
          <w:lang w:eastAsia="zh-CN"/>
        </w:rPr>
        <w:t>与经隔油后的餐饮废水，与猪尿、猪舍冲洗废水、猪粪干湿分离废液</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一并</w:t>
      </w:r>
      <w:r>
        <w:rPr>
          <w:rFonts w:hint="default" w:ascii="Times New Roman" w:hAnsi="Times New Roman" w:cs="Times New Roman"/>
          <w:sz w:val="24"/>
          <w:szCs w:val="24"/>
          <w:highlight w:val="none"/>
        </w:rPr>
        <w:t xml:space="preserve">泵入黑膜沼气池进行中温厌氧消化并产生沼气。反应后的料液经固液分离后沼液和沼渣全部用作农肥。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黑膜沼气池为地下式，采用粘土夯实打底，上铺1.5mm 厚高密度聚乙烯膜，沼气池顶部配套设置柔性双层膜干式气柜。气柜由内、外双层膜组成，两层膜之间气密，气柜设有防爆鼓风机，能够自动按要求调节气体的进出量，以保持存储器内气压的稳定，同时在恶劣天气条件下保护外层膜。本项目沼液池为全地下结构，最大埋深将近10m，可充分利用地层自保温，不再单独设置保温系统。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该工序主要工艺技术参数：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发酵料液浓度：8%；水力滞留期：15～20d；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b/>
          <w:bCs/>
          <w:sz w:val="24"/>
          <w:szCs w:val="24"/>
          <w:highlight w:val="none"/>
        </w:rPr>
      </w:pPr>
      <w:r>
        <w:rPr>
          <w:rFonts w:hint="default" w:ascii="Times New Roman" w:hAnsi="Times New Roman" w:cs="Times New Roman"/>
          <w:sz w:val="24"/>
          <w:szCs w:val="24"/>
          <w:highlight w:val="none"/>
        </w:rPr>
        <w:t>发酵温度：35℃；发酵物 pH 值：7～7.5；物料适宜碳氮比：15～25。</w:t>
      </w:r>
      <w:r>
        <w:rPr>
          <w:rFonts w:hint="default" w:ascii="Times New Roman" w:hAnsi="Times New Roman" w:cs="Times New Roman"/>
          <w:b/>
          <w:bCs/>
          <w:sz w:val="24"/>
          <w:szCs w:val="24"/>
          <w:highlight w:val="none"/>
        </w:rPr>
        <w:t xml:space="preserve"> </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5.2.1.</w:t>
      </w:r>
      <w:r>
        <w:rPr>
          <w:rFonts w:hint="default" w:ascii="Times New Roman" w:hAnsi="Times New Roman" w:eastAsia="黑体" w:cs="Times New Roman"/>
          <w:sz w:val="24"/>
          <w:szCs w:val="24"/>
          <w:highlight w:val="none"/>
          <w:lang w:val="en-US" w:eastAsia="zh-CN"/>
        </w:rPr>
        <w:t>3</w:t>
      </w:r>
      <w:r>
        <w:rPr>
          <w:rFonts w:hint="default" w:ascii="Times New Roman" w:hAnsi="Times New Roman" w:eastAsia="黑体" w:cs="Times New Roman"/>
          <w:sz w:val="24"/>
          <w:szCs w:val="24"/>
          <w:highlight w:val="none"/>
        </w:rPr>
        <w:t xml:space="preserve">可行性分析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(1)工艺技术可行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项目采用的厌氧消化技术成熟可靠；采用的设备选用国内成熟、先进的设备。在当前畜禽养殖业粪污资源化利用方面，厌氧消化沼气工程是比较有效的处理模式，采用较为广泛，而且大中型沼气工程中广泛采用黑膜沼气池厌氧处理工艺。经过厌氧发酵处理后产生的沼液富含氨基酸、氮、磷、钾、腐殖质和多种微量元素，具备有机肥料的营养特性，可作于农田作物、水稻和蔬菜等诸多农业用地的优质肥料。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项目采用的全混合式厌氧消化工艺与常规活性污泥法处理工艺相比，占地面积小，投入相对较低，产生的沼液全部作为农肥综合利用，无废水排放，符合养殖行业粪污资源化利用要求，广泛适用于大中型养殖场。类比秦皇岛市经济技术开发区绿建养殖场可知，沼气池可完全满足养殖场废水及粪便处理要求。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因此，项目污水处理工艺设备技术可行，符合项目污水处理需要。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(2)处理规模符合要求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项目沼气池容积为</w:t>
      </w:r>
      <w:r>
        <w:rPr>
          <w:rFonts w:hint="default" w:ascii="Times New Roman" w:hAnsi="Times New Roman" w:cs="Times New Roman"/>
          <w:color w:val="000000"/>
          <w:kern w:val="0"/>
          <w:sz w:val="24"/>
          <w:szCs w:val="24"/>
          <w:highlight w:val="none"/>
          <w:lang w:val="en-US" w:eastAsia="zh-CN"/>
        </w:rPr>
        <w:t>24</w:t>
      </w:r>
      <w:r>
        <w:rPr>
          <w:rFonts w:hint="default" w:ascii="Times New Roman" w:hAnsi="Times New Roman" w:cs="Times New Roman"/>
          <w:color w:val="000000"/>
          <w:kern w:val="0"/>
          <w:sz w:val="24"/>
          <w:szCs w:val="24"/>
          <w:highlight w:val="none"/>
        </w:rPr>
        <w:t>000m³，进入沼气池的废水量为夏季</w:t>
      </w:r>
      <w:r>
        <w:rPr>
          <w:rFonts w:hint="default" w:ascii="Times New Roman" w:hAnsi="Times New Roman" w:cs="Times New Roman"/>
          <w:color w:val="000000"/>
          <w:kern w:val="0"/>
          <w:sz w:val="24"/>
          <w:szCs w:val="24"/>
          <w:highlight w:val="none"/>
          <w:lang w:val="en-US" w:eastAsia="zh-CN"/>
        </w:rPr>
        <w:t>149.41</w:t>
      </w:r>
      <w:r>
        <w:rPr>
          <w:rFonts w:hint="default" w:ascii="Times New Roman" w:hAnsi="Times New Roman" w:cs="Times New Roman"/>
          <w:color w:val="000000"/>
          <w:kern w:val="0"/>
          <w:sz w:val="24"/>
          <w:szCs w:val="24"/>
          <w:highlight w:val="none"/>
        </w:rPr>
        <w:t>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/d，其他季节</w:t>
      </w:r>
      <w:r>
        <w:rPr>
          <w:rFonts w:hint="default" w:ascii="Times New Roman" w:hAnsi="Times New Roman" w:cs="Times New Roman"/>
          <w:color w:val="000000"/>
          <w:kern w:val="0"/>
          <w:sz w:val="24"/>
          <w:szCs w:val="24"/>
          <w:highlight w:val="none"/>
          <w:lang w:val="en-US" w:eastAsia="zh-CN"/>
        </w:rPr>
        <w:t>126.91</w:t>
      </w:r>
      <w:r>
        <w:rPr>
          <w:rFonts w:hint="default" w:ascii="Times New Roman" w:hAnsi="Times New Roman" w:cs="Times New Roman"/>
          <w:color w:val="000000"/>
          <w:kern w:val="0"/>
          <w:sz w:val="24"/>
          <w:szCs w:val="24"/>
          <w:highlight w:val="none"/>
        </w:rPr>
        <w:t xml:space="preserve"> 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/d（</w:t>
      </w:r>
      <w:r>
        <w:rPr>
          <w:rFonts w:hint="default" w:ascii="Times New Roman" w:hAnsi="Times New Roman" w:cs="Times New Roman"/>
          <w:color w:val="000000"/>
          <w:kern w:val="0"/>
          <w:sz w:val="24"/>
          <w:szCs w:val="24"/>
          <w:highlight w:val="none"/>
          <w:lang w:val="en-US" w:eastAsia="zh-CN"/>
        </w:rPr>
        <w:t>49067.15</w:t>
      </w:r>
      <w:r>
        <w:rPr>
          <w:rFonts w:hint="default" w:ascii="Times New Roman" w:hAnsi="Times New Roman" w:cs="Times New Roman"/>
          <w:color w:val="000000"/>
          <w:kern w:val="0"/>
          <w:sz w:val="24"/>
          <w:szCs w:val="24"/>
          <w:highlight w:val="none"/>
        </w:rPr>
        <w:t>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 xml:space="preserve">/a），进入沼气池的粪便量为9.12t/d，因此至少可容纳项目160天的废水和粪便，水力停留时间满足中温发酵至少15天的要求，污水处理设施设计处理能力满足项目废水处理要求。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(3)符合废水综合利用要求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本项目产生沼液10346.76t/a，目前，沼液在种植业中已经得到了广泛应用，主要包括沼液浸种、沼液叶面喷洒、沼液水培蔬菜、果园沼液滴灌等。本项目排放废水主要是生活污水、猪尿及清洗废水等，经沼气池厌氧处理后有毒有害物质大大减少，排放的污水中含有一定的氮磷钾等元素，对农作物的生长是有利的，将经处理后的沼液作为肥料农田施用，可以节省大量化肥，提高作物产量，还可以改善土壤的物理化学性质，提高土壤肥力，有利于农作物的生长，节约水资源，为一举两得的措施。经厌氧处理后废水排水量符合《畜禽养殖业污染物排放标准》（GB18596-2001）“集约化畜禽养殖业干清粪工艺最高允许排水量”要求，可以用于项目周边农田施肥，还田技术具有可行性。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b/>
          <w:bCs/>
          <w:color w:val="000000"/>
          <w:kern w:val="0"/>
          <w:sz w:val="24"/>
          <w:szCs w:val="24"/>
          <w:highlight w:val="none"/>
        </w:rPr>
        <w:t>根据河北省地方标准《用水定额》中主要玉米作物灌溉净定额的规定，项目所在地区属于燕山地区，灌溉玉米地面灌溉的用水定额为1012~1472m</w:t>
      </w:r>
      <w:r>
        <w:rPr>
          <w:rFonts w:hint="default" w:ascii="Times New Roman" w:hAnsi="Times New Roman" w:cs="Times New Roman"/>
          <w:b/>
          <w:bCs/>
          <w:color w:val="000000"/>
          <w:kern w:val="0"/>
          <w:sz w:val="24"/>
          <w:szCs w:val="24"/>
          <w:highlight w:val="none"/>
          <w:vertAlign w:val="superscript"/>
        </w:rPr>
        <w:t>3</w:t>
      </w:r>
      <w:r>
        <w:rPr>
          <w:rFonts w:hint="default" w:ascii="Times New Roman" w:hAnsi="Times New Roman" w:cs="Times New Roman"/>
          <w:b/>
          <w:bCs/>
          <w:color w:val="000000"/>
          <w:kern w:val="0"/>
          <w:sz w:val="24"/>
          <w:szCs w:val="24"/>
          <w:highlight w:val="none"/>
        </w:rPr>
        <w:t>/hm</w:t>
      </w:r>
      <w:r>
        <w:rPr>
          <w:rFonts w:hint="default" w:ascii="Times New Roman" w:hAnsi="Times New Roman" w:cs="Times New Roman"/>
          <w:b/>
          <w:bCs/>
          <w:color w:val="000000"/>
          <w:kern w:val="0"/>
          <w:sz w:val="24"/>
          <w:szCs w:val="24"/>
          <w:highlight w:val="none"/>
          <w:vertAlign w:val="superscript"/>
        </w:rPr>
        <w:t>2</w:t>
      </w:r>
      <w:r>
        <w:rPr>
          <w:rFonts w:hint="default" w:ascii="Times New Roman" w:hAnsi="Times New Roman" w:cs="Times New Roman"/>
          <w:b/>
          <w:bCs/>
          <w:color w:val="000000"/>
          <w:kern w:val="0"/>
          <w:sz w:val="24"/>
          <w:szCs w:val="24"/>
          <w:highlight w:val="none"/>
        </w:rPr>
        <w:t>，取平均值1242m</w:t>
      </w:r>
      <w:r>
        <w:rPr>
          <w:rFonts w:hint="default" w:ascii="Times New Roman" w:hAnsi="Times New Roman" w:cs="Times New Roman"/>
          <w:b/>
          <w:bCs/>
          <w:color w:val="000000"/>
          <w:kern w:val="0"/>
          <w:sz w:val="24"/>
          <w:szCs w:val="24"/>
          <w:highlight w:val="none"/>
          <w:vertAlign w:val="superscript"/>
        </w:rPr>
        <w:t>3</w:t>
      </w:r>
      <w:r>
        <w:rPr>
          <w:rFonts w:hint="default" w:ascii="Times New Roman" w:hAnsi="Times New Roman" w:cs="Times New Roman"/>
          <w:b/>
          <w:bCs/>
          <w:color w:val="000000"/>
          <w:kern w:val="0"/>
          <w:sz w:val="24"/>
          <w:szCs w:val="24"/>
          <w:highlight w:val="none"/>
        </w:rPr>
        <w:t>/hm</w:t>
      </w:r>
      <w:r>
        <w:rPr>
          <w:rFonts w:hint="default" w:ascii="Times New Roman" w:hAnsi="Times New Roman" w:cs="Times New Roman"/>
          <w:b/>
          <w:bCs/>
          <w:color w:val="000000"/>
          <w:kern w:val="0"/>
          <w:sz w:val="24"/>
          <w:szCs w:val="24"/>
          <w:highlight w:val="none"/>
          <w:vertAlign w:val="superscript"/>
        </w:rPr>
        <w:t>2</w:t>
      </w:r>
      <w:r>
        <w:rPr>
          <w:rFonts w:hint="default" w:ascii="Times New Roman" w:hAnsi="Times New Roman" w:cs="Times New Roman"/>
          <w:b/>
          <w:bCs/>
          <w:color w:val="000000"/>
          <w:kern w:val="0"/>
          <w:sz w:val="24"/>
          <w:szCs w:val="24"/>
          <w:highlight w:val="none"/>
        </w:rPr>
        <w:t>。本项目年</w:t>
      </w:r>
      <w:r>
        <w:rPr>
          <w:rFonts w:hint="eastAsia" w:ascii="Times New Roman" w:hAnsi="Times New Roman" w:cs="Times New Roman"/>
          <w:b/>
          <w:bCs/>
          <w:color w:val="000000"/>
          <w:kern w:val="0"/>
          <w:sz w:val="24"/>
          <w:szCs w:val="24"/>
          <w:highlight w:val="none"/>
          <w:lang w:val="en-US" w:eastAsia="zh-CN"/>
        </w:rPr>
        <w:t>废水产生量</w:t>
      </w:r>
      <w:r>
        <w:rPr>
          <w:rFonts w:hint="default" w:ascii="Times New Roman" w:hAnsi="Times New Roman" w:cs="Times New Roman"/>
          <w:b/>
          <w:bCs/>
          <w:color w:val="000000"/>
          <w:kern w:val="0"/>
          <w:sz w:val="24"/>
          <w:szCs w:val="24"/>
          <w:highlight w:val="none"/>
        </w:rPr>
        <w:t>为10346.76</w:t>
      </w:r>
      <w:r>
        <w:rPr>
          <w:rFonts w:hint="eastAsia" w:ascii="Times New Roman" w:hAnsi="Times New Roman" w:cs="Times New Roman"/>
          <w:b/>
          <w:bCs/>
          <w:color w:val="000000"/>
          <w:kern w:val="0"/>
          <w:sz w:val="24"/>
          <w:szCs w:val="24"/>
          <w:highlight w:val="none"/>
          <w:lang w:val="en-US" w:eastAsia="zh-CN"/>
        </w:rPr>
        <w:t>/</w:t>
      </w:r>
      <w:r>
        <w:rPr>
          <w:rFonts w:hint="default" w:ascii="Times New Roman" w:hAnsi="Times New Roman" w:cs="Times New Roman"/>
          <w:szCs w:val="21"/>
          <w:highlight w:val="none"/>
          <w:lang w:val="en-US" w:eastAsia="zh-CN"/>
        </w:rPr>
        <w:t>49067.15</w:t>
      </w:r>
      <w:r>
        <w:rPr>
          <w:rFonts w:hint="default" w:ascii="Times New Roman" w:hAnsi="Times New Roman" w:cs="Times New Roman"/>
          <w:b/>
          <w:bCs/>
          <w:color w:val="000000"/>
          <w:kern w:val="0"/>
          <w:sz w:val="24"/>
          <w:szCs w:val="24"/>
          <w:highlight w:val="none"/>
        </w:rPr>
        <w:t>m</w:t>
      </w:r>
      <w:r>
        <w:rPr>
          <w:rFonts w:hint="default" w:ascii="Times New Roman" w:hAnsi="Times New Roman" w:cs="Times New Roman"/>
          <w:b/>
          <w:bCs/>
          <w:color w:val="000000"/>
          <w:kern w:val="0"/>
          <w:sz w:val="24"/>
          <w:szCs w:val="24"/>
          <w:highlight w:val="none"/>
          <w:vertAlign w:val="superscript"/>
        </w:rPr>
        <w:t>3</w:t>
      </w:r>
      <w:r>
        <w:rPr>
          <w:rFonts w:hint="default" w:ascii="Times New Roman" w:hAnsi="Times New Roman" w:cs="Times New Roman"/>
          <w:b/>
          <w:bCs/>
          <w:color w:val="000000"/>
          <w:kern w:val="0"/>
          <w:sz w:val="24"/>
          <w:szCs w:val="24"/>
          <w:highlight w:val="none"/>
        </w:rPr>
        <w:t>/a，因此，经计算可知，本项目排水可灌溉农田的面积为</w:t>
      </w:r>
      <w:r>
        <w:rPr>
          <w:rFonts w:hint="eastAsia" w:ascii="Times New Roman" w:hAnsi="Times New Roman" w:cs="Times New Roman"/>
          <w:b/>
          <w:bCs/>
          <w:color w:val="000000"/>
          <w:kern w:val="0"/>
          <w:sz w:val="24"/>
          <w:szCs w:val="24"/>
          <w:highlight w:val="none"/>
          <w:lang w:val="en-US" w:eastAsia="zh-CN"/>
        </w:rPr>
        <w:t>39.5</w:t>
      </w:r>
      <w:r>
        <w:rPr>
          <w:rFonts w:hint="default" w:ascii="Times New Roman" w:hAnsi="Times New Roman" w:cs="Times New Roman"/>
          <w:b/>
          <w:bCs/>
          <w:color w:val="000000"/>
          <w:kern w:val="0"/>
          <w:sz w:val="24"/>
          <w:szCs w:val="24"/>
          <w:highlight w:val="none"/>
        </w:rPr>
        <w:t>hm</w:t>
      </w:r>
      <w:r>
        <w:rPr>
          <w:rFonts w:hint="default" w:ascii="Times New Roman" w:hAnsi="Times New Roman" w:cs="Times New Roman"/>
          <w:b/>
          <w:bCs/>
          <w:color w:val="000000"/>
          <w:kern w:val="0"/>
          <w:sz w:val="24"/>
          <w:szCs w:val="24"/>
          <w:highlight w:val="none"/>
          <w:vertAlign w:val="superscript"/>
        </w:rPr>
        <w:t>2</w:t>
      </w:r>
      <w:r>
        <w:rPr>
          <w:rFonts w:hint="default" w:ascii="Times New Roman" w:hAnsi="Times New Roman" w:cs="Times New Roman"/>
          <w:b/>
          <w:bCs/>
          <w:color w:val="000000"/>
          <w:kern w:val="0"/>
          <w:sz w:val="24"/>
          <w:szCs w:val="24"/>
          <w:highlight w:val="none"/>
        </w:rPr>
        <w:t>/a（</w:t>
      </w:r>
      <w:r>
        <w:rPr>
          <w:rFonts w:hint="eastAsia" w:ascii="Times New Roman" w:hAnsi="Times New Roman" w:cs="Times New Roman"/>
          <w:b/>
          <w:bCs/>
          <w:color w:val="000000"/>
          <w:kern w:val="0"/>
          <w:sz w:val="24"/>
          <w:szCs w:val="24"/>
          <w:highlight w:val="none"/>
          <w:lang w:val="en-US" w:eastAsia="zh-CN"/>
        </w:rPr>
        <w:t>592</w:t>
      </w:r>
      <w:r>
        <w:rPr>
          <w:rFonts w:hint="default" w:ascii="Times New Roman" w:hAnsi="Times New Roman" w:cs="Times New Roman"/>
          <w:b/>
          <w:bCs/>
          <w:color w:val="000000"/>
          <w:kern w:val="0"/>
          <w:sz w:val="24"/>
          <w:szCs w:val="24"/>
          <w:highlight w:val="none"/>
        </w:rPr>
        <w:t>亩），本项目从环境保护角度出发，结合当地农业生产实际，已与大王屯村签订协议，协议提供1000亩），将接收本项目经厌氧处理后的废水，灌溉周围农田，项目区周围土地广阔，受纳土地容量足够，可满足8年左右的轮作时间。周围农田完全可消纳项目所排废水。</w:t>
      </w:r>
      <w:r>
        <w:rPr>
          <w:rFonts w:hint="default" w:ascii="Times New Roman" w:hAnsi="Times New Roman" w:cs="Times New Roman"/>
          <w:color w:val="000000"/>
          <w:kern w:val="0"/>
          <w:sz w:val="24"/>
          <w:szCs w:val="24"/>
          <w:highlight w:val="none"/>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沼液、沼渣还田具体使用方法及要求如下：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① 沼渣必须经发酵腐熟后才能施用，不可直接用于农业生产；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② 由于土地利用存在季节性，故本项目设有1个容积6000m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 xml:space="preserve">的沼液贮存池，可贮存176.84d（＞150d非追肥灌溉期）沼液。沼液于每年4月耕种时节和11月土地翻整时节，由建设单位用罐车运至附近施肥农田施用；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③ 本项目沼渣产生量约为2586.69t/a，由堆肥车间堆肥腐熟，直接外售当地农户；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③粪肥施用后，应立即混入土壤。畜禽粪肥属迟效型有机肥，应作为农田基肥翻耕入土，谨防撒施在土壤表面，以免污染水体；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④合理安排施用时间，避免雨天施用。</w:t>
      </w:r>
    </w:p>
    <w:p>
      <w:pPr>
        <w:spacing w:before="120" w:beforeLines="50" w:after="120" w:afterLines="50"/>
        <w:ind w:firstLine="480" w:firstLineChars="200"/>
        <w:jc w:val="left"/>
        <w:outlineLvl w:val="3"/>
        <w:rPr>
          <w:rFonts w:hint="default" w:ascii="Times New Roman" w:hAnsi="Times New Roman" w:eastAsia="黑体" w:cs="Times New Roman"/>
          <w:sz w:val="24"/>
          <w:szCs w:val="24"/>
          <w:highlight w:val="none"/>
        </w:rPr>
      </w:pPr>
      <w:r>
        <w:rPr>
          <w:rFonts w:hint="eastAsia" w:ascii="Times New Roman" w:hAnsi="Times New Roman" w:eastAsia="黑体" w:cs="Times New Roman"/>
          <w:sz w:val="24"/>
          <w:szCs w:val="24"/>
          <w:highlight w:val="none"/>
          <w:lang w:val="en-US" w:eastAsia="zh-CN"/>
        </w:rPr>
        <w:t>5</w:t>
      </w:r>
      <w:r>
        <w:rPr>
          <w:rFonts w:hint="default" w:ascii="Times New Roman" w:hAnsi="Times New Roman" w:eastAsia="黑体" w:cs="Times New Roman"/>
          <w:sz w:val="24"/>
          <w:szCs w:val="24"/>
          <w:highlight w:val="none"/>
        </w:rPr>
        <w:t>.2.1.4非施肥期废水处理可行性分析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由于本项目地处我国北方寒冷地区，冬季气温低，不适宜施肥。因此，本项目经处理后的沼液冬季储存在沼液贮存池内，待到施肥期进行处理消纳，夏季与农业种植施肥综合利用相结合方式进行运营，在具有土地消纳容量条件下，用于农田施肥，可有效改善农田土壤肥力，有助于饲草生长，提高单位土地生物量，对改善区域生态环境将产生积极影响。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根据北方环境特点，本项目在厂区设有1个沼液贮存池，容积可达6000m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沼液贮存池对污水有大于176.84d的调节时间，根据《畜禽养殖业污染防治技术规范》（HJ/T81-2001）中规定：“储水的总容积不得低于当地灌溉用水的最大间隔时间内畜禽养殖场排放污水的总量”，本项目沼液排放总量为10346.76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/a，非施肥期排入沼液贮存池的废水量为4071.6m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a，因此沼液贮存池足以容纳非施肥期排放的废水量。沼液贮存池防渗材料采用2mm厚人工防渗材料进行防渗，防止对地下水造成污染，并设置警示标志，警示工作人员不要在沼液贮存池旁边活动，防止意外发生。同时，严格按照北方施工特点施工，选用防冻胀效果较好的混凝土材料，合理确定基础深度，在基础底部设置砂垫层，池体和池壁基础外侧使用混砂材料，加强自身结构整体性及防水性，不留施工缝，采用以上措施可有效防止冬季胀冻现象发生。此外，沼液贮存池四周设置0.5m高围堰，防止夏季雨水汇入，导致污水溢流。</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5.2.2废气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（一）恶臭气体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项目加强圈舍通风，尿液直接通过圈舍下污水管道排入污水处理系统，场内排水沟加钢筋砼活动顶盖密封；采用干清粪工艺，及时清理猪舍粪便，至少每天清理两次；每天清洗圈舍，保持圈舍的清洁；无害化处理池、储粪池加活动顶盖密封，混合搅拌池和沼液存储池加盖密封，沼气池覆膜密封，圈舍、无害化处理池、储粪池等定期喷洒生物除臭剂（EM抑菌液）；在场区周围、无害化处理池、储粪池、废水处理装置周围建设绿化带，种植叶片宽大稠密的树种，利用绿色植物吸收恶臭物质，减轻臭气的影响。采取以上措施后，可有效的减少恶臭气体的产生量，经预测项目厂界恶臭污染物浓度贡献值均低于《恶臭污染物排放标准》（GB14554-93）表1恶臭污染物厂界标准值中二级新改扩建标准要求，厂界臭气浓度满足《畜禽养殖业污染物排放标准》（GB18596－2001）表7集约化畜禽养殖业恶臭污染物排放标准要求，敏感点处氨、硫化氢预测浓度均满足《工业企业设计卫生标准》（TJ36-1979）中“居住区大气中有害物质的最高允许浓度”，措施可行。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EM菌生物除臭剂是由放线菌、乳酸菌、芽孢杆菌、光合细菌、酵母菌等单一菌种经特殊工艺研制而成的高效复合微生物菌液，为纯生物制剂，安全无害。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其作用原理为通过微生物的生理代谢将具有臭味的物质加以转化，并促进有机污染物分解，抑制病原菌，消除臭味。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（二）沼气净化利用及沼气燃烧废气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①沼气净化及利用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沼气是高湿度的混合气体。沼气自沼气池进入管道时，温度逐渐降低，管道中会产生大量含杂质的冷凝水。如果不从系统中除去，容易堵塞、破坏管道设备。同时，由于沼气的成分中含有硫化氢，溶于水形成酸液后会腐蚀管道，且燃烧后会产生大量二氧化硫。因此，沼气利用前需要净化。净化装置包括脱水罐和脱硫罐。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沼气管道最靠近沼气池的位置，沼气温降值最大，产生的冷凝水最多，因此在此处设置两台脱水罐，去除沼气中的冷凝水。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以粪污为原料厌氧发酵后产生的沼气中 H</w:t>
      </w:r>
      <w:r>
        <w:rPr>
          <w:rFonts w:hint="default" w:ascii="Times New Roman" w:hAnsi="Times New Roman" w:cs="Times New Roman"/>
          <w:color w:val="000000"/>
          <w:kern w:val="0"/>
          <w:sz w:val="24"/>
          <w:szCs w:val="24"/>
          <w:highlight w:val="none"/>
          <w:vertAlign w:val="subscript"/>
        </w:rPr>
        <w:t>2</w:t>
      </w:r>
      <w:r>
        <w:rPr>
          <w:rFonts w:hint="default" w:ascii="Times New Roman" w:hAnsi="Times New Roman" w:cs="Times New Roman"/>
          <w:color w:val="000000"/>
          <w:kern w:val="0"/>
          <w:sz w:val="24"/>
          <w:szCs w:val="24"/>
          <w:highlight w:val="none"/>
        </w:rPr>
        <w:t>S 约占总体积的 0.1%～3%。一般沼气利用设备要求沼气中的 H</w:t>
      </w:r>
      <w:r>
        <w:rPr>
          <w:rFonts w:hint="default" w:ascii="Times New Roman" w:hAnsi="Times New Roman" w:cs="Times New Roman"/>
          <w:color w:val="000000"/>
          <w:kern w:val="0"/>
          <w:sz w:val="24"/>
          <w:szCs w:val="24"/>
          <w:highlight w:val="none"/>
          <w:vertAlign w:val="subscript"/>
        </w:rPr>
        <w:t>2</w:t>
      </w:r>
      <w:r>
        <w:rPr>
          <w:rFonts w:hint="default" w:ascii="Times New Roman" w:hAnsi="Times New Roman" w:cs="Times New Roman"/>
          <w:color w:val="000000"/>
          <w:kern w:val="0"/>
          <w:sz w:val="24"/>
          <w:szCs w:val="24"/>
          <w:highlight w:val="none"/>
        </w:rPr>
        <w:t>S 含量低于 20mg/m</w:t>
      </w:r>
      <w:r>
        <w:rPr>
          <w:rFonts w:hint="default" w:ascii="Times New Roman" w:hAnsi="Times New Roman" w:cs="Times New Roman"/>
          <w:color w:val="000000"/>
          <w:kern w:val="0"/>
          <w:sz w:val="24"/>
          <w:szCs w:val="24"/>
          <w:highlight w:val="none"/>
          <w:vertAlign w:val="superscript"/>
        </w:rPr>
        <w:t>3</w:t>
      </w:r>
      <w:r>
        <w:rPr>
          <w:rFonts w:hint="default" w:ascii="Times New Roman" w:hAnsi="Times New Roman" w:cs="Times New Roman"/>
          <w:color w:val="000000"/>
          <w:kern w:val="0"/>
          <w:sz w:val="24"/>
          <w:szCs w:val="24"/>
          <w:highlight w:val="none"/>
        </w:rPr>
        <w:t>，因此沼气利用系统中必须设置脱硫装置，位于脱水罐后。本项目采用干式脱硫工艺，干式脱硫工艺有氧化铁法和活性炭法，氧化铁法脱硫效果和经济性都较好，得到普遍采用，本项目采用活性氧化铁吸附柱脱硫除臭。脱硫剂装置为塔式，塔内装有中央为圆孔的吊筐，沼气由塔底进入中心通道，并均匀分别进入各个吊筐中，通过脱硫剂层后进入吊筐与塔壁形成的空隙内，由塔侧壁排出。氧化铁脱硫时，沼气中的 H</w:t>
      </w:r>
      <w:r>
        <w:rPr>
          <w:rFonts w:hint="default" w:ascii="Times New Roman" w:hAnsi="Times New Roman" w:cs="Times New Roman"/>
          <w:color w:val="000000"/>
          <w:kern w:val="0"/>
          <w:sz w:val="24"/>
          <w:szCs w:val="24"/>
          <w:highlight w:val="none"/>
          <w:vertAlign w:val="subscript"/>
        </w:rPr>
        <w:t>2</w:t>
      </w:r>
      <w:r>
        <w:rPr>
          <w:rFonts w:hint="default" w:ascii="Times New Roman" w:hAnsi="Times New Roman" w:cs="Times New Roman"/>
          <w:color w:val="000000"/>
          <w:kern w:val="0"/>
          <w:sz w:val="24"/>
          <w:szCs w:val="24"/>
          <w:highlight w:val="none"/>
        </w:rPr>
        <w:t xml:space="preserve">S在固体氧化铁的表面进行反应，氧化铁吸收硫化氢的反应速度视其氧化铁表面的接触程度变化，本项目氧化铁间填充木屑以增加脱硫剂的孔隙率。当脱硫剂中硫化铁含量达到25%时，脱硫效果变差，脱硫剂需要再生。本项目脱硫效率达到99%。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经过净化后的沼气储存于贮气柜内，沼气全部用于沼气发电。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 xml:space="preserve">②沼气燃烧废气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本项目根据 NY/T 1222-2006《规模化畜禽养殖场沼气工程设计规范》，产生的沼气采取二级脱硫法，脱硫效率达到 99%以上。沼气脱硫后硫化氢含量为 20mg/m3，浓度较低，可有效降低燃烧后二氧化硫产生量。沼气发电机燃烧废气经15m高排气筒排放。废气中颗粒物、二氧化硫、氮氧化物排放浓度及排放速率均满足《大气污染物综合排放标准》（GB16297-1996）表2颗粒物、二氧化硫、氮氧化物二级排放限值要求，对环境影响较小，措施可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lang w:eastAsia="zh-CN"/>
        </w:rPr>
      </w:pPr>
      <w:r>
        <w:rPr>
          <w:rFonts w:hint="default" w:ascii="Times New Roman" w:hAnsi="Times New Roman" w:cs="Times New Roman"/>
          <w:color w:val="000000"/>
          <w:kern w:val="0"/>
          <w:sz w:val="24"/>
          <w:szCs w:val="24"/>
          <w:highlight w:val="none"/>
        </w:rPr>
        <w:t>③</w:t>
      </w:r>
      <w:r>
        <w:rPr>
          <w:rFonts w:hint="eastAsia" w:ascii="Times New Roman" w:hAnsi="Times New Roman" w:cs="Times New Roman"/>
          <w:color w:val="000000"/>
          <w:kern w:val="0"/>
          <w:sz w:val="24"/>
          <w:szCs w:val="24"/>
          <w:highlight w:val="none"/>
          <w:lang w:val="en-US" w:eastAsia="zh-CN"/>
        </w:rPr>
        <w:t>沼气</w:t>
      </w:r>
      <w:r>
        <w:rPr>
          <w:rFonts w:hint="default" w:ascii="Times New Roman" w:hAnsi="Times New Roman" w:cs="Times New Roman"/>
          <w:color w:val="000000"/>
          <w:kern w:val="0"/>
          <w:sz w:val="24"/>
          <w:szCs w:val="24"/>
          <w:highlight w:val="none"/>
          <w:lang w:eastAsia="zh-CN"/>
        </w:rPr>
        <w:t>热水炉燃烧废气</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lang w:val="en-US" w:eastAsia="zh-CN"/>
        </w:rPr>
      </w:pPr>
      <w:r>
        <w:rPr>
          <w:rFonts w:hint="eastAsia" w:ascii="Times New Roman" w:hAnsi="Times New Roman" w:cs="Times New Roman"/>
          <w:color w:val="000000"/>
          <w:kern w:val="0"/>
          <w:sz w:val="24"/>
          <w:szCs w:val="24"/>
          <w:highlight w:val="none"/>
          <w:lang w:eastAsia="zh-CN"/>
        </w:rPr>
        <w:t>沼气</w:t>
      </w:r>
      <w:r>
        <w:rPr>
          <w:rFonts w:hint="default" w:ascii="Times New Roman" w:hAnsi="Times New Roman" w:cs="Times New Roman"/>
          <w:color w:val="000000"/>
          <w:kern w:val="0"/>
          <w:sz w:val="24"/>
          <w:szCs w:val="24"/>
          <w:highlight w:val="none"/>
          <w:lang w:eastAsia="zh-CN"/>
        </w:rPr>
        <w:t>属于洁净燃料，其燃烧过程污染物以颗粒物、二氧化硫和氮氧化物位置，其中因项目使用</w:t>
      </w:r>
      <w:r>
        <w:rPr>
          <w:rFonts w:hint="eastAsia" w:ascii="Times New Roman" w:hAnsi="Times New Roman" w:cs="Times New Roman"/>
          <w:color w:val="000000"/>
          <w:kern w:val="0"/>
          <w:sz w:val="24"/>
          <w:szCs w:val="24"/>
          <w:highlight w:val="none"/>
          <w:lang w:eastAsia="zh-CN"/>
        </w:rPr>
        <w:t>沼气</w:t>
      </w:r>
      <w:r>
        <w:rPr>
          <w:rFonts w:hint="default" w:ascii="Times New Roman" w:hAnsi="Times New Roman" w:cs="Times New Roman"/>
          <w:color w:val="000000"/>
          <w:kern w:val="0"/>
          <w:sz w:val="24"/>
          <w:szCs w:val="24"/>
          <w:highlight w:val="none"/>
          <w:lang w:eastAsia="zh-CN"/>
        </w:rPr>
        <w:t>中几乎不含</w:t>
      </w:r>
      <w:r>
        <w:rPr>
          <w:rFonts w:hint="default" w:ascii="Times New Roman" w:hAnsi="Times New Roman" w:cs="Times New Roman"/>
          <w:color w:val="000000"/>
          <w:kern w:val="0"/>
          <w:sz w:val="24"/>
          <w:szCs w:val="24"/>
          <w:highlight w:val="none"/>
          <w:lang w:val="en-US" w:eastAsia="zh-CN"/>
        </w:rPr>
        <w:t>S，所以二氧化硫无需设置治理设施。本次针对</w:t>
      </w:r>
      <w:r>
        <w:rPr>
          <w:rFonts w:hint="eastAsia" w:ascii="Times New Roman" w:hAnsi="Times New Roman" w:cs="Times New Roman"/>
          <w:color w:val="000000"/>
          <w:kern w:val="0"/>
          <w:sz w:val="24"/>
          <w:szCs w:val="24"/>
          <w:highlight w:val="none"/>
          <w:lang w:val="en-US" w:eastAsia="zh-CN"/>
        </w:rPr>
        <w:t>沼气</w:t>
      </w:r>
      <w:r>
        <w:rPr>
          <w:rFonts w:hint="default" w:ascii="Times New Roman" w:hAnsi="Times New Roman" w:cs="Times New Roman"/>
          <w:color w:val="000000"/>
          <w:kern w:val="0"/>
          <w:sz w:val="24"/>
          <w:szCs w:val="24"/>
          <w:highlight w:val="none"/>
          <w:lang w:val="en-US" w:eastAsia="zh-CN"/>
        </w:rPr>
        <w:t>燃烧过程产生的相对高的热力型氮氧化物，计划设置超低氮燃烧器进行控制，以达到从源头降低氮氧化物产生量的效果。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lang w:val="en-US" w:eastAsia="zh-CN"/>
        </w:rPr>
      </w:pPr>
      <w:r>
        <w:rPr>
          <w:rFonts w:hint="default" w:ascii="Times New Roman" w:hAnsi="Times New Roman" w:cs="Times New Roman"/>
          <w:color w:val="000000"/>
          <w:kern w:val="0"/>
          <w:sz w:val="24"/>
          <w:szCs w:val="24"/>
          <w:highlight w:val="none"/>
          <w:lang w:val="en-US" w:eastAsia="zh-CN"/>
        </w:rPr>
        <w:t>超低氮燃烧器的推广至今已经有几年的实际应用经验，根据同类措施的实际检测结果可知，可以完全满足现行环保要求，稳定、可行。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lang w:eastAsia="zh-CN"/>
        </w:rPr>
      </w:pPr>
      <w:r>
        <w:rPr>
          <w:rFonts w:hint="default" w:ascii="Times New Roman" w:hAnsi="Times New Roman" w:cs="Times New Roman"/>
          <w:color w:val="000000"/>
          <w:kern w:val="0"/>
          <w:sz w:val="24"/>
          <w:szCs w:val="24"/>
          <w:highlight w:val="none"/>
          <w:lang w:eastAsia="zh-CN"/>
        </w:rPr>
        <w:t>④饲料加工颗粒物废气</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lang w:eastAsia="zh-CN"/>
        </w:rPr>
      </w:pPr>
      <w:r>
        <w:rPr>
          <w:rFonts w:hint="default" w:ascii="Times New Roman" w:hAnsi="Times New Roman" w:cs="Times New Roman"/>
          <w:color w:val="000000"/>
          <w:kern w:val="0"/>
          <w:sz w:val="24"/>
          <w:szCs w:val="24"/>
          <w:highlight w:val="none"/>
          <w:lang w:eastAsia="zh-CN"/>
        </w:rPr>
        <w:t>饲料加工主要为玉米的破碎、筛分，以及与其他麦麸、稻糠、豆粕等的混合，这个过程产生的颗粒物主要以谷物皮及谷物上面附着的尘土颗粒。项目在密闭车间内作业，可以有效降低无组织逸散，同时设置集气罩，对破碎、筛分和落料点粉尘进行收集后，经布袋除尘器处理后排放。</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lang w:val="en-US" w:eastAsia="zh-CN"/>
        </w:rPr>
      </w:pPr>
      <w:r>
        <w:rPr>
          <w:rFonts w:hint="default" w:ascii="Times New Roman" w:hAnsi="Times New Roman" w:cs="Times New Roman"/>
          <w:color w:val="000000"/>
          <w:kern w:val="0"/>
          <w:sz w:val="24"/>
          <w:szCs w:val="24"/>
          <w:highlight w:val="none"/>
          <w:lang w:eastAsia="zh-CN"/>
        </w:rPr>
        <w:t>根据类比数据，项目颗粒物污染物产生速率约为</w:t>
      </w:r>
      <w:r>
        <w:rPr>
          <w:rFonts w:hint="default" w:ascii="Times New Roman" w:hAnsi="Times New Roman" w:cs="Times New Roman"/>
          <w:color w:val="000000"/>
          <w:kern w:val="0"/>
          <w:sz w:val="24"/>
          <w:szCs w:val="24"/>
          <w:highlight w:val="none"/>
          <w:lang w:val="en-US" w:eastAsia="zh-CN"/>
        </w:rPr>
        <w:t>0.55kg/h，其中在密闭车间内设置集气罩，在尺寸及风量合理的情况下，完全可以得到95%的收集效果。对有组织收集的颗粒物废气经过布袋除尘器处理后排放。</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lang w:val="en-US" w:eastAsia="zh-CN"/>
        </w:rPr>
      </w:pPr>
      <w:r>
        <w:rPr>
          <w:rFonts w:hint="default" w:ascii="Times New Roman" w:hAnsi="Times New Roman" w:cs="Times New Roman"/>
          <w:color w:val="000000"/>
          <w:kern w:val="0"/>
          <w:sz w:val="24"/>
          <w:szCs w:val="24"/>
          <w:highlight w:val="none"/>
          <w:lang w:val="en-US" w:eastAsia="zh-CN"/>
        </w:rPr>
        <w:t>布袋除尘器是目前市场上对直径相对较大的颗粒物废气进行处理的一种高效除尘器，一般去除率大于99%，可满足达标排放；同时因为收集的粉尘大多是谷物碎屑，还有回收利用价值，而布袋除尘同时具有可回收的功能，所以选择</w:t>
      </w:r>
      <w:r>
        <w:rPr>
          <w:rFonts w:hint="eastAsia" w:ascii="Times New Roman" w:hAnsi="Times New Roman" w:cs="Times New Roman"/>
          <w:color w:val="000000"/>
          <w:kern w:val="0"/>
          <w:sz w:val="24"/>
          <w:szCs w:val="24"/>
          <w:highlight w:val="none"/>
          <w:lang w:val="en-US" w:eastAsia="zh-CN"/>
        </w:rPr>
        <w:t>布袋</w:t>
      </w:r>
      <w:r>
        <w:rPr>
          <w:rFonts w:hint="default" w:ascii="Times New Roman" w:hAnsi="Times New Roman" w:cs="Times New Roman"/>
          <w:color w:val="000000"/>
          <w:kern w:val="0"/>
          <w:sz w:val="24"/>
          <w:szCs w:val="24"/>
          <w:highlight w:val="none"/>
          <w:lang w:val="en-US" w:eastAsia="zh-CN"/>
        </w:rPr>
        <w:t>除尘器作为本项目饲料加工废气的主要处理设施，可行。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采取以上措施后，可有效的减少恶臭气体的产生量，经预测项目厂界恶臭污染物浓度贡献值均低于《恶臭污染物排放标准》（GB14554-93）表1恶臭污染物厂界标准值中二级新改扩建标准要求，厂界臭气浓度满足《畜禽养殖业污染物排放标准》（GB18596－2001）表7集约化畜禽养殖业恶臭污染物排放标准要求</w:t>
      </w:r>
      <w:r>
        <w:rPr>
          <w:rFonts w:hint="default" w:ascii="Times New Roman" w:hAnsi="Times New Roman" w:cs="Times New Roman"/>
          <w:color w:val="000000"/>
          <w:kern w:val="0"/>
          <w:sz w:val="24"/>
          <w:szCs w:val="24"/>
          <w:highlight w:val="none"/>
          <w:lang w:eastAsia="zh-CN"/>
        </w:rPr>
        <w:t>；沼气发电机燃烧废气、</w:t>
      </w:r>
      <w:r>
        <w:rPr>
          <w:rFonts w:hint="eastAsia" w:ascii="Times New Roman" w:hAnsi="Times New Roman" w:cs="Times New Roman"/>
          <w:color w:val="000000"/>
          <w:kern w:val="0"/>
          <w:sz w:val="24"/>
          <w:szCs w:val="24"/>
          <w:highlight w:val="none"/>
          <w:lang w:eastAsia="zh-CN"/>
        </w:rPr>
        <w:t>沼气</w:t>
      </w:r>
      <w:r>
        <w:rPr>
          <w:rFonts w:hint="default" w:ascii="Times New Roman" w:hAnsi="Times New Roman" w:cs="Times New Roman"/>
          <w:color w:val="000000"/>
          <w:kern w:val="0"/>
          <w:sz w:val="24"/>
          <w:szCs w:val="24"/>
          <w:highlight w:val="none"/>
          <w:lang w:eastAsia="zh-CN"/>
        </w:rPr>
        <w:t>热水锅炉燃烧废气和饲料加工废气排放也可以满足相应标准要求</w:t>
      </w:r>
      <w:r>
        <w:rPr>
          <w:rFonts w:hint="default" w:ascii="Times New Roman" w:hAnsi="Times New Roman" w:cs="Times New Roman"/>
          <w:color w:val="000000"/>
          <w:kern w:val="0"/>
          <w:sz w:val="24"/>
          <w:szCs w:val="24"/>
          <w:highlight w:val="none"/>
        </w:rPr>
        <w:t>。</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 xml:space="preserve">5.2.3固体废物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本项目产生的固体废物包括：猪粪、病死猪、职工日常生活产生的生活垃圾、废脱硫剂及接种时产生的医疗废物，医疗废物主要为疫苗塑料包装瓶、注射器和针头，其危险废物类别为HW01医疗废物</w:t>
      </w:r>
      <w:r>
        <w:rPr>
          <w:rFonts w:hint="eastAsia" w:ascii="Times New Roman" w:hAnsi="Times New Roman" w:cs="Times New Roman"/>
          <w:color w:val="000000"/>
          <w:kern w:val="0"/>
          <w:sz w:val="24"/>
          <w:szCs w:val="24"/>
          <w:highlight w:val="none"/>
          <w:lang w:eastAsia="zh-CN"/>
        </w:rPr>
        <w:t>；</w:t>
      </w:r>
      <w:r>
        <w:rPr>
          <w:rFonts w:hint="eastAsia" w:ascii="Times New Roman" w:hAnsi="Times New Roman" w:cs="Times New Roman"/>
          <w:color w:val="000000"/>
          <w:kern w:val="0"/>
          <w:sz w:val="24"/>
          <w:szCs w:val="24"/>
          <w:highlight w:val="none"/>
          <w:lang w:val="en-US" w:eastAsia="zh-CN"/>
        </w:rPr>
        <w:t>另外还有饲料加工废气处理产生的除尘灰。</w:t>
      </w:r>
      <w:r>
        <w:rPr>
          <w:rFonts w:hint="default" w:ascii="Times New Roman" w:hAnsi="Times New Roman" w:cs="Times New Roman"/>
          <w:color w:val="000000"/>
          <w:kern w:val="0"/>
          <w:sz w:val="24"/>
          <w:szCs w:val="24"/>
          <w:highlight w:val="none"/>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项目根据固体废物的属性采取不同的处理处置方式，具体见下表</w:t>
      </w:r>
    </w:p>
    <w:p>
      <w:pPr>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br w:type="page"/>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表5-3 本项目固废产生及处置方式合理性分析</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88"/>
        <w:gridCol w:w="1388"/>
        <w:gridCol w:w="1425"/>
        <w:gridCol w:w="2682"/>
        <w:gridCol w:w="2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2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81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属性</w:t>
            </w:r>
          </w:p>
        </w:tc>
        <w:tc>
          <w:tcPr>
            <w:tcW w:w="83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类别</w:t>
            </w:r>
          </w:p>
        </w:tc>
        <w:tc>
          <w:tcPr>
            <w:tcW w:w="157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暂存</w:t>
            </w:r>
          </w:p>
        </w:tc>
        <w:tc>
          <w:tcPr>
            <w:tcW w:w="125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2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81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一般固废</w:t>
            </w:r>
          </w:p>
        </w:tc>
        <w:tc>
          <w:tcPr>
            <w:tcW w:w="83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猪粪</w:t>
            </w:r>
          </w:p>
        </w:tc>
        <w:tc>
          <w:tcPr>
            <w:tcW w:w="157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粪池暂存，防渗处理率</w:t>
            </w:r>
          </w:p>
        </w:tc>
        <w:tc>
          <w:tcPr>
            <w:tcW w:w="125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2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81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一般固废</w:t>
            </w:r>
          </w:p>
        </w:tc>
        <w:tc>
          <w:tcPr>
            <w:tcW w:w="83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生活垃圾</w:t>
            </w:r>
          </w:p>
        </w:tc>
        <w:tc>
          <w:tcPr>
            <w:tcW w:w="157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设垃圾桶，环卫部门处理</w:t>
            </w:r>
          </w:p>
        </w:tc>
        <w:tc>
          <w:tcPr>
            <w:tcW w:w="125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2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1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一般固废</w:t>
            </w:r>
          </w:p>
        </w:tc>
        <w:tc>
          <w:tcPr>
            <w:tcW w:w="83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废脱硫剂</w:t>
            </w:r>
          </w:p>
        </w:tc>
        <w:tc>
          <w:tcPr>
            <w:tcW w:w="157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厂家回收利用</w:t>
            </w:r>
          </w:p>
        </w:tc>
        <w:tc>
          <w:tcPr>
            <w:tcW w:w="125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2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w:t>
            </w:r>
          </w:p>
        </w:tc>
        <w:tc>
          <w:tcPr>
            <w:tcW w:w="81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医疗废物</w:t>
            </w:r>
          </w:p>
        </w:tc>
        <w:tc>
          <w:tcPr>
            <w:tcW w:w="83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接种废物</w:t>
            </w:r>
          </w:p>
        </w:tc>
        <w:tc>
          <w:tcPr>
            <w:tcW w:w="157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危废间暂存</w:t>
            </w:r>
          </w:p>
        </w:tc>
        <w:tc>
          <w:tcPr>
            <w:tcW w:w="125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委托有资质单位处置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2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p>
        </w:tc>
        <w:tc>
          <w:tcPr>
            <w:tcW w:w="81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一般固废</w:t>
            </w:r>
          </w:p>
        </w:tc>
        <w:tc>
          <w:tcPr>
            <w:tcW w:w="83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饲料加工除尘灰</w:t>
            </w:r>
          </w:p>
        </w:tc>
        <w:tc>
          <w:tcPr>
            <w:tcW w:w="157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不暂存</w:t>
            </w:r>
          </w:p>
        </w:tc>
        <w:tc>
          <w:tcPr>
            <w:tcW w:w="125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直接回用于饲料加工，不外排</w:t>
            </w:r>
          </w:p>
        </w:tc>
      </w:tr>
    </w:tbl>
    <w:p>
      <w:pPr>
        <w:keepNext w:val="0"/>
        <w:keepLines w:val="0"/>
        <w:pageBreakBefore w:val="0"/>
        <w:widowControl w:val="0"/>
        <w:kinsoku/>
        <w:wordWrap/>
        <w:overflowPunct/>
        <w:topLinePunct w:val="0"/>
        <w:autoSpaceDE w:val="0"/>
        <w:autoSpaceDN w:val="0"/>
        <w:bidi w:val="0"/>
        <w:adjustRightInd w:val="0"/>
        <w:snapToGrid/>
        <w:spacing w:before="0" w:beforeLines="50"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本次评价要求企业对猪粪暂存场所做好防渗，医疗废物间按照《危险废物贮存污染控制标准》（GB18597-2001）和《医疗废物处理处置污染防治最佳可行技术指南》（试行）做好防渗、消毒和日常管理工作。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综上，本项目固体废物合理处置，对环境影响很小，处理处置措施可行。</w:t>
      </w:r>
    </w:p>
    <w:p>
      <w:pPr>
        <w:adjustRightInd w:val="0"/>
        <w:snapToGrid w:val="0"/>
        <w:spacing w:line="360" w:lineRule="auto"/>
        <w:rPr>
          <w:rFonts w:hint="default" w:ascii="Times New Roman" w:hAnsi="Times New Roman" w:eastAsia="微软雅黑" w:cs="Times New Roman"/>
          <w:sz w:val="2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sectPr>
      </w:pPr>
    </w:p>
    <w:p>
      <w:pPr>
        <w:spacing w:before="120" w:beforeLines="50" w:after="120" w:afterLines="50"/>
        <w:jc w:val="left"/>
        <w:outlineLvl w:val="0"/>
        <w:rPr>
          <w:rFonts w:hint="default" w:ascii="Times New Roman" w:hAnsi="Times New Roman" w:eastAsia="黑体" w:cs="Times New Roman"/>
          <w:bCs/>
          <w:sz w:val="32"/>
          <w:szCs w:val="32"/>
          <w:highlight w:val="none"/>
        </w:rPr>
      </w:pPr>
      <w:bookmarkStart w:id="117" w:name="_Toc26178"/>
      <w:r>
        <w:rPr>
          <w:rFonts w:hint="default" w:ascii="Times New Roman" w:hAnsi="Times New Roman" w:eastAsia="黑体" w:cs="Times New Roman"/>
          <w:bCs/>
          <w:sz w:val="32"/>
          <w:szCs w:val="32"/>
          <w:highlight w:val="none"/>
        </w:rPr>
        <w:t>6环境影响经济损益分析</w:t>
      </w:r>
      <w:bookmarkEnd w:id="109"/>
      <w:bookmarkEnd w:id="117"/>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18" w:name="_Toc28863"/>
      <w:bookmarkStart w:id="119" w:name="_Toc521334391"/>
      <w:r>
        <w:rPr>
          <w:rFonts w:hint="default" w:ascii="Times New Roman" w:hAnsi="Times New Roman" w:eastAsia="黑体" w:cs="Times New Roman"/>
          <w:bCs/>
          <w:sz w:val="30"/>
          <w:szCs w:val="30"/>
          <w:highlight w:val="none"/>
        </w:rPr>
        <w:t>6.1环保投资比例分析</w:t>
      </w:r>
      <w:bookmarkEnd w:id="118"/>
      <w:bookmarkEnd w:id="11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项目总投资60000万元，用于环境保护工程的专项投资为</w:t>
      </w:r>
      <w:r>
        <w:rPr>
          <w:rFonts w:hint="default" w:ascii="Times New Roman" w:hAnsi="Times New Roman" w:cs="Times New Roman"/>
          <w:snapToGrid w:val="0"/>
          <w:sz w:val="24"/>
          <w:szCs w:val="25"/>
          <w:highlight w:val="none"/>
          <w:lang w:val="en-US" w:eastAsia="zh-CN"/>
        </w:rPr>
        <w:t>366.5</w:t>
      </w:r>
      <w:r>
        <w:rPr>
          <w:rFonts w:hint="default" w:ascii="Times New Roman" w:hAnsi="Times New Roman" w:cs="Times New Roman"/>
          <w:snapToGrid w:val="0"/>
          <w:sz w:val="24"/>
          <w:szCs w:val="25"/>
          <w:highlight w:val="none"/>
          <w:lang w:val="zh-CN"/>
        </w:rPr>
        <w:t>万元，环保投资占总投资的比例为</w:t>
      </w:r>
      <w:r>
        <w:rPr>
          <w:rFonts w:hint="default" w:ascii="Times New Roman" w:hAnsi="Times New Roman" w:cs="Times New Roman"/>
          <w:snapToGrid w:val="0"/>
          <w:sz w:val="24"/>
          <w:szCs w:val="25"/>
          <w:highlight w:val="none"/>
          <w:lang w:val="en-US" w:eastAsia="zh-CN"/>
        </w:rPr>
        <w:t>0.61</w:t>
      </w:r>
      <w:r>
        <w:rPr>
          <w:rFonts w:hint="default" w:ascii="Times New Roman" w:hAnsi="Times New Roman" w:cs="Times New Roman"/>
          <w:snapToGrid w:val="0"/>
          <w:sz w:val="24"/>
          <w:szCs w:val="25"/>
          <w:highlight w:val="none"/>
          <w:lang w:val="zh-CN"/>
        </w:rPr>
        <w:t>%，项目具体环保投资情况见表7-1。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表7-1  环保投资估算</w:t>
      </w:r>
    </w:p>
    <w:tbl>
      <w:tblPr>
        <w:tblStyle w:val="80"/>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1559"/>
        <w:gridCol w:w="4683"/>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napToGrid w:val="0"/>
                <w:spacing w:val="0"/>
                <w:sz w:val="21"/>
                <w:szCs w:val="21"/>
                <w:highlight w:val="none"/>
              </w:rPr>
            </w:pPr>
            <w:r>
              <w:rPr>
                <w:rFonts w:hint="default" w:ascii="Times New Roman" w:hAnsi="Times New Roman" w:eastAsia="宋体" w:cs="Times New Roman"/>
                <w:b/>
                <w:bCs/>
                <w:snapToGrid w:val="0"/>
                <w:spacing w:val="0"/>
                <w:sz w:val="21"/>
                <w:szCs w:val="21"/>
                <w:highlight w:val="none"/>
              </w:rPr>
              <w:t>时期</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napToGrid w:val="0"/>
                <w:spacing w:val="0"/>
                <w:sz w:val="21"/>
                <w:szCs w:val="21"/>
                <w:highlight w:val="none"/>
              </w:rPr>
            </w:pPr>
            <w:r>
              <w:rPr>
                <w:rFonts w:hint="default" w:ascii="Times New Roman" w:hAnsi="Times New Roman" w:eastAsia="宋体" w:cs="Times New Roman"/>
                <w:b/>
                <w:bCs/>
                <w:snapToGrid w:val="0"/>
                <w:spacing w:val="0"/>
                <w:sz w:val="21"/>
                <w:szCs w:val="21"/>
                <w:highlight w:val="none"/>
              </w:rPr>
              <w:t>项目</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napToGrid w:val="0"/>
                <w:spacing w:val="0"/>
                <w:sz w:val="21"/>
                <w:szCs w:val="21"/>
                <w:highlight w:val="none"/>
              </w:rPr>
            </w:pPr>
            <w:r>
              <w:rPr>
                <w:rFonts w:hint="default" w:ascii="Times New Roman" w:hAnsi="Times New Roman" w:eastAsia="宋体" w:cs="Times New Roman"/>
                <w:b/>
                <w:bCs/>
                <w:snapToGrid w:val="0"/>
                <w:spacing w:val="0"/>
                <w:sz w:val="21"/>
                <w:szCs w:val="21"/>
                <w:highlight w:val="none"/>
              </w:rPr>
              <w:t>环保设施名称</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snapToGrid w:val="0"/>
                <w:spacing w:val="0"/>
                <w:sz w:val="21"/>
                <w:szCs w:val="21"/>
                <w:highlight w:val="none"/>
              </w:rPr>
            </w:pPr>
            <w:r>
              <w:rPr>
                <w:rFonts w:hint="default" w:ascii="Times New Roman" w:hAnsi="Times New Roman" w:eastAsia="宋体" w:cs="Times New Roman"/>
                <w:b/>
                <w:bCs/>
                <w:snapToGrid w:val="0"/>
                <w:spacing w:val="0"/>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施工期</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废水</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防渗旱厕</w:t>
            </w:r>
          </w:p>
        </w:tc>
        <w:tc>
          <w:tcPr>
            <w:tcW w:w="14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废气</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苫布、洒水设施</w:t>
            </w:r>
          </w:p>
        </w:tc>
        <w:tc>
          <w:tcPr>
            <w:tcW w:w="14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噪声</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减振基础、隔声设施</w:t>
            </w:r>
          </w:p>
        </w:tc>
        <w:tc>
          <w:tcPr>
            <w:tcW w:w="14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固废</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委托处理费用</w:t>
            </w:r>
          </w:p>
        </w:tc>
        <w:tc>
          <w:tcPr>
            <w:tcW w:w="14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小计</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运营期</w:t>
            </w:r>
          </w:p>
        </w:tc>
        <w:tc>
          <w:tcPr>
            <w:tcW w:w="709" w:type="dxa"/>
            <w:vMerge w:val="restart"/>
            <w:tcBorders>
              <w:top w:val="single" w:color="auto" w:sz="4" w:space="0"/>
              <w:left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废气</w:t>
            </w: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猪舍恶臭气体</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风扇、除臭剂</w:t>
            </w:r>
          </w:p>
        </w:tc>
        <w:tc>
          <w:tcPr>
            <w:tcW w:w="14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猪粪处理</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储粪池、活动顶盖</w:t>
            </w:r>
          </w:p>
        </w:tc>
        <w:tc>
          <w:tcPr>
            <w:tcW w:w="14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养殖及粪污处</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理过程废气</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沼气发酵系统、绿化带</w:t>
            </w:r>
          </w:p>
        </w:tc>
        <w:tc>
          <w:tcPr>
            <w:tcW w:w="14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沼气</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脱硫罐</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kern w:val="2"/>
                <w:sz w:val="21"/>
                <w:szCs w:val="21"/>
                <w:highlight w:val="none"/>
              </w:rPr>
            </w:pPr>
            <w:r>
              <w:rPr>
                <w:rFonts w:hint="default" w:ascii="Times New Roman" w:hAnsi="Times New Roman" w:eastAsia="宋体" w:cs="Times New Roman"/>
                <w:snapToGrid w:val="0"/>
                <w:spacing w:val="0"/>
                <w:kern w:val="2"/>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沼气发电机燃烧废气</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15m高排气筒</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kern w:val="2"/>
                <w:sz w:val="21"/>
                <w:szCs w:val="21"/>
                <w:highlight w:val="none"/>
              </w:rPr>
            </w:pPr>
            <w:r>
              <w:rPr>
                <w:rFonts w:hint="default" w:ascii="Times New Roman" w:hAnsi="Times New Roman" w:eastAsia="宋体" w:cs="Times New Roman"/>
                <w:snapToGrid w:val="0"/>
                <w:spacing w:val="0"/>
                <w:kern w:val="2"/>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食堂油烟</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油烟净化器</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kern w:val="2"/>
                <w:sz w:val="21"/>
                <w:szCs w:val="21"/>
                <w:highlight w:val="none"/>
                <w:lang w:eastAsia="zh-CN"/>
              </w:rPr>
            </w:pPr>
            <w:r>
              <w:rPr>
                <w:rFonts w:hint="default" w:ascii="Times New Roman" w:hAnsi="Times New Roman" w:eastAsia="宋体" w:cs="Times New Roman"/>
                <w:snapToGrid w:val="0"/>
                <w:spacing w:val="0"/>
                <w:kern w:val="2"/>
                <w:sz w:val="21"/>
                <w:szCs w:val="21"/>
                <w:highlight w:val="none"/>
              </w:rPr>
              <w:t>0.</w:t>
            </w:r>
            <w:r>
              <w:rPr>
                <w:rFonts w:hint="default" w:ascii="Times New Roman" w:hAnsi="Times New Roman" w:cs="Times New Roman"/>
                <w:snapToGrid w:val="0"/>
                <w:spacing w:val="0"/>
                <w:kern w:val="2"/>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lang w:eastAsia="zh-CN"/>
              </w:rPr>
            </w:pPr>
            <w:r>
              <w:rPr>
                <w:rFonts w:hint="eastAsia" w:cs="Times New Roman"/>
                <w:snapToGrid w:val="0"/>
                <w:spacing w:val="0"/>
                <w:sz w:val="21"/>
                <w:szCs w:val="21"/>
                <w:highlight w:val="none"/>
                <w:lang w:val="en-US" w:eastAsia="zh-CN"/>
              </w:rPr>
              <w:t>沼气</w:t>
            </w:r>
            <w:r>
              <w:rPr>
                <w:rFonts w:hint="default" w:ascii="Times New Roman" w:hAnsi="Times New Roman" w:cs="Times New Roman"/>
                <w:snapToGrid w:val="0"/>
                <w:spacing w:val="0"/>
                <w:sz w:val="21"/>
                <w:szCs w:val="21"/>
                <w:highlight w:val="none"/>
                <w:lang w:eastAsia="zh-CN"/>
              </w:rPr>
              <w:t>热水锅炉</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cs="Times New Roman"/>
                <w:snapToGrid w:val="0"/>
                <w:spacing w:val="0"/>
                <w:sz w:val="21"/>
                <w:szCs w:val="21"/>
                <w:highlight w:val="none"/>
                <w:lang w:eastAsia="zh-CN"/>
              </w:rPr>
              <w:t>超低氮燃烧器</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kern w:val="2"/>
                <w:sz w:val="21"/>
                <w:szCs w:val="21"/>
                <w:highlight w:val="none"/>
                <w:lang w:val="en-US" w:eastAsia="zh-CN"/>
              </w:rPr>
            </w:pPr>
            <w:r>
              <w:rPr>
                <w:rFonts w:hint="default" w:ascii="Times New Roman" w:hAnsi="Times New Roman" w:cs="Times New Roman"/>
                <w:snapToGrid w:val="0"/>
                <w:spacing w:val="0"/>
                <w:kern w:val="2"/>
                <w:sz w:val="21"/>
                <w:szCs w:val="21"/>
                <w:highlight w:val="none"/>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napToGrid w:val="0"/>
                <w:spacing w:val="0"/>
                <w:sz w:val="21"/>
                <w:szCs w:val="21"/>
                <w:highlight w:val="none"/>
                <w:lang w:eastAsia="zh-CN"/>
              </w:rPr>
            </w:pPr>
            <w:r>
              <w:rPr>
                <w:rFonts w:hint="default" w:ascii="Times New Roman" w:hAnsi="Times New Roman" w:cs="Times New Roman"/>
                <w:snapToGrid w:val="0"/>
                <w:spacing w:val="0"/>
                <w:sz w:val="21"/>
                <w:szCs w:val="21"/>
                <w:highlight w:val="none"/>
                <w:lang w:eastAsia="zh-CN"/>
              </w:rPr>
              <w:t>饲料加工</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cs="Times New Roman"/>
                <w:snapToGrid w:val="0"/>
                <w:spacing w:val="0"/>
                <w:sz w:val="21"/>
                <w:szCs w:val="21"/>
                <w:highlight w:val="none"/>
                <w:lang w:eastAsia="zh-CN"/>
              </w:rPr>
              <w:t>布袋除尘器</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kern w:val="2"/>
                <w:sz w:val="21"/>
                <w:szCs w:val="21"/>
                <w:highlight w:val="none"/>
                <w:lang w:val="en-US" w:eastAsia="zh-CN"/>
              </w:rPr>
            </w:pPr>
            <w:r>
              <w:rPr>
                <w:rFonts w:hint="default" w:ascii="Times New Roman" w:hAnsi="Times New Roman" w:cs="Times New Roman"/>
                <w:snapToGrid w:val="0"/>
                <w:spacing w:val="0"/>
                <w:kern w:val="2"/>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restart"/>
            <w:tcBorders>
              <w:top w:val="single" w:color="auto" w:sz="4" w:space="0"/>
              <w:left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废水</w:t>
            </w: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黑膜沼气池</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napToGrid w:val="0"/>
                <w:sz w:val="21"/>
                <w:szCs w:val="21"/>
                <w:highlight w:val="none"/>
              </w:rPr>
              <w:t>新建厂区污水处理站，采用</w:t>
            </w:r>
            <w:r>
              <w:rPr>
                <w:rFonts w:hint="default" w:ascii="Times New Roman" w:hAnsi="Times New Roman" w:eastAsia="宋体" w:cs="Times New Roman"/>
                <w:sz w:val="21"/>
                <w:szCs w:val="21"/>
                <w:highlight w:val="none"/>
              </w:rPr>
              <w:t>预处理+深度水解+接触氧化+UNITANK+混凝沉淀工艺，设计处理能力</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500m³/d。</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kern w:val="2"/>
                <w:sz w:val="21"/>
                <w:szCs w:val="21"/>
                <w:highlight w:val="none"/>
              </w:rPr>
            </w:pPr>
            <w:r>
              <w:rPr>
                <w:rFonts w:hint="default" w:ascii="Times New Roman" w:hAnsi="Times New Roman" w:eastAsia="宋体" w:cs="Times New Roman"/>
                <w:snapToGrid w:val="0"/>
                <w:spacing w:val="0"/>
                <w:sz w:val="21"/>
                <w:szCs w:val="21"/>
                <w:highlight w:val="none"/>
              </w:rPr>
              <w:t>293.4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雨污飞流</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napToGrid w:val="0"/>
                <w:sz w:val="21"/>
                <w:szCs w:val="21"/>
                <w:highlight w:val="none"/>
              </w:rPr>
              <w:t>管道</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restart"/>
            <w:tcBorders>
              <w:left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固废</w:t>
            </w: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粪便</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napToGrid w:val="0"/>
                <w:sz w:val="21"/>
                <w:szCs w:val="21"/>
                <w:highlight w:val="none"/>
              </w:rPr>
              <w:t>无害化处理厂</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沼液</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napToGrid w:val="0"/>
                <w:sz w:val="21"/>
                <w:szCs w:val="21"/>
                <w:highlight w:val="none"/>
              </w:rPr>
              <w:t>沼液储存池</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废脱硫剂</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napToGrid w:val="0"/>
                <w:sz w:val="21"/>
                <w:szCs w:val="21"/>
                <w:highlight w:val="none"/>
              </w:rPr>
              <w:t>储存间</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病死猪</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napToGrid w:val="0"/>
                <w:sz w:val="21"/>
                <w:szCs w:val="21"/>
                <w:highlight w:val="none"/>
              </w:rPr>
              <w:t>危废间，委托处置费用</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生活垃圾</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napToGrid w:val="0"/>
                <w:sz w:val="21"/>
                <w:szCs w:val="21"/>
                <w:highlight w:val="none"/>
              </w:rPr>
              <w:t>垃圾桶+委托处理费用</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709" w:type="dxa"/>
            <w:vMerge w:val="continue"/>
            <w:tcBorders>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snapToGrid w:val="0"/>
                <w:spacing w:val="0"/>
                <w:sz w:val="21"/>
                <w:szCs w:val="21"/>
                <w:highlight w:val="none"/>
                <w:lang w:val="en-US" w:eastAsia="zh-CN"/>
              </w:rPr>
            </w:pPr>
            <w:r>
              <w:rPr>
                <w:rFonts w:hint="eastAsia" w:cs="Times New Roman"/>
                <w:snapToGrid w:val="0"/>
                <w:spacing w:val="0"/>
                <w:sz w:val="21"/>
                <w:szCs w:val="21"/>
                <w:highlight w:val="none"/>
                <w:lang w:val="en-US" w:eastAsia="zh-CN"/>
              </w:rPr>
              <w:t>除尘灰</w:t>
            </w:r>
          </w:p>
        </w:tc>
        <w:tc>
          <w:tcPr>
            <w:tcW w:w="4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会用作饲料</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snapToGrid w:val="0"/>
                <w:spacing w:val="0"/>
                <w:sz w:val="21"/>
                <w:szCs w:val="21"/>
                <w:highlight w:val="none"/>
                <w:lang w:val="en-US" w:eastAsia="zh-CN"/>
              </w:rPr>
            </w:pPr>
            <w:r>
              <w:rPr>
                <w:rFonts w:hint="eastAsia" w:cs="Times New Roman"/>
                <w:snapToGrid w:val="0"/>
                <w:spacing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防渗</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防渗材料+施工费用</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地下水监测井</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施工和材料费用</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噪声</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建筑隔声、减振基础、软连接、定期检修</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环境风险防范</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优化布局、设置阻火器、防护罩、防护栏、静电消除装置和其他防爆设备，自动监测设备和放散系统</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防疫</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药品购买和废弃物处理工作</w:t>
            </w: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kern w:val="0"/>
                <w:sz w:val="21"/>
                <w:szCs w:val="21"/>
                <w:highlight w:val="none"/>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小计</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lang w:val="en-US" w:eastAsia="zh-CN"/>
              </w:rPr>
            </w:pPr>
            <w:r>
              <w:rPr>
                <w:rFonts w:hint="default" w:ascii="Times New Roman" w:hAnsi="Times New Roman" w:eastAsia="宋体" w:cs="Times New Roman"/>
                <w:snapToGrid w:val="0"/>
                <w:spacing w:val="0"/>
                <w:sz w:val="21"/>
                <w:szCs w:val="21"/>
                <w:highlight w:val="none"/>
              </w:rPr>
              <w:t>3</w:t>
            </w:r>
            <w:r>
              <w:rPr>
                <w:rFonts w:hint="default" w:ascii="Times New Roman" w:hAnsi="Times New Roman" w:cs="Times New Roman"/>
                <w:snapToGrid w:val="0"/>
                <w:spacing w:val="0"/>
                <w:sz w:val="21"/>
                <w:szCs w:val="21"/>
                <w:highlight w:val="none"/>
                <w:lang w:val="en-US" w:eastAsia="zh-CN"/>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合计</w:t>
            </w:r>
          </w:p>
        </w:tc>
        <w:tc>
          <w:tcPr>
            <w:tcW w:w="4683"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p>
        </w:tc>
        <w:tc>
          <w:tcPr>
            <w:tcW w:w="1404" w:type="dxa"/>
            <w:tcBorders>
              <w:top w:val="single" w:color="auto" w:sz="4" w:space="0"/>
              <w:left w:val="single" w:color="auto" w:sz="4" w:space="0"/>
              <w:bottom w:val="single" w:color="auto" w:sz="4" w:space="0"/>
              <w:right w:val="single" w:color="auto" w:sz="4" w:space="0"/>
            </w:tcBorders>
            <w:vAlign w:val="center"/>
          </w:tcPr>
          <w:p>
            <w:pPr>
              <w:pStyle w:val="146"/>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napToGrid w:val="0"/>
                <w:spacing w:val="0"/>
                <w:sz w:val="21"/>
                <w:szCs w:val="21"/>
                <w:highlight w:val="none"/>
              </w:rPr>
            </w:pPr>
            <w:r>
              <w:rPr>
                <w:rFonts w:hint="default" w:ascii="Times New Roman" w:hAnsi="Times New Roman" w:eastAsia="宋体" w:cs="Times New Roman"/>
                <w:snapToGrid w:val="0"/>
                <w:spacing w:val="0"/>
                <w:sz w:val="21"/>
                <w:szCs w:val="21"/>
                <w:highlight w:val="none"/>
              </w:rPr>
              <w:t>3</w:t>
            </w:r>
            <w:r>
              <w:rPr>
                <w:rFonts w:hint="default" w:ascii="Times New Roman" w:hAnsi="Times New Roman" w:cs="Times New Roman"/>
                <w:snapToGrid w:val="0"/>
                <w:spacing w:val="0"/>
                <w:sz w:val="21"/>
                <w:szCs w:val="21"/>
                <w:highlight w:val="none"/>
                <w:lang w:val="en-US" w:eastAsia="zh-CN"/>
              </w:rPr>
              <w:t>67</w:t>
            </w:r>
            <w:r>
              <w:rPr>
                <w:rFonts w:hint="default" w:ascii="Times New Roman" w:hAnsi="Times New Roman" w:eastAsia="宋体" w:cs="Times New Roman"/>
                <w:snapToGrid w:val="0"/>
                <w:spacing w:val="0"/>
                <w:sz w:val="21"/>
                <w:szCs w:val="21"/>
                <w:highlight w:val="none"/>
              </w:rPr>
              <w:t>.0</w:t>
            </w:r>
          </w:p>
        </w:tc>
      </w:tr>
    </w:tbl>
    <w:p>
      <w:pPr>
        <w:adjustRightInd w:val="0"/>
        <w:snapToGrid w:val="0"/>
        <w:rPr>
          <w:rFonts w:hint="default" w:ascii="Times New Roman" w:hAnsi="Times New Roman" w:cs="Times New Roman"/>
          <w:highlight w:val="none"/>
        </w:rPr>
      </w:pPr>
    </w:p>
    <w:p>
      <w:pPr>
        <w:rPr>
          <w:rFonts w:hint="default" w:ascii="Times New Roman" w:hAnsi="Times New Roman" w:eastAsia="黑体" w:cs="Times New Roman"/>
          <w:bCs/>
          <w:sz w:val="30"/>
          <w:szCs w:val="30"/>
          <w:highlight w:val="none"/>
        </w:rPr>
      </w:pPr>
      <w:bookmarkStart w:id="120" w:name="_Toc521334392"/>
      <w:bookmarkStart w:id="121" w:name="_Toc9087"/>
      <w:r>
        <w:rPr>
          <w:rFonts w:hint="default" w:ascii="Times New Roman" w:hAnsi="Times New Roman" w:eastAsia="黑体" w:cs="Times New Roman"/>
          <w:bCs/>
          <w:sz w:val="30"/>
          <w:szCs w:val="30"/>
          <w:highlight w:val="none"/>
        </w:rPr>
        <w:br w:type="page"/>
      </w:r>
    </w:p>
    <w:p>
      <w:pPr>
        <w:spacing w:before="120" w:beforeLines="50" w:after="120" w:afterLines="50"/>
        <w:jc w:val="left"/>
        <w:outlineLvl w:val="1"/>
        <w:rPr>
          <w:rFonts w:hint="default" w:ascii="Times New Roman" w:hAnsi="Times New Roman" w:eastAsia="黑体" w:cs="Times New Roman"/>
          <w:bCs/>
          <w:sz w:val="30"/>
          <w:szCs w:val="30"/>
          <w:highlight w:val="none"/>
        </w:rPr>
      </w:pPr>
      <w:r>
        <w:rPr>
          <w:rFonts w:hint="default" w:ascii="Times New Roman" w:hAnsi="Times New Roman" w:eastAsia="黑体" w:cs="Times New Roman"/>
          <w:bCs/>
          <w:sz w:val="30"/>
          <w:szCs w:val="30"/>
          <w:highlight w:val="none"/>
        </w:rPr>
        <w:t>6.2环保投资效益分析</w:t>
      </w:r>
      <w:bookmarkEnd w:id="120"/>
      <w:bookmarkEnd w:id="121"/>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6.2.1环境成本</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项目环境成本包括施工期环境成本和营运期环境成本，即项目环境成本=施工期环境成本+营运期环境成本。施工期产生的环境影响主要是施工扬尘、施工噪声、施工建筑垃圾对环境造成污染。因扩建工程施工期已结束，现主要施工为以新带老的生产车间废气治理设施安装和</w:t>
      </w:r>
      <w:r>
        <w:rPr>
          <w:rFonts w:hint="eastAsia" w:ascii="Times New Roman" w:hAnsi="Times New Roman" w:cs="Times New Roman"/>
          <w:snapToGrid w:val="0"/>
          <w:sz w:val="24"/>
          <w:szCs w:val="25"/>
          <w:highlight w:val="none"/>
          <w:lang w:val="zh-CN"/>
        </w:rPr>
        <w:t>沼气</w:t>
      </w:r>
      <w:r>
        <w:rPr>
          <w:rFonts w:hint="default" w:ascii="Times New Roman" w:hAnsi="Times New Roman" w:cs="Times New Roman"/>
          <w:snapToGrid w:val="0"/>
          <w:sz w:val="24"/>
          <w:szCs w:val="25"/>
          <w:highlight w:val="none"/>
          <w:lang w:val="zh-CN"/>
        </w:rPr>
        <w:t>锅炉的低氮改造；营运期间，项目产生和排放的颗粒物、SO</w:t>
      </w:r>
      <w:r>
        <w:rPr>
          <w:rFonts w:hint="default" w:ascii="Times New Roman" w:hAnsi="Times New Roman" w:cs="Times New Roman"/>
          <w:snapToGrid w:val="0"/>
          <w:sz w:val="24"/>
          <w:szCs w:val="25"/>
          <w:highlight w:val="none"/>
          <w:vertAlign w:val="subscript"/>
          <w:lang w:val="zh-CN"/>
        </w:rPr>
        <w:t>2</w:t>
      </w:r>
      <w:r>
        <w:rPr>
          <w:rFonts w:hint="default" w:ascii="Times New Roman" w:hAnsi="Times New Roman" w:cs="Times New Roman"/>
          <w:snapToGrid w:val="0"/>
          <w:sz w:val="24"/>
          <w:szCs w:val="25"/>
          <w:highlight w:val="none"/>
          <w:lang w:val="zh-CN"/>
        </w:rPr>
        <w:t>、NOx、非甲烷总烃和恶臭气体等废气污染物质及设备噪声、固废等污染物，影响区域生态环境质量；乙醇储罐发生泄漏等风险事故时，对环境和人群造成不利的影响。项目建设和生产可能造成的环境损失见表7-2。</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表7-2  项目建设和生产可能造成的主要环境损失</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827"/>
        <w:gridCol w:w="2323"/>
        <w:gridCol w:w="4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时段</w:t>
            </w:r>
          </w:p>
        </w:tc>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环境要素</w:t>
            </w:r>
          </w:p>
        </w:tc>
        <w:tc>
          <w:tcPr>
            <w:tcW w:w="13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影响因素</w:t>
            </w:r>
          </w:p>
        </w:tc>
        <w:tc>
          <w:tcPr>
            <w:tcW w:w="285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可能影响程度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营运期</w:t>
            </w:r>
          </w:p>
        </w:tc>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水环境</w:t>
            </w:r>
          </w:p>
        </w:tc>
        <w:tc>
          <w:tcPr>
            <w:tcW w:w="13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项目固体废物贮存、污水处理系统等防渗层破裂等造成的污染</w:t>
            </w:r>
          </w:p>
        </w:tc>
        <w:tc>
          <w:tcPr>
            <w:tcW w:w="285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按本次评价要求做好相应防渗工作，并依托现有事故池，对环境的可能的影响很有限。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zCs w:val="21"/>
                <w:highlight w:val="none"/>
              </w:rPr>
            </w:pPr>
          </w:p>
        </w:tc>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环境空气</w:t>
            </w:r>
          </w:p>
        </w:tc>
        <w:tc>
          <w:tcPr>
            <w:tcW w:w="13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猪舍、粪便处理和污水处理过程产生的恶臭</w:t>
            </w:r>
          </w:p>
        </w:tc>
        <w:tc>
          <w:tcPr>
            <w:tcW w:w="285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按照环评要求设置相应设施，加强日常管理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zCs w:val="21"/>
                <w:highlight w:val="none"/>
              </w:rPr>
            </w:pPr>
          </w:p>
        </w:tc>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声环境</w:t>
            </w:r>
          </w:p>
        </w:tc>
        <w:tc>
          <w:tcPr>
            <w:tcW w:w="13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设备运行产生的噪声对环境产生影响</w:t>
            </w:r>
          </w:p>
        </w:tc>
        <w:tc>
          <w:tcPr>
            <w:tcW w:w="285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设备噪声通过安装减振基础、建筑隔声等措施后厂界环境噪声达标。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zCs w:val="21"/>
                <w:highlight w:val="none"/>
              </w:rPr>
            </w:pPr>
          </w:p>
        </w:tc>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固体废物</w:t>
            </w:r>
          </w:p>
        </w:tc>
        <w:tc>
          <w:tcPr>
            <w:tcW w:w="13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一般工业固体废物和危险废物如果收集、贮存和处理不当，可能对环境产生的影响</w:t>
            </w:r>
          </w:p>
        </w:tc>
        <w:tc>
          <w:tcPr>
            <w:tcW w:w="285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本项目固体废物均得到合理处置，避免露天堆放，危险废物贮存于专用危废间。经以上措施处理本项目固体废物对环境影响很小。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zCs w:val="21"/>
                <w:highlight w:val="none"/>
              </w:rPr>
            </w:pPr>
          </w:p>
        </w:tc>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环境风险</w:t>
            </w:r>
          </w:p>
        </w:tc>
        <w:tc>
          <w:tcPr>
            <w:tcW w:w="13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污水处理站和甲烷利用设施</w:t>
            </w:r>
          </w:p>
        </w:tc>
        <w:tc>
          <w:tcPr>
            <w:tcW w:w="285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可能产生的泄露、火灾和爆炸等事故对环境产生的污染，在做好相应风险防范措施和编制应急预案的前提下，可以将风险控制在合理范围。</w:t>
            </w:r>
          </w:p>
        </w:tc>
      </w:tr>
    </w:tbl>
    <w:p>
      <w:pPr>
        <w:adjustRightInd w:val="0"/>
        <w:snapToGrid w:val="0"/>
        <w:rPr>
          <w:rFonts w:hint="default" w:ascii="Times New Roman" w:hAnsi="Times New Roman" w:cs="Times New Roman"/>
          <w:highlight w:val="none"/>
        </w:rPr>
      </w:pPr>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122" w:name="_Toc465955047"/>
      <w:r>
        <w:rPr>
          <w:rFonts w:hint="default" w:ascii="Times New Roman" w:hAnsi="Times New Roman" w:eastAsia="黑体" w:cs="Times New Roman"/>
          <w:bCs/>
          <w:sz w:val="28"/>
          <w:szCs w:val="28"/>
          <w:highlight w:val="none"/>
        </w:rPr>
        <w:t>6.2.2环保设施运行支出</w:t>
      </w:r>
      <w:bookmarkEnd w:id="122"/>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环保设施运行支出包括环保设施折旧费、运行费和环保管理费。</w:t>
      </w:r>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（1）环保设施折旧费C</w:t>
      </w:r>
      <w:r>
        <w:rPr>
          <w:rFonts w:hint="default" w:ascii="Times New Roman" w:hAnsi="Times New Roman" w:cs="Times New Roman"/>
          <w:spacing w:val="6"/>
          <w:sz w:val="24"/>
          <w:highlight w:val="none"/>
          <w:vertAlign w:val="subscript"/>
        </w:rPr>
        <w:t>1</w:t>
      </w:r>
    </w:p>
    <w:p>
      <w:pPr>
        <w:adjustRightInd w:val="0"/>
        <w:snapToGrid w:val="0"/>
        <w:spacing w:line="360" w:lineRule="auto"/>
        <w:ind w:firstLine="504" w:firstLineChars="200"/>
        <w:textAlignment w:val="baseline"/>
        <w:rPr>
          <w:rFonts w:hint="default" w:ascii="Times New Roman" w:hAnsi="Times New Roman" w:cs="Times New Roman"/>
          <w:szCs w:val="28"/>
          <w:highlight w:val="none"/>
        </w:rPr>
      </w:pPr>
      <w:r>
        <w:rPr>
          <w:rFonts w:hint="default" w:ascii="Times New Roman" w:hAnsi="Times New Roman" w:cs="Times New Roman"/>
          <w:spacing w:val="6"/>
          <w:sz w:val="24"/>
          <w:highlight w:val="none"/>
        </w:rPr>
        <w:t>C</w:t>
      </w:r>
      <w:r>
        <w:rPr>
          <w:rFonts w:hint="default" w:ascii="Times New Roman" w:hAnsi="Times New Roman" w:cs="Times New Roman"/>
          <w:spacing w:val="6"/>
          <w:sz w:val="24"/>
          <w:highlight w:val="none"/>
          <w:vertAlign w:val="subscript"/>
        </w:rPr>
        <w:t>1</w:t>
      </w:r>
      <w:r>
        <w:rPr>
          <w:rFonts w:hint="default" w:ascii="Times New Roman" w:hAnsi="Times New Roman" w:cs="Times New Roman"/>
          <w:spacing w:val="6"/>
          <w:sz w:val="24"/>
          <w:highlight w:val="none"/>
        </w:rPr>
        <w:t>=a×</w:t>
      </w:r>
      <w:r>
        <w:rPr>
          <w:rFonts w:hint="default" w:ascii="Times New Roman" w:hAnsi="Times New Roman" w:cs="Times New Roman"/>
          <w:bCs/>
          <w:spacing w:val="6"/>
          <w:sz w:val="24"/>
          <w:highlight w:val="none"/>
        </w:rPr>
        <w:t>C</w:t>
      </w:r>
      <w:r>
        <w:rPr>
          <w:rFonts w:hint="default" w:ascii="Times New Roman" w:hAnsi="Times New Roman" w:cs="Times New Roman"/>
          <w:bCs/>
          <w:spacing w:val="6"/>
          <w:sz w:val="24"/>
          <w:highlight w:val="none"/>
          <w:vertAlign w:val="subscript"/>
        </w:rPr>
        <w:t>0</w:t>
      </w:r>
      <w:r>
        <w:rPr>
          <w:rFonts w:hint="default" w:ascii="Times New Roman" w:hAnsi="Times New Roman" w:cs="Times New Roman"/>
          <w:spacing w:val="6"/>
          <w:sz w:val="24"/>
          <w:highlight w:val="none"/>
        </w:rPr>
        <w:t>/N</w:t>
      </w:r>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式中：a――固定资产形成率，取环保投资的85％；</w:t>
      </w:r>
    </w:p>
    <w:p>
      <w:pPr>
        <w:adjustRightInd w:val="0"/>
        <w:snapToGrid w:val="0"/>
        <w:spacing w:line="360" w:lineRule="auto"/>
        <w:ind w:firstLine="1260" w:firstLineChars="500"/>
        <w:textAlignment w:val="baseline"/>
        <w:rPr>
          <w:rFonts w:hint="default" w:ascii="Times New Roman" w:hAnsi="Times New Roman" w:cs="Times New Roman"/>
          <w:bCs/>
          <w:spacing w:val="6"/>
          <w:sz w:val="24"/>
          <w:highlight w:val="none"/>
        </w:rPr>
      </w:pPr>
      <w:r>
        <w:rPr>
          <w:rFonts w:hint="default" w:ascii="Times New Roman" w:hAnsi="Times New Roman" w:cs="Times New Roman"/>
          <w:bCs/>
          <w:spacing w:val="6"/>
          <w:sz w:val="24"/>
          <w:highlight w:val="none"/>
        </w:rPr>
        <w:t>C</w:t>
      </w:r>
      <w:r>
        <w:rPr>
          <w:rFonts w:hint="default" w:ascii="Times New Roman" w:hAnsi="Times New Roman" w:cs="Times New Roman"/>
          <w:bCs/>
          <w:spacing w:val="6"/>
          <w:sz w:val="24"/>
          <w:highlight w:val="none"/>
          <w:vertAlign w:val="subscript"/>
        </w:rPr>
        <w:t>0</w:t>
      </w:r>
      <w:r>
        <w:rPr>
          <w:rFonts w:hint="default" w:ascii="Times New Roman" w:hAnsi="Times New Roman" w:cs="Times New Roman"/>
          <w:bCs/>
          <w:spacing w:val="6"/>
          <w:sz w:val="24"/>
          <w:highlight w:val="none"/>
        </w:rPr>
        <w:t>――环保总投资（万元）；</w:t>
      </w:r>
    </w:p>
    <w:p>
      <w:pPr>
        <w:adjustRightInd w:val="0"/>
        <w:snapToGrid w:val="0"/>
        <w:spacing w:line="360" w:lineRule="auto"/>
        <w:ind w:firstLine="1260" w:firstLineChars="5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N――折旧年限，取10年；</w:t>
      </w:r>
    </w:p>
    <w:p>
      <w:pPr>
        <w:adjustRightInd w:val="0"/>
        <w:snapToGrid w:val="0"/>
        <w:spacing w:line="360" w:lineRule="auto"/>
        <w:ind w:firstLine="1260" w:firstLineChars="5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经计算，环保设施折旧费C</w:t>
      </w:r>
      <w:r>
        <w:rPr>
          <w:rFonts w:hint="default" w:ascii="Times New Roman" w:hAnsi="Times New Roman" w:cs="Times New Roman"/>
          <w:spacing w:val="6"/>
          <w:sz w:val="24"/>
          <w:highlight w:val="none"/>
          <w:vertAlign w:val="subscript"/>
        </w:rPr>
        <w:t>1</w:t>
      </w:r>
      <w:r>
        <w:rPr>
          <w:rFonts w:hint="default" w:ascii="Times New Roman" w:hAnsi="Times New Roman" w:cs="Times New Roman"/>
          <w:spacing w:val="6"/>
          <w:sz w:val="24"/>
          <w:highlight w:val="none"/>
        </w:rPr>
        <w:t>为</w:t>
      </w:r>
      <w:r>
        <w:rPr>
          <w:rFonts w:hint="default" w:ascii="Times New Roman" w:hAnsi="Times New Roman" w:cs="Times New Roman"/>
          <w:spacing w:val="6"/>
          <w:sz w:val="24"/>
          <w:highlight w:val="none"/>
          <w:lang w:val="en-US" w:eastAsia="zh-CN"/>
        </w:rPr>
        <w:t>31.07</w:t>
      </w:r>
      <w:r>
        <w:rPr>
          <w:rFonts w:hint="default" w:ascii="Times New Roman" w:hAnsi="Times New Roman" w:cs="Times New Roman"/>
          <w:spacing w:val="6"/>
          <w:sz w:val="24"/>
          <w:highlight w:val="none"/>
        </w:rPr>
        <w:t>万元。</w:t>
      </w:r>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（2）环保设施运行费C</w:t>
      </w:r>
      <w:r>
        <w:rPr>
          <w:rFonts w:hint="default" w:ascii="Times New Roman" w:hAnsi="Times New Roman" w:cs="Times New Roman"/>
          <w:spacing w:val="6"/>
          <w:sz w:val="24"/>
          <w:highlight w:val="none"/>
          <w:vertAlign w:val="subscript"/>
        </w:rPr>
        <w:t>2</w:t>
      </w:r>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参照国内其它企业的有关资料，环保设施及综合利用设施的年运行费可按环保总投资的10％计算。</w:t>
      </w:r>
    </w:p>
    <w:p>
      <w:pPr>
        <w:adjustRightInd w:val="0"/>
        <w:snapToGrid w:val="0"/>
        <w:spacing w:line="360" w:lineRule="auto"/>
        <w:ind w:firstLine="504" w:firstLineChars="200"/>
        <w:textAlignment w:val="baseline"/>
        <w:rPr>
          <w:rFonts w:hint="default" w:ascii="Times New Roman" w:hAnsi="Times New Roman" w:cs="Times New Roman"/>
          <w:szCs w:val="28"/>
          <w:highlight w:val="none"/>
        </w:rPr>
      </w:pPr>
      <w:r>
        <w:rPr>
          <w:rFonts w:hint="default" w:ascii="Times New Roman" w:hAnsi="Times New Roman" w:cs="Times New Roman"/>
          <w:spacing w:val="6"/>
          <w:sz w:val="24"/>
          <w:highlight w:val="none"/>
        </w:rPr>
        <w:t>C</w:t>
      </w:r>
      <w:r>
        <w:rPr>
          <w:rFonts w:hint="default" w:ascii="Times New Roman" w:hAnsi="Times New Roman" w:cs="Times New Roman"/>
          <w:spacing w:val="6"/>
          <w:sz w:val="24"/>
          <w:highlight w:val="none"/>
          <w:vertAlign w:val="subscript"/>
        </w:rPr>
        <w:t>2</w:t>
      </w:r>
      <w:r>
        <w:rPr>
          <w:rFonts w:hint="default" w:ascii="Times New Roman" w:hAnsi="Times New Roman" w:cs="Times New Roman"/>
          <w:spacing w:val="6"/>
          <w:sz w:val="24"/>
          <w:highlight w:val="none"/>
        </w:rPr>
        <w:t>=</w:t>
      </w:r>
      <w:r>
        <w:rPr>
          <w:rFonts w:hint="default" w:ascii="Times New Roman" w:hAnsi="Times New Roman" w:cs="Times New Roman"/>
          <w:bCs/>
          <w:spacing w:val="6"/>
          <w:sz w:val="24"/>
          <w:highlight w:val="none"/>
        </w:rPr>
        <w:t xml:space="preserve"> C</w:t>
      </w:r>
      <w:r>
        <w:rPr>
          <w:rFonts w:hint="default" w:ascii="Times New Roman" w:hAnsi="Times New Roman" w:cs="Times New Roman"/>
          <w:bCs/>
          <w:spacing w:val="6"/>
          <w:sz w:val="24"/>
          <w:highlight w:val="none"/>
          <w:vertAlign w:val="subscript"/>
        </w:rPr>
        <w:t>0</w:t>
      </w:r>
      <w:r>
        <w:rPr>
          <w:rFonts w:hint="default" w:ascii="Times New Roman" w:hAnsi="Times New Roman" w:cs="Times New Roman"/>
          <w:spacing w:val="6"/>
          <w:sz w:val="24"/>
          <w:highlight w:val="none"/>
        </w:rPr>
        <w:t>×10%</w:t>
      </w:r>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经计算，环保设施运行费C</w:t>
      </w:r>
      <w:r>
        <w:rPr>
          <w:rFonts w:hint="default" w:ascii="Times New Roman" w:hAnsi="Times New Roman" w:cs="Times New Roman"/>
          <w:spacing w:val="6"/>
          <w:sz w:val="24"/>
          <w:highlight w:val="none"/>
          <w:vertAlign w:val="subscript"/>
        </w:rPr>
        <w:t>2</w:t>
      </w:r>
      <w:r>
        <w:rPr>
          <w:rFonts w:hint="default" w:ascii="Times New Roman" w:hAnsi="Times New Roman" w:cs="Times New Roman"/>
          <w:spacing w:val="6"/>
          <w:sz w:val="24"/>
          <w:highlight w:val="none"/>
        </w:rPr>
        <w:t>为3</w:t>
      </w:r>
      <w:r>
        <w:rPr>
          <w:rFonts w:hint="default" w:ascii="Times New Roman" w:hAnsi="Times New Roman" w:cs="Times New Roman"/>
          <w:spacing w:val="6"/>
          <w:sz w:val="24"/>
          <w:highlight w:val="none"/>
          <w:lang w:val="en-US" w:eastAsia="zh-CN"/>
        </w:rPr>
        <w:t>6.6</w:t>
      </w:r>
      <w:r>
        <w:rPr>
          <w:rFonts w:hint="default" w:ascii="Times New Roman" w:hAnsi="Times New Roman" w:cs="Times New Roman"/>
          <w:spacing w:val="6"/>
          <w:sz w:val="24"/>
          <w:highlight w:val="none"/>
        </w:rPr>
        <w:t>万元。</w:t>
      </w:r>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（3）环保管理费用C</w:t>
      </w:r>
      <w:r>
        <w:rPr>
          <w:rFonts w:hint="default" w:ascii="Times New Roman" w:hAnsi="Times New Roman" w:cs="Times New Roman"/>
          <w:spacing w:val="6"/>
          <w:sz w:val="24"/>
          <w:highlight w:val="none"/>
          <w:vertAlign w:val="subscript"/>
        </w:rPr>
        <w:t>3</w:t>
      </w:r>
    </w:p>
    <w:p>
      <w:pPr>
        <w:adjustRightInd w:val="0"/>
        <w:snapToGrid w:val="0"/>
        <w:spacing w:line="360" w:lineRule="auto"/>
        <w:ind w:firstLine="504" w:firstLineChars="200"/>
        <w:textAlignment w:val="baseline"/>
        <w:rPr>
          <w:rFonts w:hint="default" w:ascii="Times New Roman" w:hAnsi="Times New Roman" w:cs="Times New Roman"/>
          <w:bCs/>
          <w:spacing w:val="6"/>
          <w:sz w:val="24"/>
          <w:highlight w:val="none"/>
        </w:rPr>
      </w:pPr>
      <w:r>
        <w:rPr>
          <w:rFonts w:hint="default" w:ascii="Times New Roman" w:hAnsi="Times New Roman" w:cs="Times New Roman"/>
          <w:bCs/>
          <w:spacing w:val="6"/>
          <w:sz w:val="24"/>
          <w:highlight w:val="none"/>
        </w:rPr>
        <w:t>环保管理费用包括管理部门的办公费、监测费、技术咨询、学术交流和科研等费用，按环保投资的1.0%计算。</w:t>
      </w:r>
    </w:p>
    <w:p>
      <w:pPr>
        <w:adjustRightInd w:val="0"/>
        <w:snapToGrid w:val="0"/>
        <w:spacing w:line="360" w:lineRule="auto"/>
        <w:ind w:firstLine="504" w:firstLineChars="200"/>
        <w:textAlignment w:val="baseline"/>
        <w:rPr>
          <w:rFonts w:hint="default" w:ascii="Times New Roman" w:hAnsi="Times New Roman" w:cs="Times New Roman"/>
          <w:szCs w:val="28"/>
          <w:highlight w:val="none"/>
        </w:rPr>
      </w:pPr>
      <w:r>
        <w:rPr>
          <w:rFonts w:hint="default" w:ascii="Times New Roman" w:hAnsi="Times New Roman" w:cs="Times New Roman"/>
          <w:spacing w:val="6"/>
          <w:sz w:val="24"/>
          <w:highlight w:val="none"/>
        </w:rPr>
        <w:t>C</w:t>
      </w:r>
      <w:r>
        <w:rPr>
          <w:rFonts w:hint="default" w:ascii="Times New Roman" w:hAnsi="Times New Roman" w:cs="Times New Roman"/>
          <w:spacing w:val="6"/>
          <w:sz w:val="24"/>
          <w:highlight w:val="none"/>
          <w:vertAlign w:val="subscript"/>
        </w:rPr>
        <w:t>3</w:t>
      </w:r>
      <w:r>
        <w:rPr>
          <w:rFonts w:hint="default" w:ascii="Times New Roman" w:hAnsi="Times New Roman" w:cs="Times New Roman"/>
          <w:spacing w:val="6"/>
          <w:sz w:val="24"/>
          <w:highlight w:val="none"/>
        </w:rPr>
        <w:t>=</w:t>
      </w:r>
      <w:r>
        <w:rPr>
          <w:rFonts w:hint="default" w:ascii="Times New Roman" w:hAnsi="Times New Roman" w:cs="Times New Roman"/>
          <w:bCs/>
          <w:spacing w:val="6"/>
          <w:sz w:val="24"/>
          <w:highlight w:val="none"/>
        </w:rPr>
        <w:t xml:space="preserve"> C</w:t>
      </w:r>
      <w:r>
        <w:rPr>
          <w:rFonts w:hint="default" w:ascii="Times New Roman" w:hAnsi="Times New Roman" w:cs="Times New Roman"/>
          <w:bCs/>
          <w:spacing w:val="6"/>
          <w:sz w:val="24"/>
          <w:highlight w:val="none"/>
          <w:vertAlign w:val="subscript"/>
        </w:rPr>
        <w:t>0</w:t>
      </w:r>
      <w:r>
        <w:rPr>
          <w:rFonts w:hint="default" w:ascii="Times New Roman" w:hAnsi="Times New Roman" w:cs="Times New Roman"/>
          <w:spacing w:val="6"/>
          <w:sz w:val="24"/>
          <w:highlight w:val="none"/>
        </w:rPr>
        <w:t>×1%</w:t>
      </w:r>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经计算，环保管理费用C</w:t>
      </w:r>
      <w:r>
        <w:rPr>
          <w:rFonts w:hint="default" w:ascii="Times New Roman" w:hAnsi="Times New Roman" w:cs="Times New Roman"/>
          <w:spacing w:val="6"/>
          <w:sz w:val="24"/>
          <w:highlight w:val="none"/>
          <w:vertAlign w:val="subscript"/>
        </w:rPr>
        <w:t>3</w:t>
      </w:r>
      <w:r>
        <w:rPr>
          <w:rFonts w:hint="default" w:ascii="Times New Roman" w:hAnsi="Times New Roman" w:cs="Times New Roman"/>
          <w:spacing w:val="6"/>
          <w:sz w:val="24"/>
          <w:highlight w:val="none"/>
        </w:rPr>
        <w:t>为</w:t>
      </w:r>
      <w:r>
        <w:rPr>
          <w:rFonts w:hint="default" w:ascii="Times New Roman" w:hAnsi="Times New Roman" w:cs="Times New Roman"/>
          <w:spacing w:val="6"/>
          <w:sz w:val="24"/>
          <w:highlight w:val="none"/>
          <w:lang w:val="en-US" w:eastAsia="zh-CN"/>
        </w:rPr>
        <w:t>3.66</w:t>
      </w:r>
      <w:r>
        <w:rPr>
          <w:rFonts w:hint="default" w:ascii="Times New Roman" w:hAnsi="Times New Roman" w:cs="Times New Roman"/>
          <w:spacing w:val="6"/>
          <w:sz w:val="24"/>
          <w:highlight w:val="none"/>
        </w:rPr>
        <w:t>万元。</w:t>
      </w:r>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（4）环保设施运行支出C</w:t>
      </w:r>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环保设施运行支出为上述C</w:t>
      </w:r>
      <w:r>
        <w:rPr>
          <w:rFonts w:hint="default" w:ascii="Times New Roman" w:hAnsi="Times New Roman" w:cs="Times New Roman"/>
          <w:spacing w:val="6"/>
          <w:sz w:val="24"/>
          <w:highlight w:val="none"/>
          <w:vertAlign w:val="subscript"/>
        </w:rPr>
        <w:t>1</w:t>
      </w:r>
      <w:r>
        <w:rPr>
          <w:rFonts w:hint="default" w:ascii="Times New Roman" w:hAnsi="Times New Roman" w:cs="Times New Roman"/>
          <w:spacing w:val="6"/>
          <w:sz w:val="24"/>
          <w:highlight w:val="none"/>
        </w:rPr>
        <w:t>＋C</w:t>
      </w:r>
      <w:r>
        <w:rPr>
          <w:rFonts w:hint="default" w:ascii="Times New Roman" w:hAnsi="Times New Roman" w:cs="Times New Roman"/>
          <w:spacing w:val="6"/>
          <w:sz w:val="24"/>
          <w:highlight w:val="none"/>
          <w:vertAlign w:val="subscript"/>
        </w:rPr>
        <w:t>2</w:t>
      </w:r>
      <w:r>
        <w:rPr>
          <w:rFonts w:hint="default" w:ascii="Times New Roman" w:hAnsi="Times New Roman" w:cs="Times New Roman"/>
          <w:spacing w:val="6"/>
          <w:sz w:val="24"/>
          <w:highlight w:val="none"/>
        </w:rPr>
        <w:t>＋C</w:t>
      </w:r>
      <w:r>
        <w:rPr>
          <w:rFonts w:hint="default" w:ascii="Times New Roman" w:hAnsi="Times New Roman" w:cs="Times New Roman"/>
          <w:spacing w:val="6"/>
          <w:sz w:val="24"/>
          <w:highlight w:val="none"/>
          <w:vertAlign w:val="subscript"/>
        </w:rPr>
        <w:t>3</w:t>
      </w:r>
      <w:r>
        <w:rPr>
          <w:rFonts w:hint="default" w:ascii="Times New Roman" w:hAnsi="Times New Roman" w:cs="Times New Roman"/>
          <w:spacing w:val="6"/>
          <w:sz w:val="24"/>
          <w:highlight w:val="none"/>
        </w:rPr>
        <w:t>三项费用之和</w:t>
      </w:r>
    </w:p>
    <w:p>
      <w:pPr>
        <w:adjustRightInd w:val="0"/>
        <w:snapToGrid w:val="0"/>
        <w:spacing w:line="360" w:lineRule="auto"/>
        <w:ind w:firstLine="504" w:firstLineChars="200"/>
        <w:textAlignment w:val="baseline"/>
        <w:rPr>
          <w:rFonts w:hint="default" w:ascii="Times New Roman" w:hAnsi="Times New Roman" w:eastAsia="宋体" w:cs="Times New Roman"/>
          <w:spacing w:val="6"/>
          <w:sz w:val="24"/>
          <w:highlight w:val="none"/>
          <w:lang w:val="en-US" w:eastAsia="zh-CN"/>
        </w:rPr>
      </w:pPr>
      <w:r>
        <w:rPr>
          <w:rFonts w:hint="default" w:ascii="Times New Roman" w:hAnsi="Times New Roman" w:cs="Times New Roman"/>
          <w:spacing w:val="6"/>
          <w:sz w:val="24"/>
          <w:highlight w:val="none"/>
        </w:rPr>
        <w:t>C＝C</w:t>
      </w:r>
      <w:r>
        <w:rPr>
          <w:rFonts w:hint="default" w:ascii="Times New Roman" w:hAnsi="Times New Roman" w:cs="Times New Roman"/>
          <w:spacing w:val="6"/>
          <w:sz w:val="24"/>
          <w:highlight w:val="none"/>
          <w:vertAlign w:val="subscript"/>
        </w:rPr>
        <w:t>1</w:t>
      </w:r>
      <w:r>
        <w:rPr>
          <w:rFonts w:hint="default" w:ascii="Times New Roman" w:hAnsi="Times New Roman" w:cs="Times New Roman"/>
          <w:spacing w:val="6"/>
          <w:sz w:val="24"/>
          <w:highlight w:val="none"/>
        </w:rPr>
        <w:t>＋C</w:t>
      </w:r>
      <w:r>
        <w:rPr>
          <w:rFonts w:hint="default" w:ascii="Times New Roman" w:hAnsi="Times New Roman" w:cs="Times New Roman"/>
          <w:spacing w:val="6"/>
          <w:sz w:val="24"/>
          <w:highlight w:val="none"/>
          <w:vertAlign w:val="subscript"/>
        </w:rPr>
        <w:t>2</w:t>
      </w:r>
      <w:r>
        <w:rPr>
          <w:rFonts w:hint="default" w:ascii="Times New Roman" w:hAnsi="Times New Roman" w:cs="Times New Roman"/>
          <w:spacing w:val="6"/>
          <w:sz w:val="24"/>
          <w:highlight w:val="none"/>
        </w:rPr>
        <w:t>＋C</w:t>
      </w:r>
      <w:r>
        <w:rPr>
          <w:rFonts w:hint="default" w:ascii="Times New Roman" w:hAnsi="Times New Roman" w:cs="Times New Roman"/>
          <w:spacing w:val="6"/>
          <w:sz w:val="24"/>
          <w:highlight w:val="none"/>
          <w:vertAlign w:val="subscript"/>
        </w:rPr>
        <w:t>3</w:t>
      </w:r>
      <w:r>
        <w:rPr>
          <w:rFonts w:hint="default" w:ascii="Times New Roman" w:hAnsi="Times New Roman" w:cs="Times New Roman"/>
          <w:spacing w:val="6"/>
          <w:sz w:val="24"/>
          <w:highlight w:val="none"/>
        </w:rPr>
        <w:t>＝</w:t>
      </w:r>
      <w:r>
        <w:rPr>
          <w:rFonts w:hint="default" w:ascii="Times New Roman" w:hAnsi="Times New Roman" w:cs="Times New Roman"/>
          <w:spacing w:val="6"/>
          <w:sz w:val="24"/>
          <w:highlight w:val="none"/>
          <w:lang w:val="en-US" w:eastAsia="zh-CN"/>
        </w:rPr>
        <w:t>71.33</w:t>
      </w:r>
    </w:p>
    <w:p>
      <w:pPr>
        <w:adjustRightInd w:val="0"/>
        <w:snapToGrid w:val="0"/>
        <w:spacing w:line="360" w:lineRule="auto"/>
        <w:ind w:firstLine="504" w:firstLineChars="200"/>
        <w:textAlignment w:val="baseline"/>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经计算，该工程每年的环保设施运行支出费用为</w:t>
      </w:r>
      <w:r>
        <w:rPr>
          <w:rFonts w:hint="default" w:ascii="Times New Roman" w:hAnsi="Times New Roman" w:cs="Times New Roman"/>
          <w:spacing w:val="6"/>
          <w:sz w:val="24"/>
          <w:highlight w:val="none"/>
          <w:lang w:val="en-US" w:eastAsia="zh-CN"/>
        </w:rPr>
        <w:t>71.33</w:t>
      </w:r>
      <w:r>
        <w:rPr>
          <w:rFonts w:hint="default" w:ascii="Times New Roman" w:hAnsi="Times New Roman" w:cs="Times New Roman"/>
          <w:spacing w:val="6"/>
          <w:sz w:val="24"/>
          <w:highlight w:val="none"/>
        </w:rPr>
        <w:t>万元。</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6.2.3环保设施经济效益分析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（1）直接经济效益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项目采取各项环保措施后，带来的直接经济效益表现为两方面。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一是，废气、废水和噪声等环保设施的投用，可以很大程度减轻对周边环境的影响，使得周边环境及人群健康产生的影响可以接受；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二是，环保设施投入运营后，使得各污染物达标排放，同时避免了因超标排放而需要支出的超标排污费。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（2）间接经济效益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间接效益表现在项目采取的污染治理措施、环境风险防范等措施实施后，可有效保护当地的生态和自然环境，相应获得的间接价值较高。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项目设计采用了比较完善的废气、废水、地下水保护措施、环境风险与应急设施以及噪声污染、固体废物处置和综合利用措施。环保设施建设和运营，保证了项目污染物的达标排放，保证了项目符合清洁生产和循环经济要求，确保了区域生态环境质量符合环境功能区划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综上，项目在经济、环境和社会效益方面基本达到了统一。</w:t>
      </w:r>
    </w:p>
    <w:p>
      <w:pPr>
        <w:adjustRightInd w:val="0"/>
        <w:snapToGrid w:val="0"/>
        <w:spacing w:line="360" w:lineRule="auto"/>
        <w:ind w:firstLine="480" w:firstLineChars="200"/>
        <w:rPr>
          <w:rFonts w:hint="default" w:ascii="Times New Roman" w:hAnsi="Times New Roman" w:cs="Times New Roman"/>
          <w:sz w:val="24"/>
          <w:highlight w:val="none"/>
        </w:rPr>
      </w:pPr>
    </w:p>
    <w:p>
      <w:pPr>
        <w:spacing w:before="120" w:beforeLines="50" w:after="120" w:afterLines="50"/>
        <w:jc w:val="left"/>
        <w:outlineLvl w:val="0"/>
        <w:rPr>
          <w:rFonts w:hint="default" w:ascii="Times New Roman" w:hAnsi="Times New Roman" w:eastAsia="黑体" w:cs="Times New Roman"/>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sectPr>
      </w:pPr>
    </w:p>
    <w:p>
      <w:pPr>
        <w:spacing w:before="120" w:beforeLines="50" w:after="120" w:afterLines="50"/>
        <w:jc w:val="left"/>
        <w:outlineLvl w:val="0"/>
        <w:rPr>
          <w:rFonts w:hint="default" w:ascii="Times New Roman" w:hAnsi="Times New Roman" w:eastAsia="黑体" w:cs="Times New Roman"/>
          <w:bCs/>
          <w:sz w:val="32"/>
          <w:szCs w:val="32"/>
          <w:highlight w:val="none"/>
        </w:rPr>
      </w:pPr>
      <w:bookmarkStart w:id="123" w:name="_Toc31176"/>
      <w:r>
        <w:rPr>
          <w:rFonts w:hint="default" w:ascii="Times New Roman" w:hAnsi="Times New Roman" w:eastAsia="黑体" w:cs="Times New Roman"/>
          <w:bCs/>
          <w:sz w:val="32"/>
          <w:szCs w:val="32"/>
          <w:highlight w:val="none"/>
        </w:rPr>
        <w:t>7选址合理性及平面布局合理性分析</w:t>
      </w:r>
      <w:bookmarkEnd w:id="40"/>
      <w:bookmarkEnd w:id="123"/>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24" w:name="_Toc15296"/>
      <w:bookmarkStart w:id="125" w:name="_Toc521334394"/>
      <w:r>
        <w:rPr>
          <w:rFonts w:hint="default" w:ascii="Times New Roman" w:hAnsi="Times New Roman" w:eastAsia="黑体" w:cs="Times New Roman"/>
          <w:bCs/>
          <w:sz w:val="30"/>
          <w:szCs w:val="30"/>
          <w:highlight w:val="none"/>
        </w:rPr>
        <w:t>7.1选址合理性分析</w:t>
      </w:r>
      <w:bookmarkEnd w:id="124"/>
      <w:bookmarkEnd w:id="1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本项目选址于下寨乡马庄子村南，为设施农用地，并取得备案意见，符合土地利用规划，不属于《限制用地项目目录（2012年本）》和《禁止用地项目目录（2012年本）》之列，选址合理。</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7.1.1项目建设符合产业政策要求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本项目为不属于《产业结构调整目录》（2019年本）中限制类、淘汰类项目；本项目不属于《河北省新增限制类产业目录》（2015版）、《秦皇岛市限制和禁止投资的产业目录》（2016版）限制和禁止类，项目符合国家及地方当前产业政策要求。</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7.1.2厂址不属于敏感区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(1)项目厂址不属于《河北省环境敏感区支持、限制及禁止建设项目名录（2005年修订版）》及《关于河北省区域禁（限）批建设项目的实施意见（试行）》（冀政〔2009〕89号）文件规定的敏感区域，选址符合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(2)项目厂址不属于《河北省城市集中式饮用水水源保护区划分》（冀环控【2009】4号）规划确定的城市集中式饮用水水源地保护区范围。</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7.1.3项目厂址符合相关规划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lang w:val="zh-CN"/>
        </w:rPr>
      </w:pPr>
      <w:r>
        <w:rPr>
          <w:rFonts w:hint="default" w:ascii="Times New Roman" w:hAnsi="Times New Roman" w:cs="Times New Roman"/>
          <w:snapToGrid w:val="0"/>
          <w:sz w:val="24"/>
          <w:szCs w:val="25"/>
          <w:highlight w:val="none"/>
          <w:lang w:val="zh-CN"/>
        </w:rPr>
        <w:t>根据《秦皇岛市生态环境保护“十三五”规划》，项目所在地大气环境执行《环境空气质量标准》（GB3095-2012）二级标准；声环境执行《声环境质量标准》（GB3096－2008）1类标准；项目建设符合环境功能区划要求。</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7.1.4项目建设对环境的影响较小</w:t>
      </w:r>
    </w:p>
    <w:p>
      <w:pPr>
        <w:pStyle w:val="155"/>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 xml:space="preserve">项目投入运营后，废气、废水、噪声排放符合相关标准要求，废水处理后农用，固体废物全部得到综合利用或合理处置。预测结果表明项目建设和运营，不会改变区域生态环境功能区域，对环境影响不大。项目存在的环境风险在可接受范围内，采取环境风险防范措施后可将风险降至最低水平，通过配设应急物资、制定应急预案、完善相关管理制度，提高项目的应急能力， 符合相关要求。 </w:t>
      </w:r>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126" w:name="_Toc292784025"/>
      <w:r>
        <w:rPr>
          <w:rFonts w:hint="default" w:ascii="Times New Roman" w:hAnsi="Times New Roman" w:eastAsia="黑体" w:cs="Times New Roman"/>
          <w:bCs/>
          <w:sz w:val="28"/>
          <w:szCs w:val="28"/>
          <w:highlight w:val="none"/>
        </w:rPr>
        <w:t>7.1.5公众支持程度</w:t>
      </w:r>
      <w:bookmarkEnd w:id="126"/>
    </w:p>
    <w:p>
      <w:pPr>
        <w:pStyle w:val="155"/>
        <w:ind w:firstLine="480"/>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根据建设单位就项目建设进行的公众意见调查结果，没有公众提出反对意见。</w:t>
      </w:r>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127" w:name="_Toc292784026"/>
      <w:r>
        <w:rPr>
          <w:rFonts w:hint="default" w:ascii="Times New Roman" w:hAnsi="Times New Roman" w:eastAsia="黑体" w:cs="Times New Roman"/>
          <w:bCs/>
          <w:sz w:val="28"/>
          <w:szCs w:val="28"/>
          <w:highlight w:val="none"/>
        </w:rPr>
        <w:t>7.1.6小结</w:t>
      </w:r>
      <w:bookmarkEnd w:id="127"/>
    </w:p>
    <w:p>
      <w:pPr>
        <w:pStyle w:val="155"/>
        <w:spacing w:line="360" w:lineRule="auto"/>
        <w:ind w:firstLine="480"/>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项目建设符合国家产业政策及地方相关政策要求，符合相关规划要求，环境质量现状符合环境功能区划要求，市政基础设施较好，运行后对环境影响不大，公众比较支持，风险防范措施和应急设施完善，项目选址可行。</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28" w:name="_Toc521334397"/>
      <w:bookmarkStart w:id="129" w:name="_Toc13837"/>
      <w:r>
        <w:rPr>
          <w:rFonts w:hint="default" w:ascii="Times New Roman" w:hAnsi="Times New Roman" w:eastAsia="黑体" w:cs="Times New Roman"/>
          <w:bCs/>
          <w:sz w:val="30"/>
          <w:szCs w:val="30"/>
          <w:highlight w:val="none"/>
        </w:rPr>
        <w:t>7.2平面布局合理性分析</w:t>
      </w:r>
      <w:bookmarkEnd w:id="128"/>
      <w:bookmarkEnd w:id="129"/>
    </w:p>
    <w:p>
      <w:pPr>
        <w:adjustRightInd w:val="0"/>
        <w:snapToGrid w:val="0"/>
        <w:spacing w:line="360" w:lineRule="auto"/>
        <w:ind w:firstLine="480" w:firstLineChars="200"/>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本次扩建项目便于物料转运，主要产臭设施远离村庄布置生产区与办公区分开布置，便于人流、物流分开。</w:t>
      </w:r>
    </w:p>
    <w:p>
      <w:pPr>
        <w:pStyle w:val="155"/>
        <w:spacing w:line="360" w:lineRule="auto"/>
        <w:ind w:firstLine="480"/>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项目平面布局符合工艺要求，有利于减少物质运距、能源输送距离，符合循环经济要求。</w:t>
      </w:r>
    </w:p>
    <w:p>
      <w:pPr>
        <w:pStyle w:val="155"/>
        <w:spacing w:line="360" w:lineRule="auto"/>
        <w:ind w:firstLine="480"/>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项目平面布局基本合理。</w:t>
      </w:r>
    </w:p>
    <w:p>
      <w:pPr>
        <w:spacing w:before="120" w:beforeLines="50" w:after="120" w:afterLines="50" w:line="360" w:lineRule="auto"/>
        <w:jc w:val="left"/>
        <w:outlineLvl w:val="0"/>
        <w:rPr>
          <w:rFonts w:hint="default" w:ascii="Times New Roman" w:hAnsi="Times New Roman" w:eastAsia="黑体" w:cs="Times New Roman"/>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sectPr>
      </w:pPr>
    </w:p>
    <w:p>
      <w:pPr>
        <w:spacing w:before="120" w:beforeLines="50" w:after="120" w:afterLines="50"/>
        <w:jc w:val="left"/>
        <w:outlineLvl w:val="0"/>
        <w:rPr>
          <w:rFonts w:hint="default" w:ascii="Times New Roman" w:hAnsi="Times New Roman" w:eastAsia="黑体" w:cs="Times New Roman"/>
          <w:bCs/>
          <w:sz w:val="32"/>
          <w:szCs w:val="32"/>
          <w:highlight w:val="none"/>
        </w:rPr>
      </w:pPr>
      <w:bookmarkStart w:id="130" w:name="_Toc6777"/>
      <w:r>
        <w:rPr>
          <w:rFonts w:hint="default" w:ascii="Times New Roman" w:hAnsi="Times New Roman" w:eastAsia="黑体" w:cs="Times New Roman"/>
          <w:bCs/>
          <w:sz w:val="32"/>
          <w:szCs w:val="32"/>
          <w:highlight w:val="none"/>
        </w:rPr>
        <w:t>8环境管理与监测计划</w:t>
      </w:r>
      <w:bookmarkEnd w:id="130"/>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31" w:name="_Toc30572"/>
      <w:bookmarkStart w:id="132" w:name="_Toc521334399"/>
      <w:r>
        <w:rPr>
          <w:rFonts w:hint="default" w:ascii="Times New Roman" w:hAnsi="Times New Roman" w:eastAsia="黑体" w:cs="Times New Roman"/>
          <w:bCs/>
          <w:sz w:val="30"/>
          <w:szCs w:val="30"/>
          <w:highlight w:val="none"/>
        </w:rPr>
        <w:t>8.1目的</w:t>
      </w:r>
      <w:bookmarkEnd w:id="131"/>
      <w:bookmarkEnd w:id="132"/>
    </w:p>
    <w:p>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环境管理是以环境科学理论为基础，运用经济、法律、技术、行政、教育等手段对经济、社会发展过程中施加给环境的污染和破坏影响进行调节控制，实现经济、社会和环境效益的和谐统一。随着我国环保法规的完善及严格执法，环境污染问题将极大地影响着企业的生存和发展，因此，环境管理应作为企业管理工作中的重要组成部分，企业应积极并主动地预防和治理污染，提高全体员工的环境意识，避免管理不善而可能发生的环境风险。</w:t>
      </w:r>
    </w:p>
    <w:p>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项目投产后会对周围环境带来一定的影响，因而必须在加强污染物排放控制的基础上，加大环境管理的力度。本评价依据环境评价提出的主要环境问题、环保工程措施有针对性地提出该项目的环境管理和监测计划，供各级环保部门对该项目进行环境管理时参考。</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33" w:name="_Toc521334400"/>
      <w:bookmarkStart w:id="134" w:name="_Toc30047"/>
      <w:bookmarkStart w:id="135" w:name="_Toc492049467"/>
      <w:bookmarkStart w:id="136" w:name="_Toc459897390"/>
      <w:bookmarkStart w:id="137" w:name="_Toc465955050"/>
      <w:bookmarkStart w:id="138" w:name="_Toc375575283"/>
      <w:r>
        <w:rPr>
          <w:rFonts w:hint="default" w:ascii="Times New Roman" w:hAnsi="Times New Roman" w:eastAsia="黑体" w:cs="Times New Roman"/>
          <w:bCs/>
          <w:sz w:val="30"/>
          <w:szCs w:val="30"/>
          <w:highlight w:val="none"/>
        </w:rPr>
        <w:t>8.2 环境管理要求</w:t>
      </w:r>
      <w:bookmarkEnd w:id="133"/>
      <w:bookmarkEnd w:id="134"/>
      <w:bookmarkEnd w:id="135"/>
    </w:p>
    <w:bookmarkEnd w:id="136"/>
    <w:p>
      <w:pPr>
        <w:adjustRightInd w:val="0"/>
        <w:snapToGrid w:val="0"/>
        <w:spacing w:line="360" w:lineRule="auto"/>
        <w:ind w:firstLine="480" w:firstLineChars="200"/>
        <w:rPr>
          <w:rFonts w:hint="default" w:ascii="Times New Roman" w:hAnsi="Times New Roman" w:cs="Times New Roman"/>
          <w:sz w:val="24"/>
          <w:highlight w:val="none"/>
        </w:rPr>
      </w:pPr>
      <w:bookmarkStart w:id="139" w:name="_Toc344467917"/>
      <w:bookmarkStart w:id="140" w:name="_Toc264985564"/>
      <w:r>
        <w:rPr>
          <w:rFonts w:hint="default" w:ascii="Times New Roman" w:hAnsi="Times New Roman" w:cs="Times New Roman"/>
          <w:sz w:val="24"/>
          <w:highlight w:val="none"/>
        </w:rPr>
        <w:t>本环评对建设项目的环境保护管理计划和主要环境管理方案提出以下建议，参见表8-1。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表8-1   环境管理工作计划一览表</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0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企业环境管理总要求</w:t>
            </w:r>
          </w:p>
        </w:tc>
        <w:tc>
          <w:tcPr>
            <w:tcW w:w="75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根据国家建设项目环境保护管理规定，认真落实各项环保手续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0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1"/>
                <w:highlight w:val="none"/>
              </w:rPr>
            </w:pPr>
          </w:p>
        </w:tc>
        <w:tc>
          <w:tcPr>
            <w:tcW w:w="75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⑴</w:t>
            </w:r>
            <w:r>
              <w:rPr>
                <w:rFonts w:hint="default" w:ascii="Times New Roman" w:hAnsi="Times New Roman" w:cs="Times New Roman"/>
                <w:highlight w:val="none"/>
              </w:rPr>
              <mc:AlternateContent>
                <mc:Choice Requires="wps">
                  <w:drawing>
                    <wp:anchor distT="0" distB="0" distL="114300" distR="114300" simplePos="0" relativeHeight="251651072" behindDoc="1" locked="0" layoutInCell="1" allowOverlap="1">
                      <wp:simplePos x="0" y="0"/>
                      <wp:positionH relativeFrom="page">
                        <wp:posOffset>6474460</wp:posOffset>
                      </wp:positionH>
                      <wp:positionV relativeFrom="paragraph">
                        <wp:posOffset>927100</wp:posOffset>
                      </wp:positionV>
                      <wp:extent cx="19050" cy="9525"/>
                      <wp:effectExtent l="0" t="0" r="0" b="0"/>
                      <wp:wrapNone/>
                      <wp:docPr id="95" name="矩形 1861"/>
                      <wp:cNvGraphicFramePr/>
                      <a:graphic xmlns:a="http://schemas.openxmlformats.org/drawingml/2006/main">
                        <a:graphicData uri="http://schemas.microsoft.com/office/word/2010/wordprocessingShape">
                          <wps:wsp>
                            <wps:cNvSpPr/>
                            <wps:spPr bwMode="auto">
                              <a:xfrm>
                                <a:off x="0" y="0"/>
                                <a:ext cx="19050" cy="952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矩形 1861" o:spid="_x0000_s1026" o:spt="1" style="position:absolute;left:0pt;margin-left:509.8pt;margin-top:73pt;height:0.75pt;width:1.5pt;mso-position-horizontal-relative:page;z-index:-251665408;mso-width-relative:page;mso-height-relative:page;" fillcolor="#000000" filled="t" stroked="f" coordsize="21600,21600" o:gfxdata="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HysEj2AAA&#10;AA0BAAAPAAAAAAAAAAEAIAAAACIAAABkcnMvZG93bnJldi54bWxQSwECFAAUAAAACACHTuJALjhb&#10;Q+UBAACoAwAADgAAAAAAAAABACAAAAAnAQAAZHJzL2Uyb0RvYy54bWxQSwUGAAAAAAYABgBZAQAA&#10;fgUAAAAA&#10;">
                      <v:fill on="t" focussize="0,0"/>
                      <v:stroke on="f"/>
                      <v:imagedata o:title=""/>
                      <o:lock v:ext="edit" aspectratio="f"/>
                    </v:rect>
                  </w:pict>
                </mc:Fallback>
              </mc:AlternateContent>
            </w:r>
            <w:r>
              <w:rPr>
                <w:rFonts w:hint="default" w:ascii="Times New Roman" w:hAnsi="Times New Roman" w:cs="Times New Roman"/>
                <w:snapToGrid w:val="0"/>
                <w:kern w:val="0"/>
                <w:szCs w:val="21"/>
                <w:highlight w:val="none"/>
              </w:rPr>
              <w:t>严把施工质量关，严格按照设计要求和施工验收规范质量要求执行；</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⑵生产运行中，定期进行例行环境监测工作，同时请当地环保部门监督、检查、协助主管部门做好环境管理工作，对不达标装置及时整顿；</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⑶配合当地环境监测站搞好例行监测工作，及时交纳环保税。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0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spacing w:val="-8"/>
                <w:kern w:val="0"/>
                <w:szCs w:val="21"/>
                <w:highlight w:val="none"/>
              </w:rPr>
            </w:pPr>
            <w:r>
              <w:rPr>
                <w:rFonts w:hint="default" w:ascii="Times New Roman" w:hAnsi="Times New Roman" w:cs="Times New Roman"/>
                <w:snapToGrid w:val="0"/>
                <w:spacing w:val="-8"/>
                <w:kern w:val="0"/>
                <w:szCs w:val="21"/>
                <w:highlight w:val="none"/>
              </w:rPr>
              <w:t>试生产阶段环境管理</w:t>
            </w:r>
          </w:p>
        </w:tc>
        <w:tc>
          <w:tcPr>
            <w:tcW w:w="75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完善准备、最大限度减少事故发生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0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spacing w:val="-8"/>
                <w:kern w:val="0"/>
                <w:szCs w:val="21"/>
                <w:highlight w:val="none"/>
              </w:rPr>
            </w:pPr>
          </w:p>
        </w:tc>
        <w:tc>
          <w:tcPr>
            <w:tcW w:w="75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⑴多方技术论证，完善工艺方案；</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⑵建立试生产工序管理和生产情况记录卡；</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⑶请环保部门协助试生产阶段环境管理工作；</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⑷监测环保设施及周围污染物排放情况。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0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生产阶段环境 管理</w:t>
            </w:r>
          </w:p>
        </w:tc>
        <w:tc>
          <w:tcPr>
            <w:tcW w:w="75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加强环保设备运行检查，确保达产达标、力求降低排污水平；杜绝安全隐患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0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1"/>
                <w:highlight w:val="none"/>
              </w:rPr>
            </w:pPr>
          </w:p>
        </w:tc>
        <w:tc>
          <w:tcPr>
            <w:tcW w:w="75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⑴明确专人负责厂内环保设施的管理；</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⑵对各项环保设施操作、维护定量考核，建立环保设施运行档案；</w:t>
            </w:r>
          </w:p>
          <w:p>
            <w:pPr>
              <w:autoSpaceDE w:val="0"/>
              <w:autoSpaceDN w:val="0"/>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⑶合理利用能源、资源、节水、节能；</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⑷监督物料运输和堆存过程中的环境保护工作；</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⑸</w:t>
            </w:r>
            <w:r>
              <w:rPr>
                <w:rFonts w:hint="default" w:ascii="Times New Roman" w:hAnsi="Times New Roman" w:cs="Times New Roman"/>
                <w:highlight w:val="none"/>
              </w:rPr>
              <w:t>积极开展自行监测工作，配合当地环保部门搞好监督性监测工作</w:t>
            </w:r>
            <w:r>
              <w:rPr>
                <w:rFonts w:hint="default" w:ascii="Times New Roman" w:hAnsi="Times New Roman" w:cs="Times New Roman"/>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0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信息反馈和群众监督</w:t>
            </w:r>
          </w:p>
        </w:tc>
        <w:tc>
          <w:tcPr>
            <w:tcW w:w="75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反馈监督数据，加强群众监督，改进污染治理工作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0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1"/>
                <w:highlight w:val="none"/>
              </w:rPr>
            </w:pPr>
          </w:p>
        </w:tc>
        <w:tc>
          <w:tcPr>
            <w:tcW w:w="75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⑴建立奖惩制度，保证环保设施正常运转；</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⑵归纳整理监督数据，技术部门配合进行工艺改进；</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⑶聘请附近职工为监督员，听取其意见；</w:t>
            </w:r>
          </w:p>
          <w:p>
            <w:pPr>
              <w:adjustRightInd w:val="0"/>
              <w:snapToGrid w:val="0"/>
              <w:jc w:val="left"/>
              <w:rPr>
                <w:rFonts w:hint="default" w:ascii="Times New Roman" w:hAnsi="Times New Roman" w:cs="Times New Roman"/>
                <w:snapToGrid w:val="0"/>
                <w:kern w:val="0"/>
                <w:szCs w:val="21"/>
                <w:highlight w:val="none"/>
              </w:rPr>
            </w:pPr>
            <w:r>
              <w:rPr>
                <w:rFonts w:hint="default" w:ascii="Times New Roman" w:hAnsi="Times New Roman" w:cs="Times New Roman"/>
                <w:snapToGrid w:val="0"/>
                <w:kern w:val="0"/>
                <w:szCs w:val="21"/>
                <w:highlight w:val="none"/>
              </w:rPr>
              <w:t>⑷配合环保部门的检查验收。</w:t>
            </w:r>
          </w:p>
        </w:tc>
      </w:tr>
      <w:bookmarkEnd w:id="137"/>
      <w:bookmarkEnd w:id="138"/>
      <w:bookmarkEnd w:id="139"/>
      <w:bookmarkEnd w:id="140"/>
    </w:tbl>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8.2.1施工期环境管理</w:t>
      </w:r>
    </w:p>
    <w:p>
      <w:pPr>
        <w:adjustRightInd w:val="0"/>
        <w:snapToGrid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（1）环境管理机构对施工期环境保护工作全面负责，履行施工期各阶段环境管理职责。</w:t>
      </w:r>
    </w:p>
    <w:p>
      <w:pPr>
        <w:adjustRightInd w:val="0"/>
        <w:snapToGrid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（2）对施工队伍实行职责管理，要求施工队伍按要求文明施工，并做好监督、检查和教育工作。</w:t>
      </w:r>
    </w:p>
    <w:p>
      <w:pPr>
        <w:adjustRightInd w:val="0"/>
        <w:snapToGrid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（3）按照环保主管部门的要求和本报告书中有关环境保护对策措施对施工程序和厂地布置实施统一安排。</w:t>
      </w:r>
    </w:p>
    <w:p>
      <w:pPr>
        <w:adjustRightInd w:val="0"/>
        <w:snapToGrid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（4）土建工程需要土石方的挖掘与运输、管道挖沟、施工建材机械等占地，对产生的扬尘应及时洒水，及时清除弃土，避免二次扬尘。</w:t>
      </w:r>
    </w:p>
    <w:p>
      <w:pPr>
        <w:adjustRightInd w:val="0"/>
        <w:snapToGrid w:val="0"/>
        <w:spacing w:line="360" w:lineRule="auto"/>
        <w:ind w:firstLine="480" w:firstLineChars="200"/>
        <w:jc w:val="left"/>
        <w:rPr>
          <w:rFonts w:hint="default" w:ascii="Times New Roman" w:hAnsi="Times New Roman" w:cs="Times New Roman"/>
          <w:sz w:val="20"/>
          <w:szCs w:val="20"/>
          <w:highlight w:val="none"/>
        </w:rPr>
      </w:pPr>
      <w:r>
        <w:rPr>
          <w:rFonts w:hint="default" w:ascii="Times New Roman" w:hAnsi="Times New Roman" w:cs="Times New Roman"/>
          <w:sz w:val="24"/>
          <w:szCs w:val="24"/>
          <w:highlight w:val="none"/>
        </w:rPr>
        <w:t>（5）合理布置施工厂内的机械和设备，把噪声较大的机械设备布置到远离居民的地点。</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表8-2 施工期环境管理和监理的主要内容</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131"/>
        <w:gridCol w:w="2131"/>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2132"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防治对象</w:t>
            </w:r>
          </w:p>
        </w:tc>
        <w:tc>
          <w:tcPr>
            <w:tcW w:w="2132"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防治措施</w:t>
            </w:r>
          </w:p>
        </w:tc>
        <w:tc>
          <w:tcPr>
            <w:tcW w:w="2132"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环境管理</w:t>
            </w:r>
          </w:p>
        </w:tc>
        <w:tc>
          <w:tcPr>
            <w:tcW w:w="2132" w:type="dxa"/>
            <w:vAlign w:val="center"/>
          </w:tcPr>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环境监理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2132"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施工扬尘</w:t>
            </w:r>
          </w:p>
        </w:tc>
        <w:tc>
          <w:tcPr>
            <w:tcW w:w="2132" w:type="dxa"/>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建筑垃圾及多余弃土及时清运</w:t>
            </w:r>
          </w:p>
        </w:tc>
        <w:tc>
          <w:tcPr>
            <w:tcW w:w="2132"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施工单位环保措施要落实到人，做好施工厂地环境管理和保洁工作</w:t>
            </w:r>
          </w:p>
        </w:tc>
        <w:tc>
          <w:tcPr>
            <w:tcW w:w="2132"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建设行政管理部门及环境管理部门进行定期检查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2" w:type="dxa"/>
            <w:vMerge w:val="continue"/>
            <w:vAlign w:val="center"/>
          </w:tcPr>
          <w:p>
            <w:pPr>
              <w:jc w:val="center"/>
              <w:rPr>
                <w:rFonts w:hint="default" w:ascii="Times New Roman" w:hAnsi="Times New Roman" w:cs="Times New Roman"/>
                <w:szCs w:val="21"/>
                <w:highlight w:val="none"/>
              </w:rPr>
            </w:pPr>
          </w:p>
        </w:tc>
        <w:tc>
          <w:tcPr>
            <w:tcW w:w="213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对工地及进出口定期洒水抑尘、清扫，保持工地整齐干净；</w:t>
            </w:r>
          </w:p>
        </w:tc>
        <w:tc>
          <w:tcPr>
            <w:tcW w:w="2132" w:type="dxa"/>
            <w:vMerge w:val="continue"/>
            <w:vAlign w:val="center"/>
          </w:tcPr>
          <w:p>
            <w:pPr>
              <w:adjustRightInd w:val="0"/>
              <w:snapToGrid w:val="0"/>
              <w:jc w:val="center"/>
              <w:rPr>
                <w:rFonts w:hint="default" w:ascii="Times New Roman" w:hAnsi="Times New Roman" w:cs="Times New Roman"/>
                <w:szCs w:val="21"/>
                <w:highlight w:val="none"/>
              </w:rPr>
            </w:pPr>
          </w:p>
        </w:tc>
        <w:tc>
          <w:tcPr>
            <w:tcW w:w="2132" w:type="dxa"/>
            <w:vMerge w:val="continue"/>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2" w:type="dxa"/>
            <w:vMerge w:val="continue"/>
            <w:vAlign w:val="center"/>
          </w:tcPr>
          <w:p>
            <w:pPr>
              <w:jc w:val="center"/>
              <w:rPr>
                <w:rFonts w:hint="default" w:ascii="Times New Roman" w:hAnsi="Times New Roman" w:cs="Times New Roman"/>
                <w:szCs w:val="21"/>
                <w:highlight w:val="none"/>
              </w:rPr>
            </w:pPr>
          </w:p>
        </w:tc>
        <w:tc>
          <w:tcPr>
            <w:tcW w:w="213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建筑工地按有关规定进行围挡</w:t>
            </w:r>
          </w:p>
        </w:tc>
        <w:tc>
          <w:tcPr>
            <w:tcW w:w="2132"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施工单位环保措施要落实到人，做好施工厂地环境管理和保洁工不外排</w:t>
            </w:r>
          </w:p>
        </w:tc>
        <w:tc>
          <w:tcPr>
            <w:tcW w:w="213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建设行政管理部门及环境管理部门进行定期检查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2"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施工噪声</w:t>
            </w:r>
          </w:p>
        </w:tc>
        <w:tc>
          <w:tcPr>
            <w:tcW w:w="213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将投标方的低噪声施工设备和技术作为中标内容；</w:t>
            </w:r>
          </w:p>
        </w:tc>
        <w:tc>
          <w:tcPr>
            <w:tcW w:w="2132" w:type="dxa"/>
            <w:vMerge w:val="continue"/>
            <w:vAlign w:val="center"/>
          </w:tcPr>
          <w:p>
            <w:pPr>
              <w:adjustRightInd w:val="0"/>
              <w:snapToGrid w:val="0"/>
              <w:jc w:val="center"/>
              <w:rPr>
                <w:rFonts w:hint="default" w:ascii="Times New Roman" w:hAnsi="Times New Roman" w:cs="Times New Roman"/>
                <w:szCs w:val="21"/>
                <w:highlight w:val="none"/>
              </w:rPr>
            </w:pPr>
          </w:p>
        </w:tc>
        <w:tc>
          <w:tcPr>
            <w:tcW w:w="2132"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环保监理部门对夜间施工噪声进行监</w:t>
            </w:r>
          </w:p>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督检查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2" w:type="dxa"/>
            <w:vMerge w:val="continue"/>
            <w:vAlign w:val="center"/>
          </w:tcPr>
          <w:p>
            <w:pPr>
              <w:jc w:val="center"/>
              <w:rPr>
                <w:rFonts w:hint="default" w:ascii="Times New Roman" w:hAnsi="Times New Roman" w:cs="Times New Roman"/>
                <w:szCs w:val="21"/>
                <w:highlight w:val="none"/>
              </w:rPr>
            </w:pPr>
          </w:p>
        </w:tc>
        <w:tc>
          <w:tcPr>
            <w:tcW w:w="213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禁止在 22：00～6：00 进行产生噪声污染的施工作业</w:t>
            </w:r>
          </w:p>
        </w:tc>
        <w:tc>
          <w:tcPr>
            <w:tcW w:w="2132" w:type="dxa"/>
            <w:vMerge w:val="continue"/>
            <w:vAlign w:val="center"/>
          </w:tcPr>
          <w:p>
            <w:pPr>
              <w:adjustRightInd w:val="0"/>
              <w:snapToGrid w:val="0"/>
              <w:jc w:val="center"/>
              <w:rPr>
                <w:rFonts w:hint="default" w:ascii="Times New Roman" w:hAnsi="Times New Roman" w:cs="Times New Roman"/>
                <w:szCs w:val="21"/>
                <w:highlight w:val="none"/>
              </w:rPr>
            </w:pPr>
          </w:p>
        </w:tc>
        <w:tc>
          <w:tcPr>
            <w:tcW w:w="2132" w:type="dxa"/>
            <w:vMerge w:val="continue"/>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2132"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废水</w:t>
            </w:r>
          </w:p>
        </w:tc>
        <w:tc>
          <w:tcPr>
            <w:tcW w:w="213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施工人员生活污水应集中排入防渗旱厕</w:t>
            </w:r>
          </w:p>
        </w:tc>
        <w:tc>
          <w:tcPr>
            <w:tcW w:w="2132" w:type="dxa"/>
            <w:vMerge w:val="continue"/>
            <w:vAlign w:val="center"/>
          </w:tcPr>
          <w:p>
            <w:pPr>
              <w:adjustRightInd w:val="0"/>
              <w:snapToGrid w:val="0"/>
              <w:jc w:val="center"/>
              <w:rPr>
                <w:rFonts w:hint="default" w:ascii="Times New Roman" w:hAnsi="Times New Roman" w:cs="Times New Roman"/>
                <w:szCs w:val="21"/>
                <w:highlight w:val="none"/>
              </w:rPr>
            </w:pPr>
          </w:p>
        </w:tc>
        <w:tc>
          <w:tcPr>
            <w:tcW w:w="2132" w:type="dxa"/>
            <w:vMerge w:val="restar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对于污水收集设施进行认真检查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2" w:type="dxa"/>
            <w:vMerge w:val="continue"/>
            <w:vAlign w:val="center"/>
          </w:tcPr>
          <w:p>
            <w:pPr>
              <w:jc w:val="center"/>
              <w:rPr>
                <w:rFonts w:hint="default" w:ascii="Times New Roman" w:hAnsi="Times New Roman" w:cs="Times New Roman"/>
                <w:szCs w:val="21"/>
                <w:highlight w:val="none"/>
              </w:rPr>
            </w:pPr>
          </w:p>
        </w:tc>
        <w:tc>
          <w:tcPr>
            <w:tcW w:w="213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避免在雨季进行基础开挖施工</w:t>
            </w:r>
          </w:p>
        </w:tc>
        <w:tc>
          <w:tcPr>
            <w:tcW w:w="2132" w:type="dxa"/>
            <w:vMerge w:val="continue"/>
            <w:vAlign w:val="center"/>
          </w:tcPr>
          <w:p>
            <w:pPr>
              <w:adjustRightInd w:val="0"/>
              <w:snapToGrid w:val="0"/>
              <w:jc w:val="center"/>
              <w:rPr>
                <w:rFonts w:hint="default" w:ascii="Times New Roman" w:hAnsi="Times New Roman" w:cs="Times New Roman"/>
                <w:szCs w:val="21"/>
                <w:highlight w:val="none"/>
              </w:rPr>
            </w:pPr>
          </w:p>
        </w:tc>
        <w:tc>
          <w:tcPr>
            <w:tcW w:w="2132" w:type="dxa"/>
            <w:vMerge w:val="continue"/>
            <w:vAlign w:val="center"/>
          </w:tcPr>
          <w:p>
            <w:pPr>
              <w:jc w:val="center"/>
              <w:rPr>
                <w:rFonts w:hint="default" w:ascii="Times New Roman" w:hAnsi="Times New Roman" w:cs="Times New Roman"/>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建筑及生活垃圾</w:t>
            </w:r>
          </w:p>
        </w:tc>
        <w:tc>
          <w:tcPr>
            <w:tcW w:w="213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建筑垃圾及多余弃土及时用于场地平整，及时压实</w:t>
            </w:r>
          </w:p>
        </w:tc>
        <w:tc>
          <w:tcPr>
            <w:tcW w:w="2132" w:type="dxa"/>
            <w:vMerge w:val="continue"/>
            <w:vAlign w:val="center"/>
          </w:tcPr>
          <w:p>
            <w:pPr>
              <w:adjustRightInd w:val="0"/>
              <w:snapToGrid w:val="0"/>
              <w:jc w:val="center"/>
              <w:rPr>
                <w:rFonts w:hint="default" w:ascii="Times New Roman" w:hAnsi="Times New Roman" w:cs="Times New Roman"/>
                <w:szCs w:val="21"/>
                <w:highlight w:val="none"/>
              </w:rPr>
            </w:pPr>
          </w:p>
        </w:tc>
        <w:tc>
          <w:tcPr>
            <w:tcW w:w="2132" w:type="dxa"/>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不外排</w:t>
            </w:r>
          </w:p>
        </w:tc>
      </w:tr>
    </w:tbl>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8.2.</w:t>
      </w:r>
      <w:r>
        <w:rPr>
          <w:rFonts w:hint="eastAsia" w:ascii="Times New Roman" w:hAnsi="Times New Roman" w:eastAsia="黑体" w:cs="Times New Roman"/>
          <w:bCs/>
          <w:sz w:val="28"/>
          <w:szCs w:val="28"/>
          <w:highlight w:val="none"/>
          <w:lang w:val="en-US" w:eastAsia="zh-CN"/>
        </w:rPr>
        <w:t>2</w:t>
      </w:r>
      <w:r>
        <w:rPr>
          <w:rFonts w:hint="default" w:ascii="Times New Roman" w:hAnsi="Times New Roman" w:eastAsia="黑体" w:cs="Times New Roman"/>
          <w:bCs/>
          <w:sz w:val="28"/>
          <w:szCs w:val="28"/>
          <w:highlight w:val="none"/>
        </w:rPr>
        <w:t>运营期环境管理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（1）环保管理机构应对场内环保实行统一管理，并对场区的环境质量全面进行监测。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（2）环保管理机构应做好日常环保设施与生产主体设备的统一管理，加强维护、定期检查，确保污染治理设施与主体设备正常运行。当治理设施发生故障时，应启动应急预案，防止污染事故的发生。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（3）定期对各猪舍、黑膜沼气池、沼气发电设施的环保工作情况进行考核，制定考核与奖惩的具体办法，将环保考核纳入生产考核的主要部分。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（4）对主要污染源进行定期监测，建立污染源档案。发现污染物非正常排放时，应分析原因，并及时采取相应措施，以控制污染，使污染物满足达标排放要求。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（5）接受省市环保部门的检查、指导，参加有关会议及经验交流活动。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表8-3   环境保护图形标志表</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10"/>
        <w:gridCol w:w="1933"/>
        <w:gridCol w:w="1977"/>
        <w:gridCol w:w="1424"/>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4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序号</w:t>
            </w:r>
          </w:p>
        </w:tc>
        <w:tc>
          <w:tcPr>
            <w:tcW w:w="1153"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fldChar w:fldCharType="begin"/>
            </w:r>
            <w:r>
              <w:rPr>
                <w:rFonts w:hint="default" w:ascii="Times New Roman" w:hAnsi="Times New Roman" w:cs="Times New Roman"/>
                <w:snapToGrid w:val="0"/>
                <w:kern w:val="0"/>
                <w:szCs w:val="20"/>
                <w:highlight w:val="none"/>
              </w:rPr>
              <w:instrText xml:space="preserve"> =  \* MERGEFORMAT </w:instrText>
            </w:r>
            <w:r>
              <w:rPr>
                <w:rFonts w:hint="default" w:ascii="Times New Roman" w:hAnsi="Times New Roman" w:cs="Times New Roman"/>
                <w:snapToGrid w:val="0"/>
                <w:kern w:val="0"/>
                <w:szCs w:val="20"/>
                <w:highlight w:val="none"/>
              </w:rPr>
              <w:fldChar w:fldCharType="end"/>
            </w:r>
            <w:r>
              <w:rPr>
                <w:rFonts w:hint="default" w:ascii="Times New Roman" w:hAnsi="Times New Roman" w:cs="Times New Roman"/>
                <w:snapToGrid w:val="0"/>
                <w:kern w:val="0"/>
                <w:szCs w:val="20"/>
                <w:highlight w:val="none"/>
              </w:rPr>
              <w:t>提示图像符号</w:t>
            </w:r>
          </w:p>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背景颜色：绿色</w:t>
            </w:r>
          </w:p>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图形颜色：白色</w:t>
            </w:r>
          </w:p>
        </w:tc>
        <w:tc>
          <w:tcPr>
            <w:tcW w:w="1153"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警告图像符号</w:t>
            </w:r>
          </w:p>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背景颜色：黄色</w:t>
            </w:r>
          </w:p>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图形颜色：黑色</w:t>
            </w:r>
          </w:p>
        </w:tc>
        <w:tc>
          <w:tcPr>
            <w:tcW w:w="8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名称</w:t>
            </w:r>
          </w:p>
        </w:tc>
        <w:tc>
          <w:tcPr>
            <w:tcW w:w="141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4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1</w:t>
            </w:r>
          </w:p>
        </w:tc>
        <w:tc>
          <w:tcPr>
            <w:tcW w:w="11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imes New Roman" w:hAnsi="Times New Roman" w:cs="Times New Roman"/>
                <w:sz w:val="24"/>
                <w:highlight w:val="none"/>
              </w:rPr>
            </w:pPr>
            <w:r>
              <w:rPr>
                <w:rFonts w:hint="default" w:ascii="Times New Roman" w:hAnsi="Times New Roman" w:cs="Times New Roman"/>
                <w:sz w:val="24"/>
                <w:highlight w:val="none"/>
              </w:rPr>
              <w:drawing>
                <wp:inline distT="0" distB="0" distL="0" distR="0">
                  <wp:extent cx="952500" cy="952500"/>
                  <wp:effectExtent l="0" t="0" r="0" b="0"/>
                  <wp:docPr id="87" name="图片 9" descr="点击看大图及详细资料">
                    <a:hlinkClick xmlns:a="http://schemas.openxmlformats.org/drawingml/2006/main" r:id="rId42"/>
                  </wp:docPr>
                  <wp:cNvGraphicFramePr/>
                  <a:graphic xmlns:a="http://schemas.openxmlformats.org/drawingml/2006/main">
                    <a:graphicData uri="http://schemas.openxmlformats.org/drawingml/2006/picture">
                      <pic:pic xmlns:pic="http://schemas.openxmlformats.org/drawingml/2006/picture">
                        <pic:nvPicPr>
                          <pic:cNvPr id="87" name="图片 9" descr="点击看大图及详细资料"/>
                          <pic:cNvPicPr/>
                        </pic:nvPicPr>
                        <pic:blipFill>
                          <a:blip r:embed="rId43">
                            <a:extLst>
                              <a:ext uri="{28A0092B-C50C-407E-A947-70E740481C1C}">
                                <a14:useLocalDpi xmlns:a14="http://schemas.microsoft.com/office/drawing/2010/main" val="0"/>
                              </a:ext>
                            </a:extLst>
                          </a:blip>
                          <a:srcRect/>
                          <a:stretch>
                            <a:fillRect/>
                          </a:stretch>
                        </pic:blipFill>
                        <pic:spPr>
                          <a:xfrm>
                            <a:off x="0" y="0"/>
                            <a:ext cx="952500" cy="952500"/>
                          </a:xfrm>
                          <a:prstGeom prst="rect">
                            <a:avLst/>
                          </a:prstGeom>
                          <a:noFill/>
                          <a:ln>
                            <a:noFill/>
                          </a:ln>
                        </pic:spPr>
                      </pic:pic>
                    </a:graphicData>
                  </a:graphic>
                </wp:inline>
              </w:drawing>
            </w:r>
          </w:p>
        </w:tc>
        <w:tc>
          <w:tcPr>
            <w:tcW w:w="11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imes New Roman" w:hAnsi="Times New Roman" w:cs="Times New Roman"/>
                <w:sz w:val="24"/>
                <w:highlight w:val="none"/>
              </w:rPr>
            </w:pPr>
            <w:r>
              <w:rPr>
                <w:rFonts w:hint="default" w:ascii="Times New Roman" w:hAnsi="Times New Roman" w:cs="Times New Roman"/>
                <w:sz w:val="24"/>
                <w:highlight w:val="none"/>
              </w:rPr>
              <w:drawing>
                <wp:inline distT="0" distB="0" distL="0" distR="0">
                  <wp:extent cx="952500" cy="840105"/>
                  <wp:effectExtent l="0" t="0" r="0" b="0"/>
                  <wp:docPr id="88" name="图片 10" descr="点击看大图及详细资料">
                    <a:hlinkClick xmlns:a="http://schemas.openxmlformats.org/drawingml/2006/main" r:id="rId44"/>
                  </wp:docPr>
                  <wp:cNvGraphicFramePr/>
                  <a:graphic xmlns:a="http://schemas.openxmlformats.org/drawingml/2006/main">
                    <a:graphicData uri="http://schemas.openxmlformats.org/drawingml/2006/picture">
                      <pic:pic xmlns:pic="http://schemas.openxmlformats.org/drawingml/2006/picture">
                        <pic:nvPicPr>
                          <pic:cNvPr id="88" name="图片 10" descr="点击看大图及详细资料"/>
                          <pic:cNvPicPr/>
                        </pic:nvPicPr>
                        <pic:blipFill>
                          <a:blip r:embed="rId45">
                            <a:extLst>
                              <a:ext uri="{28A0092B-C50C-407E-A947-70E740481C1C}">
                                <a14:useLocalDpi xmlns:a14="http://schemas.microsoft.com/office/drawing/2010/main" val="0"/>
                              </a:ext>
                            </a:extLst>
                          </a:blip>
                          <a:srcRect/>
                          <a:stretch>
                            <a:fillRect/>
                          </a:stretch>
                        </pic:blipFill>
                        <pic:spPr>
                          <a:xfrm>
                            <a:off x="0" y="0"/>
                            <a:ext cx="952500" cy="840105"/>
                          </a:xfrm>
                          <a:prstGeom prst="rect">
                            <a:avLst/>
                          </a:prstGeom>
                          <a:noFill/>
                          <a:ln>
                            <a:noFill/>
                          </a:ln>
                        </pic:spPr>
                      </pic:pic>
                    </a:graphicData>
                  </a:graphic>
                </wp:inline>
              </w:drawing>
            </w:r>
          </w:p>
        </w:tc>
        <w:tc>
          <w:tcPr>
            <w:tcW w:w="8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废气排放口</w:t>
            </w:r>
          </w:p>
        </w:tc>
        <w:tc>
          <w:tcPr>
            <w:tcW w:w="141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表示废气向大气排放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4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2</w:t>
            </w:r>
          </w:p>
        </w:tc>
        <w:tc>
          <w:tcPr>
            <w:tcW w:w="11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imes New Roman" w:hAnsi="Times New Roman" w:cs="Times New Roman"/>
                <w:sz w:val="24"/>
                <w:highlight w:val="none"/>
              </w:rPr>
            </w:pPr>
            <w:r>
              <w:rPr>
                <w:rFonts w:hint="default" w:ascii="Times New Roman" w:hAnsi="Times New Roman" w:cs="Times New Roman"/>
                <w:sz w:val="24"/>
                <w:highlight w:val="none"/>
              </w:rPr>
              <w:drawing>
                <wp:inline distT="0" distB="0" distL="0" distR="0">
                  <wp:extent cx="952500" cy="942975"/>
                  <wp:effectExtent l="0" t="0" r="0" b="0"/>
                  <wp:docPr id="89" name="图片 11" descr="点击看大图及详细资料">
                    <a:hlinkClick xmlns:a="http://schemas.openxmlformats.org/drawingml/2006/main" r:id="rId46"/>
                  </wp:docPr>
                  <wp:cNvGraphicFramePr/>
                  <a:graphic xmlns:a="http://schemas.openxmlformats.org/drawingml/2006/main">
                    <a:graphicData uri="http://schemas.openxmlformats.org/drawingml/2006/picture">
                      <pic:pic xmlns:pic="http://schemas.openxmlformats.org/drawingml/2006/picture">
                        <pic:nvPicPr>
                          <pic:cNvPr id="89" name="图片 11" descr="点击看大图及详细资料"/>
                          <pic:cNvPicPr/>
                        </pic:nvPicPr>
                        <pic:blipFill>
                          <a:blip r:embed="rId47">
                            <a:extLst>
                              <a:ext uri="{28A0092B-C50C-407E-A947-70E740481C1C}">
                                <a14:useLocalDpi xmlns:a14="http://schemas.microsoft.com/office/drawing/2010/main" val="0"/>
                              </a:ext>
                            </a:extLst>
                          </a:blip>
                          <a:srcRect/>
                          <a:stretch>
                            <a:fillRect/>
                          </a:stretch>
                        </pic:blipFill>
                        <pic:spPr>
                          <a:xfrm>
                            <a:off x="0" y="0"/>
                            <a:ext cx="952500" cy="942975"/>
                          </a:xfrm>
                          <a:prstGeom prst="rect">
                            <a:avLst/>
                          </a:prstGeom>
                          <a:noFill/>
                          <a:ln>
                            <a:noFill/>
                          </a:ln>
                        </pic:spPr>
                      </pic:pic>
                    </a:graphicData>
                  </a:graphic>
                </wp:inline>
              </w:drawing>
            </w:r>
          </w:p>
        </w:tc>
        <w:tc>
          <w:tcPr>
            <w:tcW w:w="11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imes New Roman" w:hAnsi="Times New Roman" w:cs="Times New Roman"/>
                <w:sz w:val="24"/>
                <w:highlight w:val="none"/>
              </w:rPr>
            </w:pPr>
            <w:r>
              <w:rPr>
                <w:rFonts w:hint="default" w:ascii="Times New Roman" w:hAnsi="Times New Roman" w:cs="Times New Roman"/>
                <w:sz w:val="24"/>
                <w:highlight w:val="none"/>
              </w:rPr>
              <w:drawing>
                <wp:inline distT="0" distB="0" distL="0" distR="0">
                  <wp:extent cx="952500" cy="840105"/>
                  <wp:effectExtent l="0" t="0" r="0" b="0"/>
                  <wp:docPr id="90" name="图片 12" descr="点击看大图及详细资料">
                    <a:hlinkClick xmlns:a="http://schemas.openxmlformats.org/drawingml/2006/main" r:id="rId48"/>
                  </wp:docPr>
                  <wp:cNvGraphicFramePr/>
                  <a:graphic xmlns:a="http://schemas.openxmlformats.org/drawingml/2006/main">
                    <a:graphicData uri="http://schemas.openxmlformats.org/drawingml/2006/picture">
                      <pic:pic xmlns:pic="http://schemas.openxmlformats.org/drawingml/2006/picture">
                        <pic:nvPicPr>
                          <pic:cNvPr id="90" name="图片 12" descr="点击看大图及详细资料"/>
                          <pic:cNvPicPr/>
                        </pic:nvPicPr>
                        <pic:blipFill>
                          <a:blip r:embed="rId49">
                            <a:extLst>
                              <a:ext uri="{28A0092B-C50C-407E-A947-70E740481C1C}">
                                <a14:useLocalDpi xmlns:a14="http://schemas.microsoft.com/office/drawing/2010/main" val="0"/>
                              </a:ext>
                            </a:extLst>
                          </a:blip>
                          <a:srcRect/>
                          <a:stretch>
                            <a:fillRect/>
                          </a:stretch>
                        </pic:blipFill>
                        <pic:spPr>
                          <a:xfrm>
                            <a:off x="0" y="0"/>
                            <a:ext cx="952500" cy="840105"/>
                          </a:xfrm>
                          <a:prstGeom prst="rect">
                            <a:avLst/>
                          </a:prstGeom>
                          <a:noFill/>
                          <a:ln>
                            <a:noFill/>
                          </a:ln>
                        </pic:spPr>
                      </pic:pic>
                    </a:graphicData>
                  </a:graphic>
                </wp:inline>
              </w:drawing>
            </w:r>
          </w:p>
        </w:tc>
        <w:tc>
          <w:tcPr>
            <w:tcW w:w="8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一般固体</w:t>
            </w:r>
          </w:p>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废物储存</w:t>
            </w:r>
          </w:p>
        </w:tc>
        <w:tc>
          <w:tcPr>
            <w:tcW w:w="141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表示一般固废贮存、</w:t>
            </w:r>
          </w:p>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4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3</w:t>
            </w:r>
          </w:p>
        </w:tc>
        <w:tc>
          <w:tcPr>
            <w:tcW w:w="11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imes New Roman" w:hAnsi="Times New Roman" w:cs="Times New Roman"/>
                <w:highlight w:val="none"/>
              </w:rPr>
            </w:pPr>
            <w:r>
              <w:rPr>
                <w:rFonts w:hint="default" w:ascii="Times New Roman" w:hAnsi="Times New Roman" w:cs="Times New Roman"/>
                <w:sz w:val="24"/>
                <w:highlight w:val="none"/>
              </w:rPr>
              <w:drawing>
                <wp:inline distT="0" distB="0" distL="0" distR="0">
                  <wp:extent cx="952500" cy="942975"/>
                  <wp:effectExtent l="0" t="0" r="0" b="0"/>
                  <wp:docPr id="91" name="图片 86" descr="点击看大图及详细资料">
                    <a:hlinkClick xmlns:a="http://schemas.openxmlformats.org/drawingml/2006/main" r:id="rId46"/>
                  </wp:docPr>
                  <wp:cNvGraphicFramePr/>
                  <a:graphic xmlns:a="http://schemas.openxmlformats.org/drawingml/2006/main">
                    <a:graphicData uri="http://schemas.openxmlformats.org/drawingml/2006/picture">
                      <pic:pic xmlns:pic="http://schemas.openxmlformats.org/drawingml/2006/picture">
                        <pic:nvPicPr>
                          <pic:cNvPr id="91" name="图片 86" descr="点击看大图及详细资料"/>
                          <pic:cNvPicPr/>
                        </pic:nvPicPr>
                        <pic:blipFill>
                          <a:blip r:embed="rId47">
                            <a:extLst>
                              <a:ext uri="{28A0092B-C50C-407E-A947-70E740481C1C}">
                                <a14:useLocalDpi xmlns:a14="http://schemas.microsoft.com/office/drawing/2010/main" val="0"/>
                              </a:ext>
                            </a:extLst>
                          </a:blip>
                          <a:srcRect/>
                          <a:stretch>
                            <a:fillRect/>
                          </a:stretch>
                        </pic:blipFill>
                        <pic:spPr>
                          <a:xfrm>
                            <a:off x="0" y="0"/>
                            <a:ext cx="952500" cy="942975"/>
                          </a:xfrm>
                          <a:prstGeom prst="rect">
                            <a:avLst/>
                          </a:prstGeom>
                          <a:noFill/>
                          <a:ln>
                            <a:noFill/>
                          </a:ln>
                        </pic:spPr>
                      </pic:pic>
                    </a:graphicData>
                  </a:graphic>
                </wp:inline>
              </w:drawing>
            </w:r>
          </w:p>
        </w:tc>
        <w:tc>
          <w:tcPr>
            <w:tcW w:w="11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1183005" cy="1036320"/>
                  <wp:effectExtent l="0" t="0" r="0" b="0"/>
                  <wp:docPr id="92" name="图片 87"/>
                  <wp:cNvGraphicFramePr/>
                  <a:graphic xmlns:a="http://schemas.openxmlformats.org/drawingml/2006/main">
                    <a:graphicData uri="http://schemas.openxmlformats.org/drawingml/2006/picture">
                      <pic:pic xmlns:pic="http://schemas.openxmlformats.org/drawingml/2006/picture">
                        <pic:nvPicPr>
                          <pic:cNvPr id="92" name="图片 87"/>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183005" cy="1036320"/>
                          </a:xfrm>
                          <a:prstGeom prst="rect">
                            <a:avLst/>
                          </a:prstGeom>
                          <a:noFill/>
                          <a:ln>
                            <a:noFill/>
                          </a:ln>
                        </pic:spPr>
                      </pic:pic>
                    </a:graphicData>
                  </a:graphic>
                </wp:inline>
              </w:drawing>
            </w:r>
          </w:p>
        </w:tc>
        <w:tc>
          <w:tcPr>
            <w:tcW w:w="8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危险废物</w:t>
            </w:r>
          </w:p>
        </w:tc>
        <w:tc>
          <w:tcPr>
            <w:tcW w:w="141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表示危险废物贮存、</w:t>
            </w:r>
          </w:p>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4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4</w:t>
            </w:r>
          </w:p>
        </w:tc>
        <w:tc>
          <w:tcPr>
            <w:tcW w:w="11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imes New Roman" w:hAnsi="Times New Roman" w:cs="Times New Roman"/>
                <w:sz w:val="24"/>
                <w:highlight w:val="none"/>
              </w:rPr>
            </w:pPr>
            <w:r>
              <w:rPr>
                <w:rFonts w:hint="default" w:ascii="Times New Roman" w:hAnsi="Times New Roman" w:cs="Times New Roman"/>
                <w:sz w:val="24"/>
                <w:highlight w:val="none"/>
              </w:rPr>
              <w:drawing>
                <wp:inline distT="0" distB="0" distL="0" distR="0">
                  <wp:extent cx="952500" cy="952500"/>
                  <wp:effectExtent l="0" t="0" r="0" b="0"/>
                  <wp:docPr id="93" name="图片 13" descr="点击看大图及详细资料">
                    <a:hlinkClick xmlns:a="http://schemas.openxmlformats.org/drawingml/2006/main" r:id="rId51"/>
                  </wp:docPr>
                  <wp:cNvGraphicFramePr/>
                  <a:graphic xmlns:a="http://schemas.openxmlformats.org/drawingml/2006/main">
                    <a:graphicData uri="http://schemas.openxmlformats.org/drawingml/2006/picture">
                      <pic:pic xmlns:pic="http://schemas.openxmlformats.org/drawingml/2006/picture">
                        <pic:nvPicPr>
                          <pic:cNvPr id="93" name="图片 13" descr="点击看大图及详细资料"/>
                          <pic:cNvPicPr/>
                        </pic:nvPicPr>
                        <pic:blipFill>
                          <a:blip r:embed="rId52">
                            <a:extLst>
                              <a:ext uri="{28A0092B-C50C-407E-A947-70E740481C1C}">
                                <a14:useLocalDpi xmlns:a14="http://schemas.microsoft.com/office/drawing/2010/main" val="0"/>
                              </a:ext>
                            </a:extLst>
                          </a:blip>
                          <a:srcRect/>
                          <a:stretch>
                            <a:fillRect/>
                          </a:stretch>
                        </pic:blipFill>
                        <pic:spPr>
                          <a:xfrm>
                            <a:off x="0" y="0"/>
                            <a:ext cx="952500" cy="952500"/>
                          </a:xfrm>
                          <a:prstGeom prst="rect">
                            <a:avLst/>
                          </a:prstGeom>
                          <a:noFill/>
                          <a:ln>
                            <a:noFill/>
                          </a:ln>
                        </pic:spPr>
                      </pic:pic>
                    </a:graphicData>
                  </a:graphic>
                </wp:inline>
              </w:drawing>
            </w:r>
          </w:p>
        </w:tc>
        <w:tc>
          <w:tcPr>
            <w:tcW w:w="11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imes New Roman" w:hAnsi="Times New Roman" w:cs="Times New Roman"/>
                <w:sz w:val="24"/>
                <w:highlight w:val="none"/>
              </w:rPr>
            </w:pPr>
            <w:r>
              <w:rPr>
                <w:rFonts w:hint="default" w:ascii="Times New Roman" w:hAnsi="Times New Roman" w:cs="Times New Roman"/>
                <w:sz w:val="24"/>
                <w:highlight w:val="none"/>
              </w:rPr>
              <w:drawing>
                <wp:inline distT="0" distB="0" distL="0" distR="0">
                  <wp:extent cx="952500" cy="840105"/>
                  <wp:effectExtent l="0" t="0" r="0" b="0"/>
                  <wp:docPr id="94" name="图片 14" descr="点击看大图及详细资料">
                    <a:hlinkClick xmlns:a="http://schemas.openxmlformats.org/drawingml/2006/main" r:id="rId53"/>
                  </wp:docPr>
                  <wp:cNvGraphicFramePr/>
                  <a:graphic xmlns:a="http://schemas.openxmlformats.org/drawingml/2006/main">
                    <a:graphicData uri="http://schemas.openxmlformats.org/drawingml/2006/picture">
                      <pic:pic xmlns:pic="http://schemas.openxmlformats.org/drawingml/2006/picture">
                        <pic:nvPicPr>
                          <pic:cNvPr id="94" name="图片 14" descr="点击看大图及详细资料"/>
                          <pic:cNvPicPr/>
                        </pic:nvPicPr>
                        <pic:blipFill>
                          <a:blip r:embed="rId54">
                            <a:extLst>
                              <a:ext uri="{28A0092B-C50C-407E-A947-70E740481C1C}">
                                <a14:useLocalDpi xmlns:a14="http://schemas.microsoft.com/office/drawing/2010/main" val="0"/>
                              </a:ext>
                            </a:extLst>
                          </a:blip>
                          <a:srcRect/>
                          <a:stretch>
                            <a:fillRect/>
                          </a:stretch>
                        </pic:blipFill>
                        <pic:spPr>
                          <a:xfrm>
                            <a:off x="0" y="0"/>
                            <a:ext cx="952500" cy="840105"/>
                          </a:xfrm>
                          <a:prstGeom prst="rect">
                            <a:avLst/>
                          </a:prstGeom>
                          <a:noFill/>
                          <a:ln>
                            <a:noFill/>
                          </a:ln>
                        </pic:spPr>
                      </pic:pic>
                    </a:graphicData>
                  </a:graphic>
                </wp:inline>
              </w:drawing>
            </w:r>
          </w:p>
        </w:tc>
        <w:tc>
          <w:tcPr>
            <w:tcW w:w="8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噪声源</w:t>
            </w:r>
          </w:p>
        </w:tc>
        <w:tc>
          <w:tcPr>
            <w:tcW w:w="141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表示噪声向外环境</w:t>
            </w:r>
          </w:p>
          <w:p>
            <w:pPr>
              <w:widowControl/>
              <w:adjustRightInd w:val="0"/>
              <w:snapToGrid w:val="0"/>
              <w:jc w:val="center"/>
              <w:rPr>
                <w:rFonts w:hint="default" w:ascii="Times New Roman" w:hAnsi="Times New Roman" w:cs="Times New Roman"/>
                <w:snapToGrid w:val="0"/>
                <w:kern w:val="0"/>
                <w:szCs w:val="20"/>
                <w:highlight w:val="none"/>
              </w:rPr>
            </w:pPr>
            <w:r>
              <w:rPr>
                <w:rFonts w:hint="default" w:ascii="Times New Roman" w:hAnsi="Times New Roman" w:cs="Times New Roman"/>
                <w:snapToGrid w:val="0"/>
                <w:kern w:val="0"/>
                <w:szCs w:val="20"/>
                <w:highlight w:val="none"/>
              </w:rPr>
              <w:t>排放</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cs="Times New Roman"/>
          <w:b/>
          <w:bCs/>
          <w:sz w:val="24"/>
          <w:highlight w:val="none"/>
        </w:rPr>
      </w:pPr>
      <w:r>
        <w:rPr>
          <w:rFonts w:hint="default" w:ascii="Times New Roman" w:hAnsi="Times New Roman" w:cs="Times New Roman"/>
          <w:b/>
          <w:bCs/>
          <w:sz w:val="24"/>
          <w:highlight w:val="none"/>
        </w:rPr>
        <w:t>废气采样孔、采样平台的设置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z w:val="24"/>
          <w:highlight w:val="none"/>
        </w:rPr>
      </w:pPr>
      <w:r>
        <w:rPr>
          <w:rFonts w:hint="default" w:ascii="Times New Roman" w:hAnsi="Times New Roman" w:cs="Times New Roman"/>
          <w:bCs/>
          <w:sz w:val="24"/>
          <w:highlight w:val="none"/>
        </w:rPr>
        <w:t>排气筒（烟囱）应设置便于采样、监测的采样口和采样监测平台。有净化设施的，应在其进出口分别设置采样口。根据《固定污染源排气中颗粒物测定与气态污染物采样方法》（ (GB/T 16157-1996)）、《固定源废气监测技术规范》（HJ/T397-2007）和《固定污染源烟气排放连续监测技术规范（试行）》（HJ/T 75-2007）中对采样孔和采样平台的要求：采样孔的设置应设于方便操作，如遇管道变径或弯头处，采样孔前后分别至少应留有管径3倍和6倍长的过度管段；采样平台的设置应方便操作、虑安全和电力的供应保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6</w:t>
      </w:r>
      <w:r>
        <w:rPr>
          <w:rFonts w:hint="default" w:ascii="Times New Roman" w:hAnsi="Times New Roman" w:cs="Times New Roman"/>
          <w:sz w:val="24"/>
          <w:highlight w:val="none"/>
        </w:rPr>
        <w:t>）企业公开信息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企业事业单位应当按照强制公开和自愿公开相结合的原则，及时、如实地公开其环境信息。</w:t>
      </w:r>
      <w:r>
        <w:rPr>
          <w:rFonts w:hint="default" w:ascii="Times New Roman" w:hAnsi="Times New Roman" w:cs="Times New Roman"/>
          <w:sz w:val="24"/>
          <w:highlight w:val="none"/>
        </w:rPr>
        <w:t>自行监测信息公开内容及方式可参照《企业事业单位环境信息公开办法》（环境保护部令第31 号）及《国家重点监控企业自行监测及信息公开办法（试行）》（环发〔2013〕81 号）执行，具体由地方环境保护主管部门确定。</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41" w:name="_Toc521334403"/>
      <w:bookmarkStart w:id="142" w:name="_Toc492049470"/>
      <w:bookmarkStart w:id="143" w:name="_Toc25294"/>
      <w:r>
        <w:rPr>
          <w:rFonts w:hint="default" w:ascii="Times New Roman" w:hAnsi="Times New Roman" w:eastAsia="黑体" w:cs="Times New Roman"/>
          <w:bCs/>
          <w:sz w:val="30"/>
          <w:szCs w:val="30"/>
          <w:highlight w:val="none"/>
        </w:rPr>
        <w:t>8.3 环境监测计划</w:t>
      </w:r>
      <w:bookmarkEnd w:id="141"/>
      <w:bookmarkEnd w:id="142"/>
      <w:bookmarkEnd w:id="143"/>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144" w:name="_Toc465955055"/>
      <w:r>
        <w:rPr>
          <w:rFonts w:hint="default" w:ascii="Times New Roman" w:hAnsi="Times New Roman" w:eastAsia="黑体" w:cs="Times New Roman"/>
          <w:bCs/>
          <w:sz w:val="28"/>
          <w:szCs w:val="28"/>
          <w:highlight w:val="none"/>
        </w:rPr>
        <w:t>8.3.1监测机构</w:t>
      </w:r>
      <w:bookmarkEnd w:id="14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bookmarkStart w:id="145" w:name="_Toc344467919"/>
      <w:bookmarkStart w:id="146" w:name="_Toc264985566"/>
      <w:r>
        <w:rPr>
          <w:rFonts w:hint="default" w:ascii="Times New Roman" w:hAnsi="Times New Roman" w:cs="Times New Roman"/>
          <w:sz w:val="24"/>
          <w:highlight w:val="none"/>
        </w:rPr>
        <w:t>本项目可不设专门环境监测机构，结合本厂具体情况，监测项目如废气、废水、噪声和环境质量等，可委托有资质的环境监测机构进行监测。</w:t>
      </w:r>
    </w:p>
    <w:p>
      <w:pPr>
        <w:spacing w:before="120" w:beforeLines="50" w:after="120" w:afterLines="50"/>
        <w:jc w:val="left"/>
        <w:outlineLvl w:val="2"/>
        <w:rPr>
          <w:rFonts w:hint="default" w:ascii="Times New Roman" w:hAnsi="Times New Roman" w:eastAsia="黑体" w:cs="Times New Roman"/>
          <w:bCs/>
          <w:sz w:val="28"/>
          <w:szCs w:val="28"/>
          <w:highlight w:val="none"/>
        </w:rPr>
      </w:pPr>
      <w:bookmarkStart w:id="147" w:name="_Toc465955056"/>
      <w:r>
        <w:rPr>
          <w:rFonts w:hint="default" w:ascii="Times New Roman" w:hAnsi="Times New Roman" w:eastAsia="黑体" w:cs="Times New Roman"/>
          <w:bCs/>
          <w:sz w:val="28"/>
          <w:szCs w:val="28"/>
          <w:highlight w:val="none"/>
        </w:rPr>
        <w:t>8.</w:t>
      </w:r>
      <w:r>
        <w:rPr>
          <w:rFonts w:hint="default" w:ascii="Times New Roman" w:hAnsi="Times New Roman" w:eastAsia="黑体" w:cs="Times New Roman"/>
          <w:bCs/>
          <w:sz w:val="28"/>
          <w:szCs w:val="28"/>
          <w:highlight w:val="none"/>
          <w:lang w:val="en-US" w:eastAsia="zh-CN"/>
        </w:rPr>
        <w:t>3</w:t>
      </w:r>
      <w:r>
        <w:rPr>
          <w:rFonts w:hint="default" w:ascii="Times New Roman" w:hAnsi="Times New Roman" w:eastAsia="黑体" w:cs="Times New Roman"/>
          <w:bCs/>
          <w:sz w:val="28"/>
          <w:szCs w:val="28"/>
          <w:highlight w:val="none"/>
        </w:rPr>
        <w:t>.2监测计划</w:t>
      </w:r>
      <w:bookmarkEnd w:id="145"/>
      <w:bookmarkEnd w:id="146"/>
      <w:bookmarkEnd w:id="14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为了解拟建项目建设对环境的影响及区域环境质量变化趋势，对区域环境质量及企业污染源进行定期监测，制定监测计划，定期开展监测，为治理环境污染提供必要的参考依据。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根据《排污单位自行监测技术指南 总则》（HJ819-2017）要求，企业开展定期监测，监测计划见表8-4。</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表8-4   污染源及环境质量监测计划一览表</w:t>
      </w:r>
      <w:bookmarkStart w:id="148" w:name="_Toc264985568"/>
      <w:bookmarkStart w:id="149" w:name="_Toc344467920"/>
    </w:p>
    <w:tbl>
      <w:tblPr>
        <w:tblStyle w:val="80"/>
        <w:tblW w:w="50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68"/>
        <w:gridCol w:w="1435"/>
        <w:gridCol w:w="2741"/>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4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Cs w:val="21"/>
                <w:highlight w:val="none"/>
              </w:rPr>
            </w:pPr>
            <w:bookmarkStart w:id="150" w:name="_Toc465955057"/>
            <w:r>
              <w:rPr>
                <w:rFonts w:hint="default" w:ascii="Times New Roman" w:hAnsi="Times New Roman" w:cs="Times New Roman"/>
                <w:b/>
                <w:bCs/>
                <w:szCs w:val="21"/>
                <w:highlight w:val="none"/>
              </w:rPr>
              <w:t>污染源</w:t>
            </w:r>
          </w:p>
        </w:tc>
        <w:tc>
          <w:tcPr>
            <w:tcW w:w="85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检测点位</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检测项目</w:t>
            </w:r>
          </w:p>
        </w:tc>
        <w:tc>
          <w:tcPr>
            <w:tcW w:w="8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20"/>
                <w:szCs w:val="20"/>
                <w:highlight w:val="none"/>
                <w:lang w:eastAsia="zh-CN"/>
              </w:rPr>
            </w:pPr>
            <w:r>
              <w:rPr>
                <w:rFonts w:hint="default" w:ascii="Times New Roman" w:hAnsi="Times New Roman" w:cs="Times New Roman"/>
                <w:b/>
                <w:bCs/>
                <w:szCs w:val="21"/>
                <w:highlight w:val="none"/>
              </w:rPr>
              <w:t>检测</w:t>
            </w:r>
            <w:r>
              <w:rPr>
                <w:rFonts w:hint="eastAsia" w:ascii="Times New Roman" w:hAnsi="Times New Roman" w:cs="Times New Roman"/>
                <w:b/>
                <w:bCs/>
                <w:szCs w:val="21"/>
                <w:highlight w:val="none"/>
                <w:lang w:val="en-US"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4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沼气发电废气</w:t>
            </w:r>
          </w:p>
        </w:tc>
        <w:tc>
          <w:tcPr>
            <w:tcW w:w="85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排气筒出口</w:t>
            </w:r>
          </w:p>
        </w:tc>
        <w:tc>
          <w:tcPr>
            <w:tcW w:w="162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二氧化硫、氮氧化物、颗粒物</w:t>
            </w:r>
          </w:p>
        </w:tc>
        <w:tc>
          <w:tcPr>
            <w:tcW w:w="8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4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Cs w:val="21"/>
                <w:highlight w:val="none"/>
                <w:lang w:eastAsia="zh-CN"/>
              </w:rPr>
            </w:pPr>
            <w:r>
              <w:rPr>
                <w:rFonts w:hint="eastAsia" w:ascii="Times New Roman" w:hAnsi="Times New Roman" w:cs="Times New Roman"/>
                <w:szCs w:val="21"/>
                <w:highlight w:val="none"/>
                <w:lang w:val="en-US" w:eastAsia="zh-CN"/>
              </w:rPr>
              <w:t>沼气</w:t>
            </w:r>
            <w:r>
              <w:rPr>
                <w:rFonts w:hint="default" w:ascii="Times New Roman" w:hAnsi="Times New Roman" w:cs="Times New Roman"/>
                <w:szCs w:val="21"/>
                <w:highlight w:val="none"/>
                <w:lang w:eastAsia="zh-CN"/>
              </w:rPr>
              <w:t>热水锅炉</w:t>
            </w:r>
          </w:p>
        </w:tc>
        <w:tc>
          <w:tcPr>
            <w:tcW w:w="85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排气筒出口</w:t>
            </w:r>
          </w:p>
        </w:tc>
        <w:tc>
          <w:tcPr>
            <w:tcW w:w="162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p>
        </w:tc>
        <w:tc>
          <w:tcPr>
            <w:tcW w:w="8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64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饲料加工废气</w:t>
            </w:r>
          </w:p>
        </w:tc>
        <w:tc>
          <w:tcPr>
            <w:tcW w:w="85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排气筒出口</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颗粒物</w:t>
            </w:r>
          </w:p>
        </w:tc>
        <w:tc>
          <w:tcPr>
            <w:tcW w:w="8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4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猪舍、储粪池、沼液池等</w:t>
            </w:r>
          </w:p>
        </w:tc>
        <w:tc>
          <w:tcPr>
            <w:tcW w:w="85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厂界</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氨、硫化氢、臭气浓度</w:t>
            </w:r>
          </w:p>
        </w:tc>
        <w:tc>
          <w:tcPr>
            <w:tcW w:w="8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0"/>
                <w:szCs w:val="20"/>
                <w:highlight w:val="none"/>
              </w:rPr>
            </w:pPr>
            <w:r>
              <w:rPr>
                <w:rFonts w:hint="default" w:ascii="Times New Roman" w:hAnsi="Times New Roman" w:cs="Times New Roman"/>
                <w:szCs w:val="21"/>
                <w:highlight w:val="none"/>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4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噪声</w:t>
            </w:r>
          </w:p>
        </w:tc>
        <w:tc>
          <w:tcPr>
            <w:tcW w:w="85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厂界</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Leq（A）</w:t>
            </w:r>
          </w:p>
        </w:tc>
        <w:tc>
          <w:tcPr>
            <w:tcW w:w="8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0"/>
                <w:szCs w:val="20"/>
                <w:highlight w:val="none"/>
              </w:rPr>
            </w:pPr>
            <w:r>
              <w:rPr>
                <w:rFonts w:hint="default" w:ascii="Times New Roman" w:hAnsi="Times New Roman" w:cs="Times New Roman"/>
                <w:szCs w:val="21"/>
                <w:highlight w:val="none"/>
              </w:rPr>
              <w:t>每季一次</w:t>
            </w:r>
          </w:p>
        </w:tc>
      </w:tr>
    </w:tbl>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8.</w:t>
      </w:r>
      <w:r>
        <w:rPr>
          <w:rFonts w:hint="default" w:ascii="Times New Roman" w:hAnsi="Times New Roman" w:eastAsia="黑体" w:cs="Times New Roman"/>
          <w:bCs/>
          <w:sz w:val="28"/>
          <w:szCs w:val="28"/>
          <w:highlight w:val="none"/>
          <w:lang w:val="en-US" w:eastAsia="zh-CN"/>
        </w:rPr>
        <w:t>3</w:t>
      </w:r>
      <w:r>
        <w:rPr>
          <w:rFonts w:hint="default" w:ascii="Times New Roman" w:hAnsi="Times New Roman" w:eastAsia="黑体" w:cs="Times New Roman"/>
          <w:bCs/>
          <w:sz w:val="28"/>
          <w:szCs w:val="28"/>
          <w:highlight w:val="none"/>
        </w:rPr>
        <w:t>.3监测技术要求及档案管理</w:t>
      </w:r>
      <w:bookmarkEnd w:id="148"/>
      <w:bookmarkEnd w:id="149"/>
      <w:bookmarkEnd w:id="15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环境监测采样、分析方法、数据处理及技术要求均遵循《环境监测技术规范》中有关环境要素监测技术规定的方法进行。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highlight w:val="none"/>
        </w:rPr>
      </w:pPr>
      <w:r>
        <w:rPr>
          <w:rFonts w:hint="default" w:ascii="Times New Roman" w:hAnsi="Times New Roman" w:cs="Times New Roman"/>
          <w:sz w:val="24"/>
          <w:highlight w:val="none"/>
        </w:rPr>
        <w:t>监测资料应进行技术分析、分类存档、科学管理，为企业防治环境污染途径和治理措施提供必要的依据，同时也是企业的环境保护资料统计上报、查阅、目标管理等必须要做的工作内容之一。</w:t>
      </w:r>
      <w:bookmarkStart w:id="151" w:name="_Toc521334404"/>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52" w:name="_Toc13213"/>
      <w:r>
        <w:rPr>
          <w:rFonts w:hint="default" w:ascii="Times New Roman" w:hAnsi="Times New Roman" w:eastAsia="黑体" w:cs="Times New Roman"/>
          <w:bCs/>
          <w:sz w:val="30"/>
          <w:szCs w:val="30"/>
          <w:highlight w:val="none"/>
        </w:rPr>
        <w:t>8.</w:t>
      </w:r>
      <w:r>
        <w:rPr>
          <w:rFonts w:hint="default" w:ascii="Times New Roman" w:hAnsi="Times New Roman" w:eastAsia="黑体" w:cs="Times New Roman"/>
          <w:bCs/>
          <w:sz w:val="30"/>
          <w:szCs w:val="30"/>
          <w:highlight w:val="none"/>
          <w:lang w:val="en-US" w:eastAsia="zh-CN"/>
        </w:rPr>
        <w:t>4</w:t>
      </w:r>
      <w:r>
        <w:rPr>
          <w:rFonts w:hint="default" w:ascii="Times New Roman" w:hAnsi="Times New Roman" w:eastAsia="黑体" w:cs="Times New Roman"/>
          <w:bCs/>
          <w:sz w:val="30"/>
          <w:szCs w:val="30"/>
          <w:highlight w:val="none"/>
        </w:rPr>
        <w:t>环保实施方案及“三同时”验收</w:t>
      </w:r>
      <w:bookmarkEnd w:id="151"/>
      <w:bookmarkEnd w:id="152"/>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项目总投资60000万元，其中施工期环保投资1.5万元，营运期环保投资340.5万元，环保投资主要用于废气的处理、废水处理、地下水保护、环境风险防范与应急等。</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运营期环保设施“三同时”验收表见表8-5。</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napToGrid w:val="0"/>
          <w:kern w:val="0"/>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表8-5    环保设施“三同时”验收一览表</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853"/>
        <w:gridCol w:w="1819"/>
        <w:gridCol w:w="4644"/>
        <w:gridCol w:w="826"/>
        <w:gridCol w:w="1650"/>
        <w:gridCol w:w="2008"/>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污染源</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治理对象</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环保设施及工艺</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设施规模</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治理效果</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执行标准及要求</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施工期</w:t>
            </w:r>
          </w:p>
        </w:tc>
        <w:tc>
          <w:tcPr>
            <w:tcW w:w="3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盥洗废水</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设置防渗旱厕，少量盥洗废水迹地泼洒</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不外排</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施工扬尘</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施工材料苫盖、洒水抑尘措施</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噪声</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作业噪声</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采取减振、隔声和控制作业时间等措施</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达标排放</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固废</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施工和生活垃圾</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清理外运处理</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不外排</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运</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营</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期</w:t>
            </w:r>
          </w:p>
        </w:tc>
        <w:tc>
          <w:tcPr>
            <w:tcW w:w="31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猪舍恶臭气体</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圈舍通风风扇、喷洒除臭剂喷洒，采用干清粪工艺，及时清理猪舍粪便，至少每天清理两次</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达标排放</w:t>
            </w:r>
          </w:p>
        </w:tc>
        <w:tc>
          <w:tcPr>
            <w:tcW w:w="746"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《畜禽养殖业污染物排放标准》（GB18596－2001）；《恶臭排放标准要求》（GB14554－93）</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猪粪处理</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储粪池、无害化处理池加活动顶盖</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1个</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达标排放</w:t>
            </w:r>
          </w:p>
        </w:tc>
        <w:tc>
          <w:tcPr>
            <w:tcW w:w="746"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养殖及粪污处</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理过程废气</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尿液直接通过圈舍下污水管道排入沼气发酵系统，场内排水沟加钢筋砼活动顶盖密封；在场区周围建设绿化带</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达标排放</w:t>
            </w:r>
          </w:p>
        </w:tc>
        <w:tc>
          <w:tcPr>
            <w:tcW w:w="746"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沼气</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沼气脱硫罐</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3个</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脱硫效率大于 99%，脱硫后的沼气硫化氢含量低于20mg/m³</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沼气发电机燃烧废气</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15m 高排气筒排放</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1套</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达标排放</w:t>
            </w:r>
          </w:p>
        </w:tc>
        <w:tc>
          <w:tcPr>
            <w:tcW w:w="746" w:type="pc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《大气污染物综合排放标准》（GB16297-1996）表 2 二级排放限值</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食堂油烟</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油烟净化器 1 套，风量：500m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/h</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去除效率 60%</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《饮食业油烟排放标准》（GB18483-2001）</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val="en-US" w:eastAsia="zh-CN"/>
              </w:rPr>
              <w:t>沼气</w:t>
            </w:r>
            <w:r>
              <w:rPr>
                <w:rFonts w:hint="default" w:ascii="Times New Roman" w:hAnsi="Times New Roman" w:eastAsia="宋体" w:cs="Times New Roman"/>
                <w:sz w:val="21"/>
                <w:szCs w:val="21"/>
                <w:highlight w:val="none"/>
                <w:lang w:eastAsia="zh-CN"/>
              </w:rPr>
              <w:t>热水锅炉燃烧废气</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超低氮燃烧器</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1个</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Cs w:val="0"/>
                <w:snapToGrid w:val="0"/>
                <w:sz w:val="21"/>
                <w:szCs w:val="21"/>
                <w:highlight w:val="none"/>
              </w:rPr>
              <w:t>《锅炉大气污染物排放标准》（GB13271-2014）表3中燃气锅炉排放限值和《关于开展燃气锅炉氮氧化物治理工作的通知》</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饲料加工废气</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集气罩</w:t>
            </w:r>
            <w:r>
              <w:rPr>
                <w:rFonts w:hint="default" w:ascii="Times New Roman" w:hAnsi="Times New Roman" w:eastAsia="宋体" w:cs="Times New Roman"/>
                <w:sz w:val="21"/>
                <w:szCs w:val="21"/>
                <w:highlight w:val="none"/>
                <w:lang w:val="en-US" w:eastAsia="zh-CN"/>
              </w:rPr>
              <w:t>+布袋除尘器</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1套</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99%</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《大气污染物综合排放标准》（GB16297-1996）表 2 二级排放限值</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生活污水、渗滤液</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利用黑膜沼气池处理</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1座，设计处理规模500m³/d</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达标排放</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《畜禽养殖业污染物排放标准》（GB18596－2001）表 6《粪便无害化卫生要求》（GB7959-2012）表 2</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初期雨水</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项目雨污分流，设置雨水排水系统 1 套</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雨污分流</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地下水</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防渗措施</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沼气设备间地面水泥硬化防渗，要求渗透系数小于 1.0×10</w:t>
            </w:r>
            <w:r>
              <w:rPr>
                <w:rFonts w:hint="default" w:ascii="Times New Roman" w:hAnsi="Times New Roman" w:eastAsia="宋体" w:cs="Times New Roman"/>
                <w:sz w:val="21"/>
                <w:szCs w:val="21"/>
                <w:highlight w:val="none"/>
                <w:vertAlign w:val="superscript"/>
              </w:rPr>
              <w:t>-5</w:t>
            </w:r>
            <w:r>
              <w:rPr>
                <w:rFonts w:hint="default" w:ascii="Times New Roman" w:hAnsi="Times New Roman" w:eastAsia="宋体" w:cs="Times New Roman"/>
                <w:sz w:val="21"/>
                <w:szCs w:val="21"/>
                <w:highlight w:val="none"/>
              </w:rPr>
              <w:t xml:space="preserve"> cm/s；舍、混合搅拌池、沼气池、储粪池、无害化处理池、沼液存储池、及污水管道防腐防渗处理，渗透系数小于 1.0×10</w:t>
            </w:r>
            <w:r>
              <w:rPr>
                <w:rFonts w:hint="default" w:ascii="Times New Roman" w:hAnsi="Times New Roman" w:eastAsia="宋体" w:cs="Times New Roman"/>
                <w:sz w:val="21"/>
                <w:szCs w:val="21"/>
                <w:highlight w:val="none"/>
                <w:vertAlign w:val="superscript"/>
              </w:rPr>
              <w:t xml:space="preserve"> -7</w:t>
            </w:r>
            <w:r>
              <w:rPr>
                <w:rFonts w:hint="default" w:ascii="Times New Roman" w:hAnsi="Times New Roman" w:eastAsia="宋体" w:cs="Times New Roman"/>
                <w:sz w:val="21"/>
                <w:szCs w:val="21"/>
                <w:highlight w:val="none"/>
              </w:rPr>
              <w:t xml:space="preserve"> cm/s，其中沼气池为粘土夯实打底，覆 1.5mm 厚高密度聚乙烯膜，其他池体及污水沟等采用 1.5mm 高密度聚乙烯膜（HDPE 膜）+水泥层防腐防渗；除上述区域外的厂区，按常规建筑结构要求做到非硬即绿</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(已经包含在其他设施建设之中)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跟踪检测井</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在粪污处理区下游方向设置 1 眼跟踪检测井</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噪声</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风机、水泵、刮粪机、发电机等</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选用低噪声设备，并置于房屋内建筑隔声</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若干</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厂界噪声达标</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GB12348-2008 中 1 级</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固体废物</w:t>
            </w:r>
          </w:p>
        </w:tc>
        <w:tc>
          <w:tcPr>
            <w:tcW w:w="676"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粪便</w:t>
            </w:r>
            <w:r>
              <w:rPr>
                <w:rFonts w:hint="default" w:ascii="Times New Roman" w:hAnsi="Times New Roman" w:eastAsia="宋体" w:cs="Times New Roman"/>
                <w:sz w:val="21"/>
                <w:szCs w:val="21"/>
                <w:highlight w:val="none"/>
                <w:lang w:eastAsia="zh-CN"/>
              </w:rPr>
              <w:t>尿液储存</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座储粪池</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4*6*5m</w:t>
            </w:r>
          </w:p>
        </w:tc>
        <w:tc>
          <w:tcPr>
            <w:tcW w:w="61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不外排</w:t>
            </w:r>
          </w:p>
        </w:tc>
        <w:tc>
          <w:tcPr>
            <w:tcW w:w="746"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《畜禽养殖业污染物排放标准》（GB18596－2001）表 6，《粪便无害化卫生要求》（GB7959-2012）表 2</w:t>
            </w:r>
          </w:p>
        </w:tc>
        <w:tc>
          <w:tcPr>
            <w:tcW w:w="39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w w:val="99"/>
                <w:sz w:val="21"/>
                <w:szCs w:val="21"/>
                <w:highlight w:val="none"/>
              </w:rPr>
            </w:pP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3座储尿池</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4*4*5m</w:t>
            </w:r>
          </w:p>
        </w:tc>
        <w:tc>
          <w:tcPr>
            <w:tcW w:w="61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746"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w w:val="99"/>
                <w:sz w:val="21"/>
                <w:szCs w:val="21"/>
                <w:highlight w:val="none"/>
              </w:rPr>
            </w:pPr>
          </w:p>
        </w:tc>
        <w:tc>
          <w:tcPr>
            <w:tcW w:w="394"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沼液</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沼液储存池1 座</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容积  </w:t>
            </w:r>
            <w:r>
              <w:rPr>
                <w:rFonts w:hint="default" w:ascii="Times New Roman" w:hAnsi="Times New Roman" w:eastAsia="宋体" w:cs="Times New Roman"/>
                <w:sz w:val="21"/>
                <w:szCs w:val="21"/>
                <w:highlight w:val="none"/>
                <w:lang w:val="en-US" w:eastAsia="zh-CN"/>
              </w:rPr>
              <w:t>1200</w:t>
            </w:r>
            <w:r>
              <w:rPr>
                <w:rFonts w:hint="default" w:ascii="Times New Roman" w:hAnsi="Times New Roman" w:eastAsia="宋体" w:cs="Times New Roman"/>
                <w:sz w:val="21"/>
                <w:szCs w:val="21"/>
                <w:highlight w:val="none"/>
              </w:rPr>
              <w:t>0m³</w:t>
            </w:r>
          </w:p>
        </w:tc>
        <w:tc>
          <w:tcPr>
            <w:tcW w:w="61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746"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符合《危险废物贮存污染物控制标准》（GB18597-2001）及修改单要求</w:t>
            </w:r>
          </w:p>
        </w:tc>
        <w:tc>
          <w:tcPr>
            <w:tcW w:w="39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废脱硫剂</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废脱硫剂暂存间</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 座，面积 10 ㎡</w:t>
            </w:r>
          </w:p>
        </w:tc>
        <w:tc>
          <w:tcPr>
            <w:tcW w:w="61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74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9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病死猪</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在厂区病死猪暂存库内暂存后，将病死猪送至昌黎县军强畜禽无害化处理厂处理</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《畜禽养殖业污染防治技术规范》HJ/T 81-2001</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生活垃圾</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收集后由环卫部门送往生活垃圾填埋场处理</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w w:val="96"/>
                <w:sz w:val="21"/>
                <w:szCs w:val="21"/>
                <w:highlight w:val="none"/>
              </w:rPr>
            </w:pPr>
            <w:r>
              <w:rPr>
                <w:rFonts w:hint="default" w:ascii="Times New Roman" w:hAnsi="Times New Roman" w:eastAsia="宋体" w:cs="Times New Roman"/>
                <w:w w:val="96"/>
                <w:sz w:val="21"/>
                <w:szCs w:val="21"/>
                <w:highlight w:val="none"/>
              </w:rPr>
              <w:t>/</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饲料加工除尘灰</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回用做饲料</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w w:val="96"/>
                <w:sz w:val="21"/>
                <w:szCs w:val="21"/>
                <w:highlight w:val="none"/>
                <w:lang w:val="en-US" w:eastAsia="zh-CN"/>
              </w:rPr>
            </w:pPr>
            <w:r>
              <w:rPr>
                <w:rFonts w:hint="eastAsia" w:ascii="Times New Roman" w:hAnsi="Times New Roman" w:cs="Times New Roman"/>
                <w:w w:val="96"/>
                <w:sz w:val="21"/>
                <w:szCs w:val="21"/>
                <w:highlight w:val="none"/>
                <w:lang w:val="en-US" w:eastAsia="zh-CN"/>
              </w:rPr>
              <w:t>/</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风险</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沼气设备</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气柜与民用建筑和仓库的距离应大于 25m；沼气柜出口处应设阻火器；在各危险地点和危险设备处，设置防护罩、防护栏等隔离设施，并设立安全标志或涂刷相应的安全色贮气柜必须安装防爆轴流风机、温度计、湿度测量仪、感温火灾探测器和自动监测报警仪等装置；沼气燃烧放散装置 1 套</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394" w:type="pc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317"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其他</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防疫</w:t>
            </w:r>
          </w:p>
        </w:tc>
        <w:tc>
          <w:tcPr>
            <w:tcW w:w="17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防疫工作及病猪医疗诊治工作均由唐山新六养殖有限公司负责进行，产生的废疫苗包装瓶在厂区暂存后送有资质单位进行处理</w:t>
            </w:r>
          </w:p>
        </w:tc>
        <w:tc>
          <w:tcPr>
            <w:tcW w:w="30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5台</w:t>
            </w:r>
          </w:p>
        </w:tc>
        <w:tc>
          <w:tcPr>
            <w:tcW w:w="6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394" w:type="pct"/>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7"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合计</w:t>
            </w:r>
          </w:p>
        </w:tc>
        <w:tc>
          <w:tcPr>
            <w:tcW w:w="6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2646"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p>
        </w:tc>
        <w:tc>
          <w:tcPr>
            <w:tcW w:w="7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3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3</w:t>
            </w:r>
            <w:r>
              <w:rPr>
                <w:rFonts w:hint="default" w:ascii="Times New Roman" w:hAnsi="Times New Roman" w:eastAsia="宋体" w:cs="Times New Roman"/>
                <w:sz w:val="21"/>
                <w:szCs w:val="21"/>
                <w:highlight w:val="none"/>
                <w:lang w:val="en-US" w:eastAsia="zh-CN"/>
              </w:rPr>
              <w:t>66.5</w:t>
            </w:r>
          </w:p>
        </w:tc>
      </w:tr>
    </w:tbl>
    <w:p>
      <w:pPr>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p>
    <w:p>
      <w:pPr>
        <w:widowControl/>
        <w:adjustRightInd w:val="0"/>
        <w:snapToGrid w:val="0"/>
        <w:spacing w:line="360" w:lineRule="auto"/>
        <w:jc w:val="left"/>
        <w:rPr>
          <w:rFonts w:hint="default" w:ascii="Times New Roman" w:hAnsi="Times New Roman" w:cs="Times New Roman"/>
          <w:snapToGrid w:val="0"/>
          <w:kern w:val="0"/>
          <w:sz w:val="24"/>
          <w:szCs w:val="24"/>
          <w:highlight w:val="none"/>
        </w:rPr>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720" w:num="1"/>
        </w:sectPr>
      </w:pPr>
    </w:p>
    <w:p>
      <w:pPr>
        <w:spacing w:before="120" w:beforeLines="50" w:after="120" w:afterLines="50"/>
        <w:jc w:val="left"/>
        <w:outlineLvl w:val="0"/>
        <w:rPr>
          <w:rFonts w:hint="default" w:ascii="Times New Roman" w:hAnsi="Times New Roman" w:eastAsia="黑体" w:cs="Times New Roman"/>
          <w:bCs/>
          <w:sz w:val="32"/>
          <w:szCs w:val="32"/>
          <w:highlight w:val="none"/>
        </w:rPr>
      </w:pPr>
      <w:bookmarkStart w:id="153" w:name="_Toc18702"/>
      <w:bookmarkStart w:id="154" w:name="_Toc521334405"/>
      <w:r>
        <w:rPr>
          <w:rFonts w:hint="default" w:ascii="Times New Roman" w:hAnsi="Times New Roman" w:eastAsia="黑体" w:cs="Times New Roman"/>
          <w:bCs/>
          <w:sz w:val="32"/>
          <w:szCs w:val="32"/>
          <w:highlight w:val="none"/>
        </w:rPr>
        <w:t>9总量控制</w:t>
      </w:r>
      <w:bookmarkEnd w:id="153"/>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55" w:name="_Toc14223"/>
      <w:r>
        <w:rPr>
          <w:rFonts w:hint="default" w:ascii="Times New Roman" w:hAnsi="Times New Roman" w:eastAsia="黑体" w:cs="Times New Roman"/>
          <w:bCs/>
          <w:sz w:val="30"/>
          <w:szCs w:val="30"/>
          <w:highlight w:val="none"/>
        </w:rPr>
        <w:t>9.1总量控制因子</w:t>
      </w:r>
      <w:bookmarkEnd w:id="15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 xml:space="preserve">根据“十三五”期间污染物排放总量控制指标，并结合本项目所在区域环境质量现状和项目外排污染物特征，因无废水外排，确定本项目污染物排放总量控制因子为：二氧化硫、氮氧化物和颗粒物。 </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56" w:name="_Toc19522"/>
      <w:r>
        <w:rPr>
          <w:rFonts w:hint="default" w:ascii="Times New Roman" w:hAnsi="Times New Roman" w:eastAsia="黑体" w:cs="Times New Roman"/>
          <w:bCs/>
          <w:sz w:val="30"/>
          <w:szCs w:val="30"/>
          <w:highlight w:val="none"/>
        </w:rPr>
        <w:t>9.2总量控制目标值的确定</w:t>
      </w:r>
      <w:bookmarkEnd w:id="15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 xml:space="preserve">根据《建设项目主要污染物排放总量指标审核及管理暂行办法》中提出的总量指标的计算方法，计算本项目主要污染物排放总量指标值。 </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snapToGrid w:val="0"/>
          <w:kern w:val="0"/>
          <w:sz w:val="24"/>
          <w:szCs w:val="24"/>
          <w:highlight w:val="none"/>
        </w:rPr>
      </w:pPr>
      <w:r>
        <w:rPr>
          <w:rFonts w:hint="eastAsia" w:ascii="Times New Roman" w:hAnsi="Times New Roman" w:cs="Times New Roman"/>
          <w:b/>
          <w:bCs/>
          <w:snapToGrid w:val="0"/>
          <w:kern w:val="0"/>
          <w:sz w:val="24"/>
          <w:szCs w:val="24"/>
          <w:highlight w:val="none"/>
          <w:lang w:eastAsia="zh-CN"/>
        </w:rPr>
        <w:t>（</w:t>
      </w:r>
      <w:r>
        <w:rPr>
          <w:rFonts w:hint="eastAsia" w:ascii="Times New Roman" w:hAnsi="Times New Roman" w:cs="Times New Roman"/>
          <w:b/>
          <w:bCs/>
          <w:snapToGrid w:val="0"/>
          <w:kern w:val="0"/>
          <w:sz w:val="24"/>
          <w:szCs w:val="24"/>
          <w:highlight w:val="none"/>
          <w:lang w:val="en-US" w:eastAsia="zh-CN"/>
        </w:rPr>
        <w:t>1</w:t>
      </w:r>
      <w:r>
        <w:rPr>
          <w:rFonts w:hint="eastAsia" w:ascii="Times New Roman" w:hAnsi="Times New Roman" w:cs="Times New Roman"/>
          <w:b/>
          <w:bCs/>
          <w:snapToGrid w:val="0"/>
          <w:kern w:val="0"/>
          <w:sz w:val="24"/>
          <w:szCs w:val="24"/>
          <w:highlight w:val="none"/>
          <w:lang w:eastAsia="zh-CN"/>
        </w:rPr>
        <w:t>）</w:t>
      </w:r>
      <w:r>
        <w:rPr>
          <w:rFonts w:hint="default" w:ascii="Times New Roman" w:hAnsi="Times New Roman" w:cs="Times New Roman"/>
          <w:snapToGrid w:val="0"/>
          <w:kern w:val="0"/>
          <w:sz w:val="24"/>
          <w:szCs w:val="24"/>
          <w:highlight w:val="none"/>
        </w:rPr>
        <w:t>本项目</w:t>
      </w:r>
      <w:r>
        <w:rPr>
          <w:rFonts w:hint="default" w:ascii="Times New Roman" w:hAnsi="Times New Roman" w:cs="Times New Roman"/>
          <w:snapToGrid w:val="0"/>
          <w:kern w:val="0"/>
          <w:sz w:val="24"/>
          <w:szCs w:val="24"/>
          <w:highlight w:val="none"/>
          <w:lang w:eastAsia="zh-CN"/>
        </w:rPr>
        <w:t>沼气发电污染物</w:t>
      </w:r>
      <w:r>
        <w:rPr>
          <w:rFonts w:hint="default" w:ascii="Times New Roman" w:hAnsi="Times New Roman" w:cs="Times New Roman"/>
          <w:snapToGrid w:val="0"/>
          <w:kern w:val="0"/>
          <w:sz w:val="24"/>
          <w:szCs w:val="24"/>
          <w:highlight w:val="none"/>
        </w:rPr>
        <w:t>排放执行《大气污染物综合排放标准》（GB16297-1996）表2标准限值：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二氧化硫总量控制指标值=</w:t>
      </w:r>
      <w:r>
        <w:rPr>
          <w:rFonts w:hint="default" w:ascii="Times New Roman" w:hAnsi="Times New Roman" w:cs="Times New Roman"/>
          <w:sz w:val="24"/>
          <w:szCs w:val="24"/>
          <w:highlight w:val="none"/>
        </w:rPr>
        <w:t>1.561×10</w:t>
      </w:r>
      <w:r>
        <w:rPr>
          <w:rFonts w:hint="default" w:ascii="Times New Roman" w:hAnsi="Times New Roman" w:cs="Times New Roman"/>
          <w:sz w:val="24"/>
          <w:szCs w:val="24"/>
          <w:highlight w:val="none"/>
          <w:vertAlign w:val="superscript"/>
        </w:rPr>
        <w:t>6</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/a</w:t>
      </w:r>
      <w:r>
        <w:rPr>
          <w:rFonts w:hint="default" w:ascii="Times New Roman" w:hAnsi="Times New Roman" w:cs="Times New Roman"/>
          <w:snapToGrid w:val="0"/>
          <w:kern w:val="0"/>
          <w:sz w:val="24"/>
          <w:szCs w:val="24"/>
          <w:highlight w:val="none"/>
        </w:rPr>
        <w:t>×550mg/m³=0.859t/a或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w:t>
      </w:r>
      <w:r>
        <w:rPr>
          <w:rFonts w:hint="default" w:ascii="Times New Roman" w:hAnsi="Times New Roman" w:cs="Times New Roman"/>
          <w:sz w:val="24"/>
          <w:szCs w:val="24"/>
          <w:highlight w:val="none"/>
        </w:rPr>
        <w:t>2.6kg/h</w:t>
      </w:r>
      <w:r>
        <w:rPr>
          <w:rFonts w:hint="default" w:ascii="Times New Roman" w:hAnsi="Times New Roman" w:cs="Times New Roman"/>
          <w:snapToGrid w:val="0"/>
          <w:kern w:val="0"/>
          <w:sz w:val="24"/>
          <w:szCs w:val="24"/>
          <w:highlight w:val="none"/>
        </w:rPr>
        <w:t>×8760h/a=22.776t/a，取较小值0.859t/a；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氮氧化物总量控制指标值=</w:t>
      </w:r>
      <w:r>
        <w:rPr>
          <w:rFonts w:hint="default" w:ascii="Times New Roman" w:hAnsi="Times New Roman" w:cs="Times New Roman"/>
          <w:sz w:val="24"/>
          <w:szCs w:val="24"/>
          <w:highlight w:val="none"/>
        </w:rPr>
        <w:t>1.561×10</w:t>
      </w:r>
      <w:r>
        <w:rPr>
          <w:rFonts w:hint="default" w:ascii="Times New Roman" w:hAnsi="Times New Roman" w:cs="Times New Roman"/>
          <w:sz w:val="24"/>
          <w:szCs w:val="24"/>
          <w:highlight w:val="none"/>
          <w:vertAlign w:val="superscript"/>
        </w:rPr>
        <w:t>6</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/a</w:t>
      </w:r>
      <w:r>
        <w:rPr>
          <w:rFonts w:hint="default" w:ascii="Times New Roman" w:hAnsi="Times New Roman" w:cs="Times New Roman"/>
          <w:snapToGrid w:val="0"/>
          <w:kern w:val="0"/>
          <w:sz w:val="24"/>
          <w:szCs w:val="24"/>
          <w:highlight w:val="none"/>
        </w:rPr>
        <w:t>×240mg/m³=0.375t/a或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w:t>
      </w:r>
      <w:r>
        <w:rPr>
          <w:rFonts w:hint="default" w:ascii="Times New Roman" w:hAnsi="Times New Roman" w:cs="Times New Roman"/>
          <w:sz w:val="24"/>
          <w:szCs w:val="24"/>
          <w:highlight w:val="none"/>
        </w:rPr>
        <w:t>0.77kg/h</w:t>
      </w:r>
      <w:r>
        <w:rPr>
          <w:rFonts w:hint="default" w:ascii="Times New Roman" w:hAnsi="Times New Roman" w:cs="Times New Roman"/>
          <w:snapToGrid w:val="0"/>
          <w:kern w:val="0"/>
          <w:sz w:val="24"/>
          <w:szCs w:val="24"/>
          <w:highlight w:val="none"/>
        </w:rPr>
        <w:t>×8760h/a=6.745t/a，取较小值0.375t/a；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lang w:eastAsia="zh-CN"/>
        </w:rPr>
        <w:t>颗粒物</w:t>
      </w:r>
      <w:r>
        <w:rPr>
          <w:rFonts w:hint="default" w:ascii="Times New Roman" w:hAnsi="Times New Roman" w:cs="Times New Roman"/>
          <w:snapToGrid w:val="0"/>
          <w:kern w:val="0"/>
          <w:sz w:val="24"/>
          <w:szCs w:val="24"/>
          <w:highlight w:val="none"/>
        </w:rPr>
        <w:t>总量控制指标值=</w:t>
      </w:r>
      <w:r>
        <w:rPr>
          <w:rFonts w:hint="default" w:ascii="Times New Roman" w:hAnsi="Times New Roman" w:cs="Times New Roman"/>
          <w:sz w:val="24"/>
          <w:szCs w:val="24"/>
          <w:highlight w:val="none"/>
        </w:rPr>
        <w:t>1.561×10</w:t>
      </w:r>
      <w:r>
        <w:rPr>
          <w:rFonts w:hint="default" w:ascii="Times New Roman" w:hAnsi="Times New Roman" w:cs="Times New Roman"/>
          <w:sz w:val="24"/>
          <w:szCs w:val="24"/>
          <w:highlight w:val="none"/>
          <w:vertAlign w:val="superscript"/>
        </w:rPr>
        <w:t>6</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/a</w:t>
      </w:r>
      <w:r>
        <w:rPr>
          <w:rFonts w:hint="default" w:ascii="Times New Roman" w:hAnsi="Times New Roman" w:cs="Times New Roman"/>
          <w:snapToGrid w:val="0"/>
          <w:kern w:val="0"/>
          <w:sz w:val="24"/>
          <w:szCs w:val="24"/>
          <w:highlight w:val="none"/>
        </w:rPr>
        <w:t>×120mg/m³=0.187t/a或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w:t>
      </w:r>
      <w:r>
        <w:rPr>
          <w:rFonts w:hint="default" w:ascii="Times New Roman" w:hAnsi="Times New Roman" w:cs="Times New Roman"/>
          <w:sz w:val="24"/>
          <w:szCs w:val="24"/>
          <w:highlight w:val="none"/>
        </w:rPr>
        <w:t>3.5kg/h</w:t>
      </w:r>
      <w:r>
        <w:rPr>
          <w:rFonts w:hint="default" w:ascii="Times New Roman" w:hAnsi="Times New Roman" w:cs="Times New Roman"/>
          <w:snapToGrid w:val="0"/>
          <w:kern w:val="0"/>
          <w:sz w:val="24"/>
          <w:szCs w:val="24"/>
          <w:highlight w:val="none"/>
        </w:rPr>
        <w:t>×8760h/a=30.66t/a，取较小值0.187t/a，</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snapToGrid w:val="0"/>
          <w:kern w:val="0"/>
          <w:sz w:val="24"/>
          <w:szCs w:val="24"/>
          <w:highlight w:val="none"/>
          <w:lang w:eastAsia="zh-CN"/>
        </w:rPr>
      </w:pPr>
      <w:r>
        <w:rPr>
          <w:rFonts w:hint="eastAsia" w:ascii="Times New Roman" w:hAnsi="Times New Roman" w:cs="Times New Roman"/>
          <w:b/>
          <w:bCs/>
          <w:snapToGrid w:val="0"/>
          <w:kern w:val="0"/>
          <w:sz w:val="24"/>
          <w:szCs w:val="24"/>
          <w:highlight w:val="none"/>
          <w:lang w:eastAsia="zh-CN"/>
        </w:rPr>
        <w:t>（</w:t>
      </w:r>
      <w:r>
        <w:rPr>
          <w:rFonts w:hint="eastAsia" w:ascii="Times New Roman" w:hAnsi="Times New Roman" w:cs="Times New Roman"/>
          <w:b/>
          <w:bCs/>
          <w:snapToGrid w:val="0"/>
          <w:kern w:val="0"/>
          <w:sz w:val="24"/>
          <w:szCs w:val="24"/>
          <w:highlight w:val="none"/>
          <w:lang w:val="en-US" w:eastAsia="zh-CN"/>
        </w:rPr>
        <w:t>2</w:t>
      </w:r>
      <w:bookmarkStart w:id="162" w:name="_GoBack"/>
      <w:bookmarkEnd w:id="162"/>
      <w:r>
        <w:rPr>
          <w:rFonts w:hint="eastAsia" w:ascii="Times New Roman" w:hAnsi="Times New Roman" w:cs="Times New Roman"/>
          <w:b/>
          <w:bCs/>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eastAsia="zh-CN"/>
        </w:rPr>
        <w:t>沼气</w:t>
      </w:r>
      <w:r>
        <w:rPr>
          <w:rFonts w:hint="default" w:ascii="Times New Roman" w:hAnsi="Times New Roman" w:cs="Times New Roman"/>
          <w:snapToGrid w:val="0"/>
          <w:kern w:val="0"/>
          <w:sz w:val="24"/>
          <w:szCs w:val="24"/>
          <w:highlight w:val="none"/>
          <w:lang w:eastAsia="zh-CN"/>
        </w:rPr>
        <w:t>热水锅炉废气执行《锅炉大气污染物排放标准》（GB13271-2014）表3中燃气锅炉排放限值和《关于开展燃气锅炉氮氧化物治理工作的通知》：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lang w:eastAsia="zh-CN"/>
        </w:rPr>
      </w:pPr>
      <w:r>
        <w:rPr>
          <w:rFonts w:hint="default" w:ascii="Times New Roman" w:hAnsi="Times New Roman" w:cs="Times New Roman"/>
          <w:snapToGrid w:val="0"/>
          <w:kern w:val="0"/>
          <w:sz w:val="24"/>
          <w:szCs w:val="24"/>
          <w:highlight w:val="none"/>
        </w:rPr>
        <w:t>二氧化硫总量控制指标值=</w:t>
      </w:r>
      <w:r>
        <w:rPr>
          <w:rFonts w:hint="default" w:ascii="Times New Roman" w:hAnsi="Times New Roman" w:cs="Times New Roman"/>
          <w:sz w:val="24"/>
          <w:szCs w:val="24"/>
          <w:highlight w:val="none"/>
        </w:rPr>
        <w:t>1.</w:t>
      </w:r>
      <w:r>
        <w:rPr>
          <w:rFonts w:hint="default" w:ascii="Times New Roman" w:hAnsi="Times New Roman" w:cs="Times New Roman"/>
          <w:sz w:val="24"/>
          <w:szCs w:val="24"/>
          <w:highlight w:val="none"/>
          <w:lang w:val="en-US" w:eastAsia="zh-CN"/>
        </w:rPr>
        <w:t>362</w:t>
      </w:r>
      <w:r>
        <w:rPr>
          <w:rFonts w:hint="default" w:ascii="Times New Roman" w:hAnsi="Times New Roman" w:cs="Times New Roman"/>
          <w:sz w:val="24"/>
          <w:szCs w:val="24"/>
          <w:highlight w:val="none"/>
        </w:rPr>
        <w:t>×10</w:t>
      </w:r>
      <w:r>
        <w:rPr>
          <w:rFonts w:hint="default" w:ascii="Times New Roman" w:hAnsi="Times New Roman" w:cs="Times New Roman"/>
          <w:sz w:val="24"/>
          <w:szCs w:val="24"/>
          <w:highlight w:val="none"/>
          <w:vertAlign w:val="superscript"/>
        </w:rPr>
        <w:t>6</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/a</w:t>
      </w:r>
      <w:r>
        <w:rPr>
          <w:rFonts w:hint="default" w:ascii="Times New Roman" w:hAnsi="Times New Roman" w:cs="Times New Roman"/>
          <w:snapToGrid w:val="0"/>
          <w:kern w:val="0"/>
          <w:sz w:val="24"/>
          <w:szCs w:val="24"/>
          <w:highlight w:val="none"/>
        </w:rPr>
        <w:t>×</w:t>
      </w:r>
      <w:r>
        <w:rPr>
          <w:rFonts w:hint="default" w:ascii="Times New Roman" w:hAnsi="Times New Roman" w:cs="Times New Roman"/>
          <w:snapToGrid w:val="0"/>
          <w:kern w:val="0"/>
          <w:sz w:val="24"/>
          <w:szCs w:val="24"/>
          <w:highlight w:val="none"/>
          <w:lang w:val="en-US" w:eastAsia="zh-CN"/>
        </w:rPr>
        <w:t>10</w:t>
      </w:r>
      <w:r>
        <w:rPr>
          <w:rFonts w:hint="default" w:ascii="Times New Roman" w:hAnsi="Times New Roman" w:cs="Times New Roman"/>
          <w:snapToGrid w:val="0"/>
          <w:kern w:val="0"/>
          <w:sz w:val="24"/>
          <w:szCs w:val="24"/>
          <w:highlight w:val="none"/>
        </w:rPr>
        <w:t>mg/m³=0.</w:t>
      </w:r>
      <w:r>
        <w:rPr>
          <w:rFonts w:hint="default" w:ascii="Times New Roman" w:hAnsi="Times New Roman" w:cs="Times New Roman"/>
          <w:snapToGrid w:val="0"/>
          <w:kern w:val="0"/>
          <w:sz w:val="24"/>
          <w:szCs w:val="24"/>
          <w:highlight w:val="none"/>
          <w:lang w:val="en-US" w:eastAsia="zh-CN"/>
        </w:rPr>
        <w:t>014</w:t>
      </w:r>
      <w:r>
        <w:rPr>
          <w:rFonts w:hint="default" w:ascii="Times New Roman" w:hAnsi="Times New Roman" w:cs="Times New Roman"/>
          <w:snapToGrid w:val="0"/>
          <w:kern w:val="0"/>
          <w:sz w:val="24"/>
          <w:szCs w:val="24"/>
          <w:highlight w:val="none"/>
        </w:rPr>
        <w:t>t/a</w:t>
      </w:r>
      <w:r>
        <w:rPr>
          <w:rFonts w:hint="default" w:ascii="Times New Roman" w:hAnsi="Times New Roman" w:cs="Times New Roman"/>
          <w:snapToGrid w:val="0"/>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lang w:eastAsia="zh-CN"/>
        </w:rPr>
      </w:pPr>
      <w:r>
        <w:rPr>
          <w:rFonts w:hint="default" w:ascii="Times New Roman" w:hAnsi="Times New Roman" w:cs="Times New Roman"/>
          <w:snapToGrid w:val="0"/>
          <w:kern w:val="0"/>
          <w:sz w:val="24"/>
          <w:szCs w:val="24"/>
          <w:highlight w:val="none"/>
        </w:rPr>
        <w:t>氮氧化物总量控制指标值=</w:t>
      </w:r>
      <w:r>
        <w:rPr>
          <w:rFonts w:hint="default" w:ascii="Times New Roman" w:hAnsi="Times New Roman" w:cs="Times New Roman"/>
          <w:sz w:val="24"/>
          <w:szCs w:val="24"/>
          <w:highlight w:val="none"/>
        </w:rPr>
        <w:t>1.</w:t>
      </w:r>
      <w:r>
        <w:rPr>
          <w:rFonts w:hint="default" w:ascii="Times New Roman" w:hAnsi="Times New Roman" w:cs="Times New Roman"/>
          <w:sz w:val="24"/>
          <w:szCs w:val="24"/>
          <w:highlight w:val="none"/>
          <w:lang w:val="en-US" w:eastAsia="zh-CN"/>
        </w:rPr>
        <w:t>362</w:t>
      </w:r>
      <w:r>
        <w:rPr>
          <w:rFonts w:hint="default" w:ascii="Times New Roman" w:hAnsi="Times New Roman" w:cs="Times New Roman"/>
          <w:sz w:val="24"/>
          <w:szCs w:val="24"/>
          <w:highlight w:val="none"/>
        </w:rPr>
        <w:t>×10</w:t>
      </w:r>
      <w:r>
        <w:rPr>
          <w:rFonts w:hint="default" w:ascii="Times New Roman" w:hAnsi="Times New Roman" w:cs="Times New Roman"/>
          <w:sz w:val="24"/>
          <w:szCs w:val="24"/>
          <w:highlight w:val="none"/>
          <w:vertAlign w:val="superscript"/>
        </w:rPr>
        <w:t>6</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/a</w:t>
      </w:r>
      <w:r>
        <w:rPr>
          <w:rFonts w:hint="default" w:ascii="Times New Roman" w:hAnsi="Times New Roman" w:cs="Times New Roman"/>
          <w:snapToGrid w:val="0"/>
          <w:kern w:val="0"/>
          <w:sz w:val="24"/>
          <w:szCs w:val="24"/>
          <w:highlight w:val="none"/>
        </w:rPr>
        <w:t>×</w:t>
      </w:r>
      <w:r>
        <w:rPr>
          <w:rFonts w:hint="default" w:ascii="Times New Roman" w:hAnsi="Times New Roman" w:cs="Times New Roman"/>
          <w:snapToGrid w:val="0"/>
          <w:kern w:val="0"/>
          <w:sz w:val="24"/>
          <w:szCs w:val="24"/>
          <w:highlight w:val="none"/>
          <w:lang w:val="en-US" w:eastAsia="zh-CN"/>
        </w:rPr>
        <w:t>30</w:t>
      </w:r>
      <w:r>
        <w:rPr>
          <w:rFonts w:hint="default" w:ascii="Times New Roman" w:hAnsi="Times New Roman" w:cs="Times New Roman"/>
          <w:snapToGrid w:val="0"/>
          <w:kern w:val="0"/>
          <w:sz w:val="24"/>
          <w:szCs w:val="24"/>
          <w:highlight w:val="none"/>
        </w:rPr>
        <w:t>mg/m³=0.</w:t>
      </w:r>
      <w:r>
        <w:rPr>
          <w:rFonts w:hint="default" w:ascii="Times New Roman" w:hAnsi="Times New Roman" w:cs="Times New Roman"/>
          <w:snapToGrid w:val="0"/>
          <w:kern w:val="0"/>
          <w:sz w:val="24"/>
          <w:szCs w:val="24"/>
          <w:highlight w:val="none"/>
          <w:lang w:val="en-US" w:eastAsia="zh-CN"/>
        </w:rPr>
        <w:t>041</w:t>
      </w:r>
      <w:r>
        <w:rPr>
          <w:rFonts w:hint="default" w:ascii="Times New Roman" w:hAnsi="Times New Roman" w:cs="Times New Roman"/>
          <w:snapToGrid w:val="0"/>
          <w:kern w:val="0"/>
          <w:sz w:val="24"/>
          <w:szCs w:val="24"/>
          <w:highlight w:val="none"/>
        </w:rPr>
        <w:t>t/a</w:t>
      </w:r>
      <w:r>
        <w:rPr>
          <w:rFonts w:hint="default" w:ascii="Times New Roman" w:hAnsi="Times New Roman" w:cs="Times New Roman"/>
          <w:snapToGrid w:val="0"/>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highlight w:val="none"/>
          <w:lang w:eastAsia="zh-CN"/>
        </w:rPr>
      </w:pPr>
      <w:r>
        <w:rPr>
          <w:rFonts w:hint="default" w:ascii="Times New Roman" w:hAnsi="Times New Roman" w:cs="Times New Roman"/>
          <w:snapToGrid w:val="0"/>
          <w:kern w:val="0"/>
          <w:sz w:val="24"/>
          <w:szCs w:val="24"/>
          <w:highlight w:val="none"/>
          <w:lang w:eastAsia="zh-CN"/>
        </w:rPr>
        <w:t>颗粒物</w:t>
      </w:r>
      <w:r>
        <w:rPr>
          <w:rFonts w:hint="default" w:ascii="Times New Roman" w:hAnsi="Times New Roman" w:cs="Times New Roman"/>
          <w:snapToGrid w:val="0"/>
          <w:kern w:val="0"/>
          <w:sz w:val="24"/>
          <w:szCs w:val="24"/>
          <w:highlight w:val="none"/>
        </w:rPr>
        <w:t>总量控制指标值=</w:t>
      </w:r>
      <w:r>
        <w:rPr>
          <w:rFonts w:hint="default" w:ascii="Times New Roman" w:hAnsi="Times New Roman" w:cs="Times New Roman"/>
          <w:sz w:val="24"/>
          <w:szCs w:val="24"/>
          <w:highlight w:val="none"/>
        </w:rPr>
        <w:t>1.</w:t>
      </w:r>
      <w:r>
        <w:rPr>
          <w:rFonts w:hint="default" w:ascii="Times New Roman" w:hAnsi="Times New Roman" w:cs="Times New Roman"/>
          <w:sz w:val="24"/>
          <w:szCs w:val="24"/>
          <w:highlight w:val="none"/>
          <w:lang w:val="en-US" w:eastAsia="zh-CN"/>
        </w:rPr>
        <w:t>362</w:t>
      </w:r>
      <w:r>
        <w:rPr>
          <w:rFonts w:hint="default" w:ascii="Times New Roman" w:hAnsi="Times New Roman" w:cs="Times New Roman"/>
          <w:sz w:val="24"/>
          <w:szCs w:val="24"/>
          <w:highlight w:val="none"/>
        </w:rPr>
        <w:t>×10</w:t>
      </w:r>
      <w:r>
        <w:rPr>
          <w:rFonts w:hint="default" w:ascii="Times New Roman" w:hAnsi="Times New Roman" w:cs="Times New Roman"/>
          <w:sz w:val="24"/>
          <w:szCs w:val="24"/>
          <w:highlight w:val="none"/>
          <w:vertAlign w:val="superscript"/>
        </w:rPr>
        <w:t>6</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/a</w:t>
      </w:r>
      <w:r>
        <w:rPr>
          <w:rFonts w:hint="default" w:ascii="Times New Roman" w:hAnsi="Times New Roman" w:cs="Times New Roman"/>
          <w:snapToGrid w:val="0"/>
          <w:kern w:val="0"/>
          <w:sz w:val="24"/>
          <w:szCs w:val="24"/>
          <w:highlight w:val="none"/>
        </w:rPr>
        <w:t>×</w:t>
      </w:r>
      <w:r>
        <w:rPr>
          <w:rFonts w:hint="default" w:ascii="Times New Roman" w:hAnsi="Times New Roman" w:cs="Times New Roman"/>
          <w:snapToGrid w:val="0"/>
          <w:kern w:val="0"/>
          <w:sz w:val="24"/>
          <w:szCs w:val="24"/>
          <w:highlight w:val="none"/>
          <w:lang w:val="en-US" w:eastAsia="zh-CN"/>
        </w:rPr>
        <w:t>5</w:t>
      </w:r>
      <w:r>
        <w:rPr>
          <w:rFonts w:hint="default" w:ascii="Times New Roman" w:hAnsi="Times New Roman" w:cs="Times New Roman"/>
          <w:snapToGrid w:val="0"/>
          <w:kern w:val="0"/>
          <w:sz w:val="24"/>
          <w:szCs w:val="24"/>
          <w:highlight w:val="none"/>
        </w:rPr>
        <w:t>mg/m³=0.</w:t>
      </w:r>
      <w:r>
        <w:rPr>
          <w:rFonts w:hint="default" w:ascii="Times New Roman" w:hAnsi="Times New Roman" w:cs="Times New Roman"/>
          <w:snapToGrid w:val="0"/>
          <w:kern w:val="0"/>
          <w:sz w:val="24"/>
          <w:szCs w:val="24"/>
          <w:highlight w:val="none"/>
          <w:lang w:val="en-US" w:eastAsia="zh-CN"/>
        </w:rPr>
        <w:t>007</w:t>
      </w:r>
      <w:r>
        <w:rPr>
          <w:rFonts w:hint="default" w:ascii="Times New Roman" w:hAnsi="Times New Roman" w:cs="Times New Roman"/>
          <w:snapToGrid w:val="0"/>
          <w:kern w:val="0"/>
          <w:sz w:val="24"/>
          <w:szCs w:val="24"/>
          <w:highlight w:val="none"/>
        </w:rPr>
        <w:t>t/a</w:t>
      </w:r>
      <w:r>
        <w:rPr>
          <w:rFonts w:hint="default" w:ascii="Times New Roman" w:hAnsi="Times New Roman" w:cs="Times New Roman"/>
          <w:snapToGrid w:val="0"/>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综上，本项目根据排放标准核算各污染物总量建议指标为：颗粒物：0.1</w:t>
      </w:r>
      <w:r>
        <w:rPr>
          <w:rFonts w:hint="default" w:ascii="Times New Roman" w:hAnsi="Times New Roman" w:cs="Times New Roman"/>
          <w:snapToGrid w:val="0"/>
          <w:kern w:val="0"/>
          <w:sz w:val="24"/>
          <w:szCs w:val="24"/>
          <w:highlight w:val="none"/>
          <w:lang w:val="en-US" w:eastAsia="zh-CN"/>
        </w:rPr>
        <w:t>94</w:t>
      </w:r>
      <w:r>
        <w:rPr>
          <w:rFonts w:hint="default" w:ascii="Times New Roman" w:hAnsi="Times New Roman" w:cs="Times New Roman"/>
          <w:snapToGrid w:val="0"/>
          <w:kern w:val="0"/>
          <w:sz w:val="24"/>
          <w:szCs w:val="24"/>
          <w:highlight w:val="none"/>
        </w:rPr>
        <w:t>t/a、二氧化硫：0.8</w:t>
      </w:r>
      <w:r>
        <w:rPr>
          <w:rFonts w:hint="default" w:ascii="Times New Roman" w:hAnsi="Times New Roman" w:cs="Times New Roman"/>
          <w:snapToGrid w:val="0"/>
          <w:kern w:val="0"/>
          <w:sz w:val="24"/>
          <w:szCs w:val="24"/>
          <w:highlight w:val="none"/>
          <w:lang w:val="en-US" w:eastAsia="zh-CN"/>
        </w:rPr>
        <w:t>73</w:t>
      </w:r>
      <w:r>
        <w:rPr>
          <w:rFonts w:hint="default" w:ascii="Times New Roman" w:hAnsi="Times New Roman" w:cs="Times New Roman"/>
          <w:snapToGrid w:val="0"/>
          <w:kern w:val="0"/>
          <w:sz w:val="24"/>
          <w:szCs w:val="24"/>
          <w:highlight w:val="none"/>
        </w:rPr>
        <w:t>t/a、氮氧化物：0.</w:t>
      </w:r>
      <w:r>
        <w:rPr>
          <w:rFonts w:hint="default" w:ascii="Times New Roman" w:hAnsi="Times New Roman" w:cs="Times New Roman"/>
          <w:snapToGrid w:val="0"/>
          <w:kern w:val="0"/>
          <w:sz w:val="24"/>
          <w:szCs w:val="24"/>
          <w:highlight w:val="none"/>
          <w:lang w:val="en-US" w:eastAsia="zh-CN"/>
        </w:rPr>
        <w:t>416</w:t>
      </w:r>
      <w:r>
        <w:rPr>
          <w:rFonts w:hint="default" w:ascii="Times New Roman" w:hAnsi="Times New Roman" w:cs="Times New Roman"/>
          <w:snapToGrid w:val="0"/>
          <w:kern w:val="0"/>
          <w:sz w:val="24"/>
          <w:szCs w:val="24"/>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before="120" w:beforeLines="50" w:after="120" w:afterLines="50"/>
        <w:jc w:val="left"/>
        <w:outlineLvl w:val="0"/>
        <w:rPr>
          <w:rFonts w:hint="default" w:ascii="Times New Roman" w:hAnsi="Times New Roman" w:eastAsia="黑体" w:cs="Times New Roman"/>
          <w:bCs/>
          <w:sz w:val="32"/>
          <w:szCs w:val="32"/>
          <w:highlight w:val="none"/>
        </w:rPr>
      </w:pPr>
      <w:bookmarkStart w:id="157" w:name="_Toc26486"/>
      <w:r>
        <w:rPr>
          <w:rFonts w:hint="default" w:ascii="Times New Roman" w:hAnsi="Times New Roman" w:eastAsia="黑体" w:cs="Times New Roman"/>
          <w:bCs/>
          <w:sz w:val="32"/>
          <w:szCs w:val="32"/>
          <w:highlight w:val="none"/>
        </w:rPr>
        <w:t>10结论和建议</w:t>
      </w:r>
      <w:bookmarkEnd w:id="154"/>
      <w:bookmarkEnd w:id="157"/>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58" w:name="_Toc23582"/>
      <w:bookmarkStart w:id="159" w:name="_Toc521334406"/>
      <w:r>
        <w:rPr>
          <w:rFonts w:hint="default" w:ascii="Times New Roman" w:hAnsi="Times New Roman" w:eastAsia="黑体" w:cs="Times New Roman"/>
          <w:bCs/>
          <w:sz w:val="30"/>
          <w:szCs w:val="30"/>
          <w:highlight w:val="none"/>
        </w:rPr>
        <w:t>10.1结论</w:t>
      </w:r>
      <w:bookmarkEnd w:id="158"/>
      <w:bookmarkEnd w:id="159"/>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10.1.1项目概况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rPr>
      </w:pP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1</w:t>
      </w:r>
      <w:r>
        <w:rPr>
          <w:rFonts w:hint="eastAsia" w:ascii="Times New Roman" w:hAnsi="Times New Roman"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项目概述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秦皇岛市国飞农业科技发展有限公司成立于 2018 年 7月，现公司拟在秦皇岛市卢龙县下寨乡马庄子村南，建设国飞农业产业园项目。项目总占地面积140460㎡，总建筑面积42208.33㎡，包括标准化猪舍31栋、库房1栋、办公室1座，配套建设沼气设施等。生产规模为年出栏生猪10万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rPr>
      </w:pPr>
      <w:r>
        <w:rPr>
          <w:rFonts w:hint="default" w:ascii="Times New Roman" w:hAnsi="Times New Roman" w:eastAsia="宋体" w:cs="Times New Roman"/>
          <w:snapToGrid w:val="0"/>
          <w:kern w:val="0"/>
          <w:sz w:val="24"/>
          <w:szCs w:val="24"/>
          <w:highlight w:val="none"/>
        </w:rPr>
        <w:t>项目总投资60000万元，其中环保投资</w:t>
      </w:r>
      <w:r>
        <w:rPr>
          <w:rFonts w:hint="default" w:ascii="Times New Roman" w:hAnsi="Times New Roman" w:cs="Times New Roman"/>
          <w:snapToGrid w:val="0"/>
          <w:kern w:val="0"/>
          <w:sz w:val="24"/>
          <w:szCs w:val="24"/>
          <w:highlight w:val="none"/>
          <w:lang w:val="en-US" w:eastAsia="zh-CN"/>
        </w:rPr>
        <w:t>366.5</w:t>
      </w:r>
      <w:r>
        <w:rPr>
          <w:rFonts w:hint="default" w:ascii="Times New Roman" w:hAnsi="Times New Roman" w:eastAsia="宋体" w:cs="Times New Roman"/>
          <w:snapToGrid w:val="0"/>
          <w:kern w:val="0"/>
          <w:sz w:val="24"/>
          <w:szCs w:val="24"/>
          <w:highlight w:val="none"/>
        </w:rPr>
        <w:t>万元，占项目总投资的0.</w:t>
      </w:r>
      <w:r>
        <w:rPr>
          <w:rFonts w:hint="default" w:ascii="Times New Roman" w:hAnsi="Times New Roman" w:cs="Times New Roman"/>
          <w:snapToGrid w:val="0"/>
          <w:kern w:val="0"/>
          <w:sz w:val="24"/>
          <w:szCs w:val="24"/>
          <w:highlight w:val="none"/>
          <w:lang w:val="en-US" w:eastAsia="zh-CN"/>
        </w:rPr>
        <w:t>61</w:t>
      </w:r>
      <w:r>
        <w:rPr>
          <w:rFonts w:hint="default" w:ascii="Times New Roman" w:hAnsi="Times New Roman" w:eastAsia="宋体" w:cs="Times New Roman"/>
          <w:snapToGrid w:val="0"/>
          <w:kern w:val="0"/>
          <w:sz w:val="24"/>
          <w:szCs w:val="24"/>
          <w:highlight w:val="none"/>
        </w:rPr>
        <w:t>%，环保投资主要用于废气治理、废水处理、地下水保护、环境风险防范与应急等。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项目劳动定员</w:t>
      </w:r>
      <w:r>
        <w:rPr>
          <w:rFonts w:hint="default"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rPr>
        <w:t>0人。采用三班制，每班8小时，年工作365天。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rPr>
      </w:pP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2</w:t>
      </w:r>
      <w:r>
        <w:rPr>
          <w:rFonts w:hint="eastAsia" w:ascii="Times New Roman" w:hAnsi="Times New Roman"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项目选址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highlight w:val="none"/>
        </w:rPr>
        <w:t>项目位于项目位于秦皇岛市卢龙县下寨乡马庄子村南。项目中心地理位置坐标为</w:t>
      </w:r>
      <w:r>
        <w:rPr>
          <w:rFonts w:hint="default" w:ascii="Times New Roman" w:hAnsi="Times New Roman" w:eastAsia="宋体" w:cs="Times New Roman"/>
          <w:sz w:val="24"/>
          <w:szCs w:val="24"/>
          <w:highlight w:val="none"/>
        </w:rPr>
        <w:t>北纬39°52′10.72″，东经118°56′24.35″。位置为农用地，现已变更为设施农用地。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rPr>
      </w:pP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3</w:t>
      </w:r>
      <w:r>
        <w:rPr>
          <w:rFonts w:hint="eastAsia" w:ascii="Times New Roman" w:hAnsi="Times New Roman"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建设内容及建设规模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建设生猪养殖场1座，总占地面积140460m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，总建筑面积42208.33m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 xml:space="preserve">，包括标准化猪舍31栋、库房1栋、办公室1座，配套建设沼气设施等。生产规模为年出栏生猪10万头。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rPr>
      </w:pP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4</w:t>
      </w:r>
      <w:r>
        <w:rPr>
          <w:rFonts w:hint="eastAsia" w:ascii="Times New Roman" w:hAnsi="Times New Roman" w:cs="Times New Roman"/>
          <w:snapToGrid w:val="0"/>
          <w:kern w:val="0"/>
          <w:sz w:val="24"/>
          <w:szCs w:val="24"/>
          <w:highlight w:val="none"/>
          <w:lang w:eastAsia="zh-CN"/>
        </w:rPr>
        <w:t>）</w:t>
      </w:r>
      <w:r>
        <w:rPr>
          <w:rFonts w:hint="default" w:ascii="Times New Roman" w:hAnsi="Times New Roman" w:eastAsia="宋体" w:cs="Times New Roman"/>
          <w:snapToGrid w:val="0"/>
          <w:kern w:val="0"/>
          <w:sz w:val="24"/>
          <w:szCs w:val="24"/>
          <w:highlight w:val="none"/>
        </w:rPr>
        <w:t>选址可行性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项目选址不在禁养区、限养区范围内，与禁养区距离大于 500m，不属于城市集中式饮用水源地、风景名胜区、自然保护区等环境敏感区，满足卫生防护距离要求及环境防护距离要求，满足相关养殖业规范要求，选址符合国家土地政策要求、相关规划要求；环境质量现状符合环境功能区划要求，项目实施后不会改变区域环境功能，对环境影响不大；没有公众反对项目建设。项目选址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highlight w:val="none"/>
        </w:rPr>
      </w:pPr>
      <w:r>
        <w:rPr>
          <w:rFonts w:hint="default" w:ascii="Times New Roman" w:hAnsi="Times New Roman" w:eastAsia="宋体" w:cs="Times New Roman"/>
          <w:snapToGrid w:val="0"/>
          <w:kern w:val="0"/>
          <w:sz w:val="24"/>
          <w:szCs w:val="24"/>
          <w:highlight w:val="none"/>
        </w:rPr>
        <w:t>（5）</w:t>
      </w:r>
      <w:r>
        <w:rPr>
          <w:rFonts w:hint="default" w:ascii="Times New Roman" w:hAnsi="Times New Roman" w:eastAsia="宋体" w:cs="Times New Roman"/>
          <w:kern w:val="0"/>
          <w:sz w:val="24"/>
          <w:highlight w:val="none"/>
        </w:rPr>
        <w:t>产业政策分析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本项目属于畜禽标准化养殖，属于《产业结构调整指导目录》（2019年本）中“鼓励类”中第一类“农林业”中第 5 条“畜禽标准化养殖养殖技术开发与应用”，符合国家产业政策要求。项目不属于《河北省新增限制和淘汰类产业目录 (2015 年版)》中的限制和淘汰类内容，属于允许类。项目建设符合技术标准要求，符合国家和地方产业政策要求。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此外项目符合当前国家生猪产业发展政策要求。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（6）规划符合性</w:t>
      </w:r>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iCs/>
          <w:snapToGrid w:val="0"/>
          <w:spacing w:val="0"/>
          <w:sz w:val="24"/>
          <w:szCs w:val="24"/>
          <w:highlight w:val="none"/>
        </w:rPr>
      </w:pPr>
      <w:r>
        <w:rPr>
          <w:rFonts w:hint="default" w:ascii="Times New Roman" w:hAnsi="Times New Roman" w:eastAsia="宋体" w:cs="Times New Roman"/>
          <w:snapToGrid w:val="0"/>
          <w:spacing w:val="0"/>
          <w:sz w:val="24"/>
          <w:highlight w:val="none"/>
        </w:rPr>
        <w:t>根据《秦皇岛市生态环境保护“十三五”规划》，项目所在地大气环境执行《环境空气质量标准》（GB3095-2012）二级标准；声环境执行《声环境质量标准》（GB3096－2008）1类标准；</w:t>
      </w:r>
      <w:r>
        <w:rPr>
          <w:rFonts w:hint="default" w:ascii="Times New Roman" w:hAnsi="Times New Roman" w:eastAsia="宋体" w:cs="Times New Roman"/>
          <w:iCs/>
          <w:snapToGrid w:val="0"/>
          <w:spacing w:val="0"/>
          <w:sz w:val="24"/>
          <w:szCs w:val="24"/>
          <w:highlight w:val="none"/>
        </w:rPr>
        <w:t>项目建设符合环境功能区划要求。</w:t>
      </w:r>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iCs/>
          <w:snapToGrid w:val="0"/>
          <w:spacing w:val="0"/>
          <w:sz w:val="24"/>
          <w:szCs w:val="24"/>
          <w:highlight w:val="none"/>
        </w:rPr>
      </w:pPr>
      <w:r>
        <w:rPr>
          <w:rFonts w:hint="default" w:ascii="Times New Roman" w:hAnsi="Times New Roman" w:eastAsia="宋体" w:cs="Times New Roman"/>
          <w:iCs/>
          <w:snapToGrid w:val="0"/>
          <w:spacing w:val="0"/>
          <w:sz w:val="24"/>
          <w:szCs w:val="24"/>
          <w:highlight w:val="none"/>
        </w:rPr>
        <w:t>（7）三线一单符合性</w:t>
      </w:r>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spacing w:val="0"/>
          <w:sz w:val="24"/>
          <w:szCs w:val="24"/>
          <w:highlight w:val="none"/>
        </w:rPr>
      </w:pPr>
      <w:r>
        <w:rPr>
          <w:rFonts w:hint="default" w:ascii="Times New Roman" w:hAnsi="Times New Roman" w:eastAsia="宋体" w:cs="Times New Roman"/>
          <w:iCs/>
          <w:snapToGrid w:val="0"/>
          <w:spacing w:val="0"/>
          <w:sz w:val="24"/>
          <w:szCs w:val="24"/>
          <w:highlight w:val="none"/>
        </w:rPr>
        <w:t>经评价分析，项目符合生态红线、环境质量底线、资源利用上线和环境准入负面清单的要求。</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10.1.2环境质量现状和区域主要环境问题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（1）环境空气：根据2017年</w:t>
      </w:r>
      <w:r>
        <w:rPr>
          <w:rFonts w:hint="default" w:ascii="Times New Roman" w:hAnsi="Times New Roman" w:cs="Times New Roman"/>
          <w:sz w:val="24"/>
          <w:highlight w:val="none"/>
        </w:rPr>
        <w:t>卢龙县环境监测站提供的监测数据显示</w:t>
      </w:r>
      <w:r>
        <w:rPr>
          <w:rFonts w:hint="default" w:ascii="Times New Roman" w:hAnsi="Times New Roman" w:cs="Times New Roman"/>
          <w:snapToGrid w:val="0"/>
          <w:kern w:val="0"/>
          <w:sz w:val="24"/>
          <w:szCs w:val="24"/>
          <w:highlight w:val="none"/>
        </w:rPr>
        <w:t>，项目所在域为不达标区。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综上，项目所在区域为城市环境空气质量不达标区域。NO</w:t>
      </w:r>
      <w:r>
        <w:rPr>
          <w:rFonts w:hint="default" w:ascii="Times New Roman" w:hAnsi="Times New Roman" w:cs="Times New Roman"/>
          <w:snapToGrid w:val="0"/>
          <w:kern w:val="0"/>
          <w:sz w:val="24"/>
          <w:highlight w:val="none"/>
          <w:vertAlign w:val="subscript"/>
        </w:rPr>
        <w:t>2</w:t>
      </w:r>
      <w:r>
        <w:rPr>
          <w:rFonts w:hint="default" w:ascii="Times New Roman" w:hAnsi="Times New Roman" w:cs="Times New Roman"/>
          <w:snapToGrid w:val="0"/>
          <w:kern w:val="0"/>
          <w:sz w:val="24"/>
          <w:highlight w:val="none"/>
        </w:rPr>
        <w:t>年平均浓度值为40</w:t>
      </w:r>
      <w:r>
        <w:rPr>
          <w:rFonts w:hint="default" w:ascii="Times New Roman" w:hAnsi="Times New Roman" w:cs="Times New Roman"/>
          <w:snapToGrid w:val="0"/>
          <w:kern w:val="0"/>
          <w:sz w:val="24"/>
          <w:szCs w:val="24"/>
          <w:highlight w:val="none"/>
        </w:rPr>
        <w:t>mg/m</w:t>
      </w:r>
      <w:r>
        <w:rPr>
          <w:rFonts w:hint="default" w:ascii="Times New Roman" w:hAnsi="Times New Roman" w:cs="Times New Roman"/>
          <w:snapToGrid w:val="0"/>
          <w:kern w:val="0"/>
          <w:sz w:val="24"/>
          <w:szCs w:val="24"/>
          <w:highlight w:val="none"/>
          <w:vertAlign w:val="superscript"/>
        </w:rPr>
        <w:t>3</w:t>
      </w:r>
      <w:r>
        <w:rPr>
          <w:rFonts w:hint="default" w:ascii="Times New Roman" w:hAnsi="Times New Roman" w:cs="Times New Roman"/>
          <w:snapToGrid w:val="0"/>
          <w:kern w:val="0"/>
          <w:sz w:val="24"/>
          <w:highlight w:val="none"/>
        </w:rPr>
        <w:t>，24小时平均第98百分位数浓度值为81</w:t>
      </w:r>
      <w:r>
        <w:rPr>
          <w:rFonts w:hint="default" w:ascii="Times New Roman" w:hAnsi="Times New Roman" w:cs="Times New Roman"/>
          <w:snapToGrid w:val="0"/>
          <w:kern w:val="0"/>
          <w:sz w:val="24"/>
          <w:szCs w:val="24"/>
          <w:highlight w:val="none"/>
        </w:rPr>
        <w:t>mg/m</w:t>
      </w:r>
      <w:r>
        <w:rPr>
          <w:rFonts w:hint="default" w:ascii="Times New Roman" w:hAnsi="Times New Roman" w:cs="Times New Roman"/>
          <w:snapToGrid w:val="0"/>
          <w:kern w:val="0"/>
          <w:sz w:val="24"/>
          <w:szCs w:val="24"/>
          <w:highlight w:val="none"/>
          <w:vertAlign w:val="superscript"/>
        </w:rPr>
        <w:t>3</w:t>
      </w:r>
      <w:r>
        <w:rPr>
          <w:rFonts w:hint="default" w:ascii="Times New Roman" w:hAnsi="Times New Roman" w:cs="Times New Roman"/>
          <w:snapToGrid w:val="0"/>
          <w:kern w:val="0"/>
          <w:sz w:val="24"/>
          <w:highlight w:val="none"/>
        </w:rPr>
        <w:t>，不满足《环境空气质量标准》（GB3095-2012）中相应浓度限值，超标率为2.0%；PM</w:t>
      </w:r>
      <w:r>
        <w:rPr>
          <w:rFonts w:hint="default" w:ascii="Times New Roman" w:hAnsi="Times New Roman" w:cs="Times New Roman"/>
          <w:snapToGrid w:val="0"/>
          <w:kern w:val="0"/>
          <w:sz w:val="24"/>
          <w:highlight w:val="none"/>
          <w:vertAlign w:val="subscript"/>
        </w:rPr>
        <w:t>10</w:t>
      </w:r>
      <w:r>
        <w:rPr>
          <w:rFonts w:hint="default" w:ascii="Times New Roman" w:hAnsi="Times New Roman" w:cs="Times New Roman"/>
          <w:snapToGrid w:val="0"/>
          <w:kern w:val="0"/>
          <w:sz w:val="24"/>
          <w:highlight w:val="none"/>
        </w:rPr>
        <w:t>年平均浓度值为</w:t>
      </w:r>
      <w:r>
        <w:rPr>
          <w:rFonts w:hint="default" w:ascii="Times New Roman" w:hAnsi="Times New Roman" w:eastAsia="黑体" w:cs="Times New Roman"/>
          <w:snapToGrid w:val="0"/>
          <w:kern w:val="0"/>
          <w:sz w:val="24"/>
          <w:highlight w:val="none"/>
        </w:rPr>
        <w:t>107</w:t>
      </w:r>
      <w:r>
        <w:rPr>
          <w:rFonts w:hint="default" w:ascii="Times New Roman" w:hAnsi="Times New Roman" w:cs="Times New Roman"/>
          <w:snapToGrid w:val="0"/>
          <w:kern w:val="0"/>
          <w:sz w:val="24"/>
          <w:szCs w:val="24"/>
          <w:highlight w:val="none"/>
        </w:rPr>
        <w:t>mg/m</w:t>
      </w:r>
      <w:r>
        <w:rPr>
          <w:rFonts w:hint="default" w:ascii="Times New Roman" w:hAnsi="Times New Roman" w:cs="Times New Roman"/>
          <w:snapToGrid w:val="0"/>
          <w:kern w:val="0"/>
          <w:sz w:val="24"/>
          <w:szCs w:val="24"/>
          <w:highlight w:val="none"/>
          <w:vertAlign w:val="superscript"/>
        </w:rPr>
        <w:t>3</w:t>
      </w:r>
      <w:r>
        <w:rPr>
          <w:rFonts w:hint="default" w:ascii="Times New Roman" w:hAnsi="Times New Roman" w:cs="Times New Roman"/>
          <w:snapToGrid w:val="0"/>
          <w:kern w:val="0"/>
          <w:sz w:val="24"/>
          <w:highlight w:val="none"/>
        </w:rPr>
        <w:t>，24小时平均第95百分位数浓度值为445</w:t>
      </w:r>
      <w:r>
        <w:rPr>
          <w:rFonts w:hint="default" w:ascii="Times New Roman" w:hAnsi="Times New Roman" w:cs="Times New Roman"/>
          <w:snapToGrid w:val="0"/>
          <w:kern w:val="0"/>
          <w:sz w:val="24"/>
          <w:szCs w:val="24"/>
          <w:highlight w:val="none"/>
        </w:rPr>
        <w:t xml:space="preserve"> mg/m</w:t>
      </w:r>
      <w:r>
        <w:rPr>
          <w:rFonts w:hint="default" w:ascii="Times New Roman" w:hAnsi="Times New Roman" w:cs="Times New Roman"/>
          <w:snapToGrid w:val="0"/>
          <w:kern w:val="0"/>
          <w:sz w:val="24"/>
          <w:szCs w:val="24"/>
          <w:highlight w:val="none"/>
          <w:vertAlign w:val="superscript"/>
        </w:rPr>
        <w:t>3</w:t>
      </w:r>
      <w:r>
        <w:rPr>
          <w:rFonts w:hint="default" w:ascii="Times New Roman" w:hAnsi="Times New Roman" w:cs="Times New Roman"/>
          <w:snapToGrid w:val="0"/>
          <w:kern w:val="0"/>
          <w:sz w:val="24"/>
          <w:highlight w:val="none"/>
        </w:rPr>
        <w:t>，不满足《环境空气质量标准》（GB3095-2012）中相应浓度限值，超标率为17.7%；PM</w:t>
      </w:r>
      <w:r>
        <w:rPr>
          <w:rFonts w:hint="default" w:ascii="Times New Roman" w:hAnsi="Times New Roman" w:cs="Times New Roman"/>
          <w:snapToGrid w:val="0"/>
          <w:kern w:val="0"/>
          <w:sz w:val="24"/>
          <w:highlight w:val="none"/>
          <w:vertAlign w:val="subscript"/>
        </w:rPr>
        <w:t>2.5</w:t>
      </w:r>
      <w:r>
        <w:rPr>
          <w:rFonts w:hint="default" w:ascii="Times New Roman" w:hAnsi="Times New Roman" w:cs="Times New Roman"/>
          <w:snapToGrid w:val="0"/>
          <w:kern w:val="0"/>
          <w:sz w:val="24"/>
          <w:highlight w:val="none"/>
        </w:rPr>
        <w:t>年平均浓度值为66</w:t>
      </w:r>
      <w:r>
        <w:rPr>
          <w:rFonts w:hint="default" w:ascii="Times New Roman" w:hAnsi="Times New Roman" w:cs="Times New Roman"/>
          <w:snapToGrid w:val="0"/>
          <w:kern w:val="0"/>
          <w:sz w:val="24"/>
          <w:szCs w:val="24"/>
          <w:highlight w:val="none"/>
        </w:rPr>
        <w:t xml:space="preserve"> mg/m</w:t>
      </w:r>
      <w:r>
        <w:rPr>
          <w:rFonts w:hint="default" w:ascii="Times New Roman" w:hAnsi="Times New Roman" w:cs="Times New Roman"/>
          <w:snapToGrid w:val="0"/>
          <w:kern w:val="0"/>
          <w:sz w:val="24"/>
          <w:szCs w:val="24"/>
          <w:highlight w:val="none"/>
          <w:vertAlign w:val="superscript"/>
        </w:rPr>
        <w:t>3</w:t>
      </w:r>
      <w:r>
        <w:rPr>
          <w:rFonts w:hint="default" w:ascii="Times New Roman" w:hAnsi="Times New Roman" w:cs="Times New Roman"/>
          <w:snapToGrid w:val="0"/>
          <w:kern w:val="0"/>
          <w:sz w:val="24"/>
          <w:highlight w:val="none"/>
        </w:rPr>
        <w:t>，24小时平均第95百分位数浓度值288</w:t>
      </w:r>
      <w:r>
        <w:rPr>
          <w:rFonts w:hint="default" w:ascii="Times New Roman" w:hAnsi="Times New Roman" w:cs="Times New Roman"/>
          <w:snapToGrid w:val="0"/>
          <w:kern w:val="0"/>
          <w:sz w:val="24"/>
          <w:szCs w:val="24"/>
          <w:highlight w:val="none"/>
        </w:rPr>
        <w:t xml:space="preserve"> mg/m</w:t>
      </w:r>
      <w:r>
        <w:rPr>
          <w:rFonts w:hint="default" w:ascii="Times New Roman" w:hAnsi="Times New Roman" w:cs="Times New Roman"/>
          <w:snapToGrid w:val="0"/>
          <w:kern w:val="0"/>
          <w:sz w:val="24"/>
          <w:szCs w:val="24"/>
          <w:highlight w:val="none"/>
          <w:vertAlign w:val="superscript"/>
        </w:rPr>
        <w:t>3</w:t>
      </w:r>
      <w:r>
        <w:rPr>
          <w:rFonts w:hint="default" w:ascii="Times New Roman" w:hAnsi="Times New Roman" w:cs="Times New Roman"/>
          <w:snapToGrid w:val="0"/>
          <w:kern w:val="0"/>
          <w:sz w:val="24"/>
          <w:highlight w:val="none"/>
        </w:rPr>
        <w:t>，不满足《环境空气质量标准》（GB3095-2012）中相应浓度限值，超标率为31.5%；CO 24小时平均第95百分位数浓度值为3.6</w:t>
      </w:r>
      <w:r>
        <w:rPr>
          <w:rFonts w:hint="default" w:ascii="Times New Roman" w:hAnsi="Times New Roman" w:cs="Times New Roman"/>
          <w:snapToGrid w:val="0"/>
          <w:kern w:val="0"/>
          <w:sz w:val="24"/>
          <w:szCs w:val="24"/>
          <w:highlight w:val="none"/>
        </w:rPr>
        <w:t xml:space="preserve"> mg/m</w:t>
      </w:r>
      <w:r>
        <w:rPr>
          <w:rFonts w:hint="default" w:ascii="Times New Roman" w:hAnsi="Times New Roman" w:cs="Times New Roman"/>
          <w:snapToGrid w:val="0"/>
          <w:kern w:val="0"/>
          <w:sz w:val="24"/>
          <w:szCs w:val="24"/>
          <w:highlight w:val="none"/>
          <w:vertAlign w:val="superscript"/>
        </w:rPr>
        <w:t>3</w:t>
      </w:r>
      <w:r>
        <w:rPr>
          <w:rFonts w:hint="default" w:ascii="Times New Roman" w:hAnsi="Times New Roman" w:cs="Times New Roman"/>
          <w:snapToGrid w:val="0"/>
          <w:kern w:val="0"/>
          <w:sz w:val="24"/>
          <w:highlight w:val="none"/>
        </w:rPr>
        <w:t>，不满足《环境空气质量标准》（GB3095-2012）中相应浓度限值，超标率为4.5%；O</w:t>
      </w:r>
      <w:r>
        <w:rPr>
          <w:rFonts w:hint="default" w:ascii="Times New Roman" w:hAnsi="Times New Roman" w:cs="Times New Roman"/>
          <w:snapToGrid w:val="0"/>
          <w:kern w:val="0"/>
          <w:sz w:val="24"/>
          <w:highlight w:val="none"/>
          <w:vertAlign w:val="subscript"/>
        </w:rPr>
        <w:t>3</w:t>
      </w:r>
      <w:r>
        <w:rPr>
          <w:rFonts w:hint="default" w:ascii="Times New Roman" w:hAnsi="Times New Roman" w:cs="Times New Roman"/>
          <w:snapToGrid w:val="0"/>
          <w:kern w:val="0"/>
          <w:sz w:val="24"/>
          <w:highlight w:val="none"/>
        </w:rPr>
        <w:t>日最大8小时平均第90百分位数浓度值为208</w:t>
      </w:r>
      <w:r>
        <w:rPr>
          <w:rFonts w:hint="default" w:ascii="Times New Roman" w:hAnsi="Times New Roman" w:cs="Times New Roman"/>
          <w:snapToGrid w:val="0"/>
          <w:kern w:val="0"/>
          <w:sz w:val="24"/>
          <w:szCs w:val="24"/>
          <w:highlight w:val="none"/>
        </w:rPr>
        <w:t xml:space="preserve"> mg/m</w:t>
      </w:r>
      <w:r>
        <w:rPr>
          <w:rFonts w:hint="default" w:ascii="Times New Roman" w:hAnsi="Times New Roman" w:cs="Times New Roman"/>
          <w:snapToGrid w:val="0"/>
          <w:kern w:val="0"/>
          <w:sz w:val="24"/>
          <w:szCs w:val="24"/>
          <w:highlight w:val="none"/>
          <w:vertAlign w:val="superscript"/>
        </w:rPr>
        <w:t>3</w:t>
      </w:r>
      <w:r>
        <w:rPr>
          <w:rFonts w:hint="default" w:ascii="Times New Roman" w:hAnsi="Times New Roman" w:cs="Times New Roman"/>
          <w:snapToGrid w:val="0"/>
          <w:kern w:val="0"/>
          <w:sz w:val="24"/>
          <w:highlight w:val="none"/>
        </w:rPr>
        <w:t>，不满足《环境空气质量标准》（GB3095-2012）中相应浓度限值，超标率为16.8%。</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highlight w:val="none"/>
        </w:rPr>
        <w:t>根据补充监测结果，补充监测期间补充监测点氨和硫化氢1小时平均浓度满足</w:t>
      </w:r>
      <w:r>
        <w:rPr>
          <w:rFonts w:hint="default" w:ascii="Times New Roman" w:hAnsi="Times New Roman" w:cs="Times New Roman"/>
          <w:snapToGrid w:val="0"/>
          <w:kern w:val="0"/>
          <w:sz w:val="24"/>
          <w:szCs w:val="24"/>
          <w:highlight w:val="none"/>
        </w:rPr>
        <w:t>《环境影响评价技术导则 大气环境》（HJ2.2-2018）附录D中要求。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（2）声环境：根据</w:t>
      </w:r>
      <w:r>
        <w:rPr>
          <w:rFonts w:hint="default" w:ascii="Times New Roman" w:hAnsi="Times New Roman" w:cs="Times New Roman"/>
          <w:sz w:val="24"/>
          <w:highlight w:val="none"/>
        </w:rPr>
        <w:t>监测结果与标准值比较，监测结果与标准值比较可以看出，厂界声环境符合《声环境质量标准》（GB3096-2008）中1类功能区标准要求，声环境符合相应环境功能区划要求。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（3）地下水环境：监测期间各监测点位各指标均符合《地下水质量标准》（GBT14848-93）中Ⅲ类标准要求。</w:t>
      </w:r>
    </w:p>
    <w:p>
      <w:pPr>
        <w:pStyle w:val="14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napToGrid w:val="0"/>
          <w:spacing w:val="0"/>
          <w:sz w:val="24"/>
          <w:szCs w:val="24"/>
          <w:highlight w:val="none"/>
        </w:rPr>
        <w:t>（4）土壤环境：</w:t>
      </w:r>
      <w:r>
        <w:rPr>
          <w:rFonts w:hint="default" w:ascii="Times New Roman" w:hAnsi="Times New Roman" w:cs="Times New Roman"/>
          <w:sz w:val="24"/>
          <w:highlight w:val="none"/>
        </w:rPr>
        <w:t>根据监测结果显示，全部监测因子均满足第二类建设用地筛选值要求。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highlight w:val="none"/>
        </w:rPr>
      </w:pPr>
      <w:r>
        <w:rPr>
          <w:rFonts w:hint="default" w:ascii="Times New Roman" w:hAnsi="Times New Roman" w:cs="Times New Roman"/>
          <w:snapToGrid w:val="0"/>
          <w:sz w:val="24"/>
          <w:szCs w:val="24"/>
          <w:highlight w:val="none"/>
        </w:rPr>
        <w:t>（5）生态环境：</w:t>
      </w:r>
      <w:r>
        <w:rPr>
          <w:rFonts w:hint="default" w:ascii="Times New Roman" w:hAnsi="Times New Roman" w:cs="Times New Roman"/>
          <w:snapToGrid w:val="0"/>
          <w:kern w:val="0"/>
          <w:sz w:val="24"/>
          <w:highlight w:val="none"/>
        </w:rPr>
        <w:t>因本项目周边仅有部分村落和耕地。区内已少见野生动植物痕迹，多为人工栽培绿化景观植物和小型非珍惜濒危动物、昆虫等。评价范围内生态系统多以人为干扰的城镇生态系统为主，自然生态系统的结构和功能性较弱，在道路和厂区内以乔、灌、草有机结合的绿化体系下，评价范围内生态系统整体稳定。</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10.1.3项目实施前后环境质量变化情况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1</w:t>
      </w:r>
      <w:r>
        <w:rPr>
          <w:rFonts w:hint="eastAsia" w:ascii="Times New Roman" w:hAnsi="Times New Roman" w:cs="Times New Roman"/>
          <w:snapToGrid w:val="0"/>
          <w:kern w:val="0"/>
          <w:sz w:val="24"/>
          <w:szCs w:val="24"/>
          <w:highlight w:val="none"/>
          <w:lang w:eastAsia="zh-CN"/>
        </w:rPr>
        <w:t>）</w:t>
      </w:r>
      <w:r>
        <w:rPr>
          <w:rFonts w:hint="default" w:ascii="Times New Roman" w:hAnsi="Times New Roman" w:cs="Times New Roman"/>
          <w:snapToGrid w:val="0"/>
          <w:kern w:val="0"/>
          <w:sz w:val="24"/>
          <w:szCs w:val="24"/>
          <w:highlight w:val="none"/>
        </w:rPr>
        <w:t>环境空气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napToGrid w:val="0"/>
          <w:kern w:val="0"/>
          <w:sz w:val="24"/>
          <w:szCs w:val="24"/>
          <w:highlight w:val="none"/>
        </w:rPr>
        <w:t>项目大气污染源均采取了相应防止污染的措施，不会改变周边大气环境质量状况。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2</w:t>
      </w:r>
      <w:r>
        <w:rPr>
          <w:rFonts w:hint="eastAsia" w:ascii="Times New Roman" w:hAnsi="Times New Roman" w:cs="Times New Roman"/>
          <w:snapToGrid w:val="0"/>
          <w:kern w:val="0"/>
          <w:sz w:val="24"/>
          <w:szCs w:val="24"/>
          <w:highlight w:val="none"/>
          <w:lang w:eastAsia="zh-CN"/>
        </w:rPr>
        <w:t>）</w:t>
      </w:r>
      <w:r>
        <w:rPr>
          <w:rFonts w:hint="default" w:ascii="Times New Roman" w:hAnsi="Times New Roman" w:cs="Times New Roman"/>
          <w:snapToGrid w:val="0"/>
          <w:kern w:val="0"/>
          <w:sz w:val="24"/>
          <w:szCs w:val="24"/>
          <w:highlight w:val="none"/>
        </w:rPr>
        <w:t>地表水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本项目废水处理后农用，不外排，正常工况下不会对地表水环境质量产生影响。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3</w:t>
      </w:r>
      <w:r>
        <w:rPr>
          <w:rFonts w:hint="eastAsia" w:ascii="Times New Roman" w:hAnsi="Times New Roman" w:cs="Times New Roman"/>
          <w:snapToGrid w:val="0"/>
          <w:kern w:val="0"/>
          <w:sz w:val="24"/>
          <w:szCs w:val="24"/>
          <w:highlight w:val="none"/>
          <w:lang w:eastAsia="zh-CN"/>
        </w:rPr>
        <w:t>）</w:t>
      </w:r>
      <w:r>
        <w:rPr>
          <w:rFonts w:hint="default" w:ascii="Times New Roman" w:hAnsi="Times New Roman" w:cs="Times New Roman"/>
          <w:snapToGrid w:val="0"/>
          <w:kern w:val="0"/>
          <w:sz w:val="24"/>
          <w:szCs w:val="24"/>
          <w:highlight w:val="none"/>
        </w:rPr>
        <w:t>地下水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项目场地和储粪池、水处理系统、猪舍均设置相应防渗，其对区域地下水环境质量可以维持现状水平。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4</w:t>
      </w:r>
      <w:r>
        <w:rPr>
          <w:rFonts w:hint="eastAsia" w:ascii="Times New Roman" w:hAnsi="Times New Roman" w:cs="Times New Roman"/>
          <w:snapToGrid w:val="0"/>
          <w:kern w:val="0"/>
          <w:sz w:val="24"/>
          <w:szCs w:val="24"/>
          <w:highlight w:val="none"/>
          <w:lang w:eastAsia="zh-CN"/>
        </w:rPr>
        <w:t>）</w:t>
      </w:r>
      <w:r>
        <w:rPr>
          <w:rFonts w:hint="default" w:ascii="Times New Roman" w:hAnsi="Times New Roman" w:cs="Times New Roman"/>
          <w:snapToGrid w:val="0"/>
          <w:kern w:val="0"/>
          <w:sz w:val="24"/>
          <w:szCs w:val="24"/>
          <w:highlight w:val="none"/>
        </w:rPr>
        <w:t>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napToGrid w:val="0"/>
          <w:kern w:val="0"/>
          <w:sz w:val="24"/>
          <w:szCs w:val="24"/>
          <w:highlight w:val="none"/>
        </w:rPr>
        <w:t>预测结果表明，工程实施后，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项目的实施不会对周围声环境产生明显影响。项目实施前后，周边声环境质量变化不大。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5</w:t>
      </w:r>
      <w:r>
        <w:rPr>
          <w:rFonts w:hint="eastAsia" w:ascii="Times New Roman" w:hAnsi="Times New Roman" w:cs="Times New Roman"/>
          <w:snapToGrid w:val="0"/>
          <w:kern w:val="0"/>
          <w:sz w:val="24"/>
          <w:szCs w:val="24"/>
          <w:highlight w:val="none"/>
          <w:lang w:eastAsia="zh-CN"/>
        </w:rPr>
        <w:t>）</w:t>
      </w:r>
      <w:r>
        <w:rPr>
          <w:rFonts w:hint="default" w:ascii="Times New Roman" w:hAnsi="Times New Roman" w:cs="Times New Roman"/>
          <w:snapToGrid w:val="0"/>
          <w:kern w:val="0"/>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项目产生的固体废物全部得到综合利用或合理处置，对环境影响不大。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lang w:val="en-US" w:eastAsia="zh-CN"/>
        </w:rPr>
        <w:t>6</w:t>
      </w:r>
      <w:r>
        <w:rPr>
          <w:rFonts w:hint="eastAsia" w:ascii="Times New Roman" w:hAnsi="Times New Roman" w:cs="Times New Roman"/>
          <w:snapToGrid w:val="0"/>
          <w:kern w:val="0"/>
          <w:sz w:val="24"/>
          <w:szCs w:val="24"/>
          <w:highlight w:val="none"/>
          <w:lang w:eastAsia="zh-CN"/>
        </w:rPr>
        <w:t>）</w:t>
      </w:r>
      <w:r>
        <w:rPr>
          <w:rFonts w:hint="default" w:ascii="Times New Roman" w:hAnsi="Times New Roman" w:cs="Times New Roman"/>
          <w:snapToGrid w:val="0"/>
          <w:kern w:val="0"/>
          <w:sz w:val="24"/>
          <w:szCs w:val="24"/>
          <w:highlight w:val="none"/>
        </w:rPr>
        <w:t>风险影响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sz w:val="24"/>
          <w:szCs w:val="25"/>
          <w:highlight w:val="none"/>
        </w:rPr>
      </w:pPr>
      <w:r>
        <w:rPr>
          <w:rFonts w:hint="default" w:ascii="Times New Roman" w:hAnsi="Times New Roman" w:cs="Times New Roman"/>
          <w:snapToGrid w:val="0"/>
          <w:sz w:val="24"/>
          <w:szCs w:val="25"/>
          <w:highlight w:val="none"/>
        </w:rPr>
        <w:t>本项目环境风险主要为沼气的产生及利用过程可能发生的火灾或爆炸，以及半生的此生污染情况，在按环评要求做好相应防范措施，并按要求编制突发环境应急预案，及时备案，严格执行，可以将突发环境风险降低到可接受水平。</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10.1.4总量控制结论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根据国家政策对污染物</w:t>
      </w:r>
      <w:r>
        <w:rPr>
          <w:rFonts w:hint="default" w:ascii="Times New Roman" w:hAnsi="Times New Roman" w:cs="Times New Roman"/>
          <w:sz w:val="24"/>
          <w:highlight w:val="none"/>
        </w:rPr>
        <w:t>许可排放量</w:t>
      </w:r>
      <w:r>
        <w:rPr>
          <w:rFonts w:hint="default" w:ascii="Times New Roman" w:hAnsi="Times New Roman" w:cs="Times New Roman"/>
          <w:kern w:val="0"/>
          <w:sz w:val="24"/>
          <w:highlight w:val="none"/>
        </w:rPr>
        <w:t>控制要求，并结合本项目所在区域环境质量现状和项目自身外排污染物特征，确定本项目</w:t>
      </w:r>
      <w:r>
        <w:rPr>
          <w:rFonts w:hint="default" w:ascii="Times New Roman" w:hAnsi="Times New Roman" w:cs="Times New Roman"/>
          <w:sz w:val="24"/>
          <w:highlight w:val="none"/>
        </w:rPr>
        <w:t>许可排放量</w:t>
      </w:r>
      <w:r>
        <w:rPr>
          <w:rFonts w:hint="default" w:ascii="Times New Roman" w:hAnsi="Times New Roman" w:cs="Times New Roman"/>
          <w:kern w:val="0"/>
          <w:sz w:val="24"/>
          <w:highlight w:val="none"/>
        </w:rPr>
        <w:t>控制因子为颗粒物、SO</w:t>
      </w:r>
      <w:r>
        <w:rPr>
          <w:rFonts w:hint="default" w:ascii="Times New Roman" w:hAnsi="Times New Roman" w:cs="Times New Roman"/>
          <w:kern w:val="0"/>
          <w:sz w:val="24"/>
          <w:highlight w:val="none"/>
          <w:vertAlign w:val="subscript"/>
        </w:rPr>
        <w:t>2</w:t>
      </w:r>
      <w:r>
        <w:rPr>
          <w:rFonts w:hint="default" w:ascii="Times New Roman" w:hAnsi="Times New Roman" w:cs="Times New Roman"/>
          <w:kern w:val="0"/>
          <w:sz w:val="24"/>
          <w:highlight w:val="none"/>
        </w:rPr>
        <w:t>、NO</w:t>
      </w:r>
      <w:r>
        <w:rPr>
          <w:rFonts w:hint="default" w:ascii="Times New Roman" w:hAnsi="Times New Roman" w:cs="Times New Roman"/>
          <w:kern w:val="0"/>
          <w:sz w:val="24"/>
          <w:highlight w:val="none"/>
          <w:vertAlign w:val="subscript"/>
        </w:rPr>
        <w:t>x</w:t>
      </w:r>
      <w:r>
        <w:rPr>
          <w:rFonts w:hint="default" w:ascii="Times New Roman" w:hAnsi="Times New Roman" w:cs="Times New Roman"/>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 xml:space="preserve">根据《建设项目主要污染物排放总量指标审核及管理暂行办法》中提出的总量指标的计算方法，计算本项目主要污染物排放总量指标值。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本项目根据排放标准核算各污染物总量建议指标为：颗粒物：0.1</w:t>
      </w:r>
      <w:r>
        <w:rPr>
          <w:rFonts w:hint="default" w:ascii="Times New Roman" w:hAnsi="Times New Roman" w:cs="Times New Roman"/>
          <w:snapToGrid w:val="0"/>
          <w:kern w:val="0"/>
          <w:sz w:val="24"/>
          <w:szCs w:val="24"/>
          <w:highlight w:val="none"/>
          <w:lang w:val="en-US" w:eastAsia="zh-CN"/>
        </w:rPr>
        <w:t>94</w:t>
      </w:r>
      <w:r>
        <w:rPr>
          <w:rFonts w:hint="default" w:ascii="Times New Roman" w:hAnsi="Times New Roman" w:cs="Times New Roman"/>
          <w:snapToGrid w:val="0"/>
          <w:kern w:val="0"/>
          <w:sz w:val="24"/>
          <w:szCs w:val="24"/>
          <w:highlight w:val="none"/>
        </w:rPr>
        <w:t>t/a、二氧化硫：0.8</w:t>
      </w:r>
      <w:r>
        <w:rPr>
          <w:rFonts w:hint="default" w:ascii="Times New Roman" w:hAnsi="Times New Roman" w:cs="Times New Roman"/>
          <w:snapToGrid w:val="0"/>
          <w:kern w:val="0"/>
          <w:sz w:val="24"/>
          <w:szCs w:val="24"/>
          <w:highlight w:val="none"/>
          <w:lang w:val="en-US" w:eastAsia="zh-CN"/>
        </w:rPr>
        <w:t>73</w:t>
      </w:r>
      <w:r>
        <w:rPr>
          <w:rFonts w:hint="default" w:ascii="Times New Roman" w:hAnsi="Times New Roman" w:cs="Times New Roman"/>
          <w:snapToGrid w:val="0"/>
          <w:kern w:val="0"/>
          <w:sz w:val="24"/>
          <w:szCs w:val="24"/>
          <w:highlight w:val="none"/>
        </w:rPr>
        <w:t>t/a、氮氧化物：0.</w:t>
      </w:r>
      <w:r>
        <w:rPr>
          <w:rFonts w:hint="default" w:ascii="Times New Roman" w:hAnsi="Times New Roman" w:cs="Times New Roman"/>
          <w:snapToGrid w:val="0"/>
          <w:kern w:val="0"/>
          <w:sz w:val="24"/>
          <w:szCs w:val="24"/>
          <w:highlight w:val="none"/>
          <w:lang w:val="en-US" w:eastAsia="zh-CN"/>
        </w:rPr>
        <w:t>416</w:t>
      </w:r>
      <w:r>
        <w:rPr>
          <w:rFonts w:hint="default" w:ascii="Times New Roman" w:hAnsi="Times New Roman" w:cs="Times New Roman"/>
          <w:snapToGrid w:val="0"/>
          <w:kern w:val="0"/>
          <w:sz w:val="24"/>
          <w:szCs w:val="24"/>
          <w:highlight w:val="none"/>
        </w:rPr>
        <w:t>t/a。</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10.1.5环境管理与监测计划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本项目应成立环境管理机构，负责环保日常管理工作，建立合理的环境管理体系、管理计划和人员职责。本项目可不设专门环境监测机构，结合项目具体情况，监测项目如废气、废水、噪声和环境质量等，可委托有资质的环境监测机构进行监测。项目在运行中应做好信息公开工作。</w:t>
      </w:r>
    </w:p>
    <w:p>
      <w:pPr>
        <w:spacing w:before="120" w:beforeLines="50" w:after="120" w:afterLines="50"/>
        <w:jc w:val="left"/>
        <w:outlineLvl w:val="2"/>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10.1.6综合结论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szCs w:val="24"/>
          <w:highlight w:val="none"/>
        </w:rPr>
      </w:pPr>
      <w:r>
        <w:rPr>
          <w:rFonts w:hint="default" w:ascii="Times New Roman" w:hAnsi="Times New Roman" w:cs="Times New Roman"/>
          <w:sz w:val="24"/>
          <w:szCs w:val="24"/>
          <w:highlight w:val="none"/>
        </w:rPr>
        <w:t>秦皇岛市国飞农业科技发展有限公司国飞农业产业园项目</w:t>
      </w:r>
      <w:r>
        <w:rPr>
          <w:rFonts w:hint="default" w:ascii="Times New Roman" w:hAnsi="Times New Roman" w:cs="Times New Roman"/>
          <w:snapToGrid w:val="0"/>
          <w:kern w:val="0"/>
          <w:sz w:val="24"/>
          <w:szCs w:val="24"/>
          <w:highlight w:val="none"/>
        </w:rPr>
        <w:t>符合产业政策要求，选址可行，环保措施技术适用可行，废水、废气、噪声排放符合污染物达标排放和总量控制要求，固体废物综合利用或合理处置，符合清洁生产和循环经济要求；环风险防范措施与应急措施基本完善；项目实施后，不会改变区域环境和周边敏感点的环境功能区划。因此，在建设单位认真落实报告中提出各项污染防治措施前提下，加强建设和运营过程的环境管理，项目建设可行。</w:t>
      </w:r>
    </w:p>
    <w:p>
      <w:pPr>
        <w:spacing w:before="120" w:beforeLines="50" w:after="120" w:afterLines="50"/>
        <w:jc w:val="left"/>
        <w:outlineLvl w:val="1"/>
        <w:rPr>
          <w:rFonts w:hint="default" w:ascii="Times New Roman" w:hAnsi="Times New Roman" w:eastAsia="黑体" w:cs="Times New Roman"/>
          <w:bCs/>
          <w:sz w:val="30"/>
          <w:szCs w:val="30"/>
          <w:highlight w:val="none"/>
        </w:rPr>
      </w:pPr>
      <w:bookmarkStart w:id="160" w:name="_Toc29901"/>
      <w:bookmarkStart w:id="161" w:name="_Toc521334407"/>
      <w:r>
        <w:rPr>
          <w:rFonts w:hint="default" w:ascii="Times New Roman" w:hAnsi="Times New Roman" w:eastAsia="黑体" w:cs="Times New Roman"/>
          <w:bCs/>
          <w:sz w:val="30"/>
          <w:szCs w:val="30"/>
          <w:highlight w:val="none"/>
        </w:rPr>
        <w:t>10.2建议</w:t>
      </w:r>
      <w:bookmarkEnd w:id="160"/>
      <w:bookmarkEnd w:id="16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napToGrid w:val="0"/>
          <w:kern w:val="0"/>
          <w:sz w:val="24"/>
          <w:szCs w:val="24"/>
          <w:highlight w:val="none"/>
        </w:rPr>
        <w:t>（1）</w:t>
      </w:r>
      <w:r>
        <w:rPr>
          <w:rFonts w:hint="default" w:ascii="Times New Roman" w:hAnsi="Times New Roman" w:eastAsia="宋体" w:cs="Times New Roman"/>
          <w:sz w:val="24"/>
          <w:highlight w:val="none"/>
        </w:rPr>
        <w:t>在生产过程中分析总结工艺最优化运行参数，达到设备运转率及生产能力最大化，提高资源回收率等指标，提高企业清洁生产水平。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4"/>
          <w:highlight w:val="none"/>
        </w:rPr>
      </w:pPr>
      <w:r>
        <w:rPr>
          <w:rFonts w:hint="default" w:ascii="Times New Roman" w:hAnsi="Times New Roman" w:eastAsia="宋体" w:cs="Times New Roman"/>
          <w:snapToGrid w:val="0"/>
          <w:kern w:val="0"/>
          <w:sz w:val="24"/>
          <w:szCs w:val="24"/>
          <w:highlight w:val="none"/>
        </w:rPr>
        <w:t>（2）积极推进企业的ISO14000环境质量管理和ISO-9001国际质量管理体系认证工作，完善企业环境管理、质量管理体系建设，提高环境管理水平和质量管理水平。</w:t>
      </w:r>
    </w:p>
    <w:p>
      <w:pPr>
        <w:pStyle w:val="15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snapToGrid w:val="0"/>
          <w:kern w:val="0"/>
          <w:sz w:val="24"/>
          <w:highlight w:val="none"/>
        </w:rPr>
      </w:pPr>
      <w:r>
        <w:rPr>
          <w:rFonts w:hint="default" w:ascii="Times New Roman" w:hAnsi="Times New Roman" w:eastAsia="宋体" w:cs="Times New Roman"/>
          <w:sz w:val="24"/>
          <w:highlight w:val="none"/>
        </w:rPr>
        <w:t>（3）加强各类环保设施的维护、维修工作，确保其正常运行。</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imesNewRomanPSMT">
    <w:altName w:val="宋体"/>
    <w:panose1 w:val="00000000000000000000"/>
    <w:charset w:val="86"/>
    <w:family w:val="auto"/>
    <w:pitch w:val="default"/>
    <w:sig w:usb0="00000000" w:usb1="00000000" w:usb2="00000010" w:usb3="00000000" w:csb0="00040000" w:csb1="00000000"/>
  </w:font>
  <w:font w:name="TimesNewRomanPS-ItalicMT">
    <w:altName w:val="Times New Roman"/>
    <w:panose1 w:val="00000000000000000000"/>
    <w:charset w:val="00"/>
    <w:family w:val="roman"/>
    <w:pitch w:val="default"/>
    <w:sig w:usb0="00000000" w:usb1="00000000" w:usb2="00000000" w:usb3="00000000" w:csb0="00000000" w:csb1="00000000"/>
  </w:font>
  <w:font w:name="SymbolMT">
    <w:altName w:val="Times New Roman"/>
    <w:panose1 w:val="00000000000000000000"/>
    <w:charset w:val="00"/>
    <w:family w:val="roman"/>
    <w:pitch w:val="default"/>
    <w:sig w:usb0="00000000" w:usb1="00000000" w:usb2="00000000" w:usb3="00000000" w:csb0="00000000" w:csb1="00000000"/>
  </w:font>
  <w:font w:name="Century">
    <w:panose1 w:val="02040604050505020304"/>
    <w:charset w:val="00"/>
    <w:family w:val="roman"/>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Mincho">
    <w:altName w:val="Yu Gothic UI"/>
    <w:panose1 w:val="02020609040305080305"/>
    <w:charset w:val="80"/>
    <w:family w:val="roman"/>
    <w:pitch w:val="default"/>
    <w:sig w:usb0="00000000" w:usb1="00000000" w:usb2="00000010" w:usb3="00000000" w:csb0="00020000"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framePr w:wrap="around" w:vAnchor="text" w:hAnchor="margin" w:xAlign="center" w:y="1"/>
      <w:rPr>
        <w:rStyle w:val="125"/>
      </w:rPr>
    </w:pPr>
    <w:r>
      <w:fldChar w:fldCharType="begin"/>
    </w:r>
    <w:r>
      <w:rPr>
        <w:rStyle w:val="125"/>
      </w:rPr>
      <w:instrText xml:space="preserve">PAGE  </w:instrText>
    </w:r>
    <w:r>
      <w:fldChar w:fldCharType="end"/>
    </w:r>
  </w:p>
  <w:p>
    <w:pPr>
      <w:pStyle w:val="5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5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448"/>
      <w:lvlText w:val="%1."/>
      <w:lvlJc w:val="left"/>
      <w:pPr>
        <w:tabs>
          <w:tab w:val="left" w:pos="1200"/>
        </w:tabs>
        <w:ind w:left="1200" w:hanging="360"/>
      </w:pPr>
    </w:lvl>
  </w:abstractNum>
  <w:abstractNum w:abstractNumId="1">
    <w:nsid w:val="324B2CCE"/>
    <w:multiLevelType w:val="multilevel"/>
    <w:tmpl w:val="324B2CCE"/>
    <w:lvl w:ilvl="0" w:tentative="0">
      <w:start w:val="1"/>
      <w:numFmt w:val="decimal"/>
      <w:pStyle w:val="669"/>
      <w:lvlText w:val="%1."/>
      <w:lvlJc w:val="left"/>
      <w:pPr>
        <w:tabs>
          <w:tab w:val="left" w:pos="360"/>
        </w:tabs>
        <w:ind w:left="360" w:hanging="360"/>
      </w:pPr>
      <w:rPr>
        <w:rFonts w:hint="default"/>
        <w:sz w:val="32"/>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
    <w:nsid w:val="407E65F9"/>
    <w:multiLevelType w:val="multilevel"/>
    <w:tmpl w:val="407E65F9"/>
    <w:lvl w:ilvl="0" w:tentative="0">
      <w:start w:val="1"/>
      <w:numFmt w:val="none"/>
      <w:pStyle w:val="653"/>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657D3FBC"/>
    <w:multiLevelType w:val="multilevel"/>
    <w:tmpl w:val="657D3FBC"/>
    <w:lvl w:ilvl="0" w:tentative="0">
      <w:start w:val="1"/>
      <w:numFmt w:val="upperLetter"/>
      <w:pStyle w:val="660"/>
      <w:suff w:val="nothing"/>
      <w:lvlText w:val="附　录　%1"/>
      <w:lvlJc w:val="left"/>
      <w:pPr>
        <w:ind w:left="0" w:firstLine="0"/>
      </w:pPr>
      <w:rPr>
        <w:rFonts w:hint="eastAsia" w:ascii="黑体" w:hAnsi="Times New Roman" w:eastAsia="黑体"/>
        <w:b w:val="0"/>
        <w:i w:val="0"/>
        <w:sz w:val="21"/>
      </w:rPr>
    </w:lvl>
    <w:lvl w:ilvl="1" w:tentative="0">
      <w:start w:val="1"/>
      <w:numFmt w:val="decimal"/>
      <w:pStyle w:val="642"/>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641"/>
      <w:suff w:val="nothing"/>
      <w:lvlText w:val="%1.%2.%3　"/>
      <w:lvlJc w:val="left"/>
      <w:pPr>
        <w:ind w:left="0" w:firstLine="0"/>
      </w:pPr>
      <w:rPr>
        <w:rFonts w:hint="eastAsia" w:ascii="黑体" w:hAnsi="Times New Roman" w:eastAsia="黑体"/>
        <w:b w:val="0"/>
        <w:i w:val="0"/>
        <w:sz w:val="21"/>
      </w:rPr>
    </w:lvl>
    <w:lvl w:ilvl="3" w:tentative="0">
      <w:start w:val="1"/>
      <w:numFmt w:val="decimal"/>
      <w:pStyle w:val="647"/>
      <w:suff w:val="nothing"/>
      <w:lvlText w:val="%1.%2.%3.%4　"/>
      <w:lvlJc w:val="left"/>
      <w:pPr>
        <w:ind w:left="0" w:firstLine="0"/>
      </w:pPr>
      <w:rPr>
        <w:rFonts w:hint="eastAsia" w:ascii="黑体" w:hAnsi="Times New Roman" w:eastAsia="黑体"/>
        <w:b w:val="0"/>
        <w:i w:val="0"/>
        <w:sz w:val="21"/>
      </w:rPr>
    </w:lvl>
    <w:lvl w:ilvl="4" w:tentative="0">
      <w:start w:val="1"/>
      <w:numFmt w:val="decimal"/>
      <w:pStyle w:val="646"/>
      <w:suff w:val="nothing"/>
      <w:lvlText w:val="%1.%2.%3.%4.%5　"/>
      <w:lvlJc w:val="left"/>
      <w:pPr>
        <w:ind w:left="0" w:firstLine="0"/>
      </w:pPr>
      <w:rPr>
        <w:rFonts w:hint="eastAsia" w:ascii="黑体" w:hAnsi="Times New Roman" w:eastAsia="黑体"/>
        <w:b w:val="0"/>
        <w:i w:val="0"/>
        <w:sz w:val="21"/>
      </w:rPr>
    </w:lvl>
    <w:lvl w:ilvl="5" w:tentative="0">
      <w:start w:val="1"/>
      <w:numFmt w:val="decimal"/>
      <w:pStyle w:val="697"/>
      <w:suff w:val="nothing"/>
      <w:lvlText w:val="%1.%2.%3.%4.%5.%6　"/>
      <w:lvlJc w:val="left"/>
      <w:pPr>
        <w:ind w:left="0" w:firstLine="0"/>
      </w:pPr>
      <w:rPr>
        <w:rFonts w:hint="eastAsia" w:ascii="黑体" w:hAnsi="Times New Roman" w:eastAsia="黑体"/>
        <w:b w:val="0"/>
        <w:i w:val="0"/>
        <w:sz w:val="21"/>
      </w:rPr>
    </w:lvl>
    <w:lvl w:ilvl="6" w:tentative="0">
      <w:start w:val="1"/>
      <w:numFmt w:val="decimal"/>
      <w:pStyle w:val="69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76933334"/>
    <w:multiLevelType w:val="multilevel"/>
    <w:tmpl w:val="76933334"/>
    <w:lvl w:ilvl="0" w:tentative="0">
      <w:start w:val="1"/>
      <w:numFmt w:val="none"/>
      <w:pStyle w:val="632"/>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A31"/>
    <w:rsid w:val="00001145"/>
    <w:rsid w:val="00001173"/>
    <w:rsid w:val="00001770"/>
    <w:rsid w:val="000019F5"/>
    <w:rsid w:val="00001F83"/>
    <w:rsid w:val="00002242"/>
    <w:rsid w:val="000029DE"/>
    <w:rsid w:val="00002AD5"/>
    <w:rsid w:val="000031B4"/>
    <w:rsid w:val="000044C0"/>
    <w:rsid w:val="00004D5B"/>
    <w:rsid w:val="00005B1F"/>
    <w:rsid w:val="00007639"/>
    <w:rsid w:val="0001026F"/>
    <w:rsid w:val="000104C3"/>
    <w:rsid w:val="000113E5"/>
    <w:rsid w:val="00011D8E"/>
    <w:rsid w:val="00012AB4"/>
    <w:rsid w:val="00013B05"/>
    <w:rsid w:val="00014121"/>
    <w:rsid w:val="000144B4"/>
    <w:rsid w:val="000147C5"/>
    <w:rsid w:val="00014CF2"/>
    <w:rsid w:val="0001519E"/>
    <w:rsid w:val="00015277"/>
    <w:rsid w:val="00015678"/>
    <w:rsid w:val="00015CF1"/>
    <w:rsid w:val="00015E3B"/>
    <w:rsid w:val="00015F32"/>
    <w:rsid w:val="000166BC"/>
    <w:rsid w:val="00016D07"/>
    <w:rsid w:val="0001778C"/>
    <w:rsid w:val="00017ACD"/>
    <w:rsid w:val="00017ED9"/>
    <w:rsid w:val="00017FE2"/>
    <w:rsid w:val="00020209"/>
    <w:rsid w:val="00020601"/>
    <w:rsid w:val="00020D1F"/>
    <w:rsid w:val="00020FC9"/>
    <w:rsid w:val="00021354"/>
    <w:rsid w:val="00021F8D"/>
    <w:rsid w:val="00022D32"/>
    <w:rsid w:val="000239C4"/>
    <w:rsid w:val="0002482B"/>
    <w:rsid w:val="000266C2"/>
    <w:rsid w:val="0002688F"/>
    <w:rsid w:val="00026C3D"/>
    <w:rsid w:val="00031D6C"/>
    <w:rsid w:val="00032AF1"/>
    <w:rsid w:val="00032B3B"/>
    <w:rsid w:val="00033A54"/>
    <w:rsid w:val="00037553"/>
    <w:rsid w:val="00037605"/>
    <w:rsid w:val="000404DC"/>
    <w:rsid w:val="00040D69"/>
    <w:rsid w:val="00040F9F"/>
    <w:rsid w:val="00041337"/>
    <w:rsid w:val="0004137D"/>
    <w:rsid w:val="000437FE"/>
    <w:rsid w:val="00045042"/>
    <w:rsid w:val="000453F9"/>
    <w:rsid w:val="000456B0"/>
    <w:rsid w:val="000476C0"/>
    <w:rsid w:val="00047C6C"/>
    <w:rsid w:val="000500F2"/>
    <w:rsid w:val="0005016B"/>
    <w:rsid w:val="00050E2C"/>
    <w:rsid w:val="00051D39"/>
    <w:rsid w:val="00052171"/>
    <w:rsid w:val="0005285D"/>
    <w:rsid w:val="0005288A"/>
    <w:rsid w:val="00052F48"/>
    <w:rsid w:val="00053117"/>
    <w:rsid w:val="000535B5"/>
    <w:rsid w:val="000535C5"/>
    <w:rsid w:val="00054633"/>
    <w:rsid w:val="00054718"/>
    <w:rsid w:val="00055FFD"/>
    <w:rsid w:val="000571FA"/>
    <w:rsid w:val="00057ECD"/>
    <w:rsid w:val="00061761"/>
    <w:rsid w:val="00062629"/>
    <w:rsid w:val="0006283D"/>
    <w:rsid w:val="000629BD"/>
    <w:rsid w:val="00062ACC"/>
    <w:rsid w:val="0006484C"/>
    <w:rsid w:val="00066303"/>
    <w:rsid w:val="00066BCF"/>
    <w:rsid w:val="00067172"/>
    <w:rsid w:val="000673E9"/>
    <w:rsid w:val="00067DC8"/>
    <w:rsid w:val="0007107A"/>
    <w:rsid w:val="00071105"/>
    <w:rsid w:val="0007170D"/>
    <w:rsid w:val="00071C3D"/>
    <w:rsid w:val="00071E45"/>
    <w:rsid w:val="00071E6B"/>
    <w:rsid w:val="000732CA"/>
    <w:rsid w:val="0007335B"/>
    <w:rsid w:val="0007367A"/>
    <w:rsid w:val="00073D15"/>
    <w:rsid w:val="00073D38"/>
    <w:rsid w:val="00074DAD"/>
    <w:rsid w:val="00075585"/>
    <w:rsid w:val="00080CBD"/>
    <w:rsid w:val="00081D9C"/>
    <w:rsid w:val="00082855"/>
    <w:rsid w:val="0008321F"/>
    <w:rsid w:val="000832B2"/>
    <w:rsid w:val="0008336A"/>
    <w:rsid w:val="00084C14"/>
    <w:rsid w:val="00084CE6"/>
    <w:rsid w:val="0008595D"/>
    <w:rsid w:val="00085AFC"/>
    <w:rsid w:val="00087D9A"/>
    <w:rsid w:val="00087F17"/>
    <w:rsid w:val="00090B7E"/>
    <w:rsid w:val="0009174A"/>
    <w:rsid w:val="0009189C"/>
    <w:rsid w:val="00092317"/>
    <w:rsid w:val="00093392"/>
    <w:rsid w:val="000934C0"/>
    <w:rsid w:val="000938BF"/>
    <w:rsid w:val="00093D92"/>
    <w:rsid w:val="000941B7"/>
    <w:rsid w:val="0009536F"/>
    <w:rsid w:val="000954C8"/>
    <w:rsid w:val="00095549"/>
    <w:rsid w:val="00095F4D"/>
    <w:rsid w:val="000962BC"/>
    <w:rsid w:val="000972F7"/>
    <w:rsid w:val="00097537"/>
    <w:rsid w:val="000A0337"/>
    <w:rsid w:val="000A0A91"/>
    <w:rsid w:val="000A1C48"/>
    <w:rsid w:val="000A2155"/>
    <w:rsid w:val="000A23C5"/>
    <w:rsid w:val="000A3231"/>
    <w:rsid w:val="000A403D"/>
    <w:rsid w:val="000A4F8A"/>
    <w:rsid w:val="000A4FEB"/>
    <w:rsid w:val="000A510B"/>
    <w:rsid w:val="000A5B11"/>
    <w:rsid w:val="000A5F47"/>
    <w:rsid w:val="000A5FB1"/>
    <w:rsid w:val="000A6AB6"/>
    <w:rsid w:val="000A6ABD"/>
    <w:rsid w:val="000A6C75"/>
    <w:rsid w:val="000A745F"/>
    <w:rsid w:val="000A79B9"/>
    <w:rsid w:val="000B0AFF"/>
    <w:rsid w:val="000B0C49"/>
    <w:rsid w:val="000B0FC7"/>
    <w:rsid w:val="000B1D08"/>
    <w:rsid w:val="000B22F4"/>
    <w:rsid w:val="000B25B4"/>
    <w:rsid w:val="000B341F"/>
    <w:rsid w:val="000B4DB9"/>
    <w:rsid w:val="000B5E1E"/>
    <w:rsid w:val="000B5E4D"/>
    <w:rsid w:val="000B6EA4"/>
    <w:rsid w:val="000B6F46"/>
    <w:rsid w:val="000C3DA5"/>
    <w:rsid w:val="000C7DEC"/>
    <w:rsid w:val="000D0340"/>
    <w:rsid w:val="000D2198"/>
    <w:rsid w:val="000D2F5B"/>
    <w:rsid w:val="000D3F91"/>
    <w:rsid w:val="000D4FE5"/>
    <w:rsid w:val="000D513A"/>
    <w:rsid w:val="000D530F"/>
    <w:rsid w:val="000D6718"/>
    <w:rsid w:val="000D6A72"/>
    <w:rsid w:val="000D6E7E"/>
    <w:rsid w:val="000D72DD"/>
    <w:rsid w:val="000E0410"/>
    <w:rsid w:val="000E1506"/>
    <w:rsid w:val="000E1B55"/>
    <w:rsid w:val="000E202E"/>
    <w:rsid w:val="000E2268"/>
    <w:rsid w:val="000E3406"/>
    <w:rsid w:val="000E4592"/>
    <w:rsid w:val="000E53F5"/>
    <w:rsid w:val="000E5B35"/>
    <w:rsid w:val="000E628C"/>
    <w:rsid w:val="000E684E"/>
    <w:rsid w:val="000E6A51"/>
    <w:rsid w:val="000F094F"/>
    <w:rsid w:val="000F09B3"/>
    <w:rsid w:val="000F0BE5"/>
    <w:rsid w:val="000F16DE"/>
    <w:rsid w:val="000F1FCE"/>
    <w:rsid w:val="000F2910"/>
    <w:rsid w:val="000F3742"/>
    <w:rsid w:val="000F3996"/>
    <w:rsid w:val="000F3CB3"/>
    <w:rsid w:val="000F467F"/>
    <w:rsid w:val="000F49B2"/>
    <w:rsid w:val="000F5055"/>
    <w:rsid w:val="000F575B"/>
    <w:rsid w:val="000F71F4"/>
    <w:rsid w:val="001017EB"/>
    <w:rsid w:val="0010193C"/>
    <w:rsid w:val="001040C5"/>
    <w:rsid w:val="0010449F"/>
    <w:rsid w:val="0010455B"/>
    <w:rsid w:val="00104936"/>
    <w:rsid w:val="001049AE"/>
    <w:rsid w:val="00104A1F"/>
    <w:rsid w:val="001056E3"/>
    <w:rsid w:val="00106124"/>
    <w:rsid w:val="001062C0"/>
    <w:rsid w:val="00106660"/>
    <w:rsid w:val="001068C7"/>
    <w:rsid w:val="00106A13"/>
    <w:rsid w:val="00106B71"/>
    <w:rsid w:val="00106C91"/>
    <w:rsid w:val="00107371"/>
    <w:rsid w:val="00107811"/>
    <w:rsid w:val="00110417"/>
    <w:rsid w:val="001116E5"/>
    <w:rsid w:val="00111A8F"/>
    <w:rsid w:val="00111BF4"/>
    <w:rsid w:val="00111E1F"/>
    <w:rsid w:val="001121D8"/>
    <w:rsid w:val="001121E9"/>
    <w:rsid w:val="00112BF4"/>
    <w:rsid w:val="00112C80"/>
    <w:rsid w:val="001149E3"/>
    <w:rsid w:val="001155AD"/>
    <w:rsid w:val="00117879"/>
    <w:rsid w:val="0011789A"/>
    <w:rsid w:val="00117E23"/>
    <w:rsid w:val="0012065F"/>
    <w:rsid w:val="001209C2"/>
    <w:rsid w:val="00120D8C"/>
    <w:rsid w:val="0012146D"/>
    <w:rsid w:val="00121780"/>
    <w:rsid w:val="00121855"/>
    <w:rsid w:val="00121FD6"/>
    <w:rsid w:val="00122492"/>
    <w:rsid w:val="00122549"/>
    <w:rsid w:val="00122769"/>
    <w:rsid w:val="00122A8B"/>
    <w:rsid w:val="00122DBC"/>
    <w:rsid w:val="00123473"/>
    <w:rsid w:val="001235EB"/>
    <w:rsid w:val="001236DD"/>
    <w:rsid w:val="0012517A"/>
    <w:rsid w:val="00125E3B"/>
    <w:rsid w:val="00125FE9"/>
    <w:rsid w:val="00126205"/>
    <w:rsid w:val="00126342"/>
    <w:rsid w:val="00126A45"/>
    <w:rsid w:val="00127B80"/>
    <w:rsid w:val="00130042"/>
    <w:rsid w:val="0013105D"/>
    <w:rsid w:val="001332E5"/>
    <w:rsid w:val="001339C8"/>
    <w:rsid w:val="0013449C"/>
    <w:rsid w:val="00135536"/>
    <w:rsid w:val="00136362"/>
    <w:rsid w:val="00136422"/>
    <w:rsid w:val="00136BB4"/>
    <w:rsid w:val="00137099"/>
    <w:rsid w:val="001402B7"/>
    <w:rsid w:val="00140713"/>
    <w:rsid w:val="00140A60"/>
    <w:rsid w:val="00140B8F"/>
    <w:rsid w:val="001414DC"/>
    <w:rsid w:val="001434C8"/>
    <w:rsid w:val="001443E7"/>
    <w:rsid w:val="0014671B"/>
    <w:rsid w:val="00146996"/>
    <w:rsid w:val="0014700B"/>
    <w:rsid w:val="0014790C"/>
    <w:rsid w:val="00147960"/>
    <w:rsid w:val="001479F1"/>
    <w:rsid w:val="001503B4"/>
    <w:rsid w:val="001505B7"/>
    <w:rsid w:val="00150BAA"/>
    <w:rsid w:val="001518A6"/>
    <w:rsid w:val="00151C44"/>
    <w:rsid w:val="00151F0B"/>
    <w:rsid w:val="00152313"/>
    <w:rsid w:val="00154B47"/>
    <w:rsid w:val="00154E38"/>
    <w:rsid w:val="00156429"/>
    <w:rsid w:val="00156F40"/>
    <w:rsid w:val="0016005F"/>
    <w:rsid w:val="00161D5C"/>
    <w:rsid w:val="001625C8"/>
    <w:rsid w:val="001627B5"/>
    <w:rsid w:val="00162FED"/>
    <w:rsid w:val="0016353A"/>
    <w:rsid w:val="0016371D"/>
    <w:rsid w:val="00164C2B"/>
    <w:rsid w:val="00165301"/>
    <w:rsid w:val="00167E3D"/>
    <w:rsid w:val="00167F57"/>
    <w:rsid w:val="001707D1"/>
    <w:rsid w:val="001710B3"/>
    <w:rsid w:val="00171FC2"/>
    <w:rsid w:val="00172154"/>
    <w:rsid w:val="00173003"/>
    <w:rsid w:val="00173471"/>
    <w:rsid w:val="00173743"/>
    <w:rsid w:val="00175504"/>
    <w:rsid w:val="00175BE0"/>
    <w:rsid w:val="001778F6"/>
    <w:rsid w:val="00180690"/>
    <w:rsid w:val="001812FB"/>
    <w:rsid w:val="00181A70"/>
    <w:rsid w:val="00182282"/>
    <w:rsid w:val="0018245B"/>
    <w:rsid w:val="00182DBA"/>
    <w:rsid w:val="00183A44"/>
    <w:rsid w:val="00184C76"/>
    <w:rsid w:val="00185E5E"/>
    <w:rsid w:val="001867AA"/>
    <w:rsid w:val="00186AF8"/>
    <w:rsid w:val="00187172"/>
    <w:rsid w:val="001902C4"/>
    <w:rsid w:val="001906F4"/>
    <w:rsid w:val="00191BC9"/>
    <w:rsid w:val="00192074"/>
    <w:rsid w:val="0019277C"/>
    <w:rsid w:val="00192E16"/>
    <w:rsid w:val="00193432"/>
    <w:rsid w:val="00193792"/>
    <w:rsid w:val="00193BE1"/>
    <w:rsid w:val="001940E6"/>
    <w:rsid w:val="001944D6"/>
    <w:rsid w:val="001947CB"/>
    <w:rsid w:val="001950EB"/>
    <w:rsid w:val="00195554"/>
    <w:rsid w:val="00195AAA"/>
    <w:rsid w:val="00196754"/>
    <w:rsid w:val="00196BFA"/>
    <w:rsid w:val="00196C6F"/>
    <w:rsid w:val="001973E5"/>
    <w:rsid w:val="001A05D6"/>
    <w:rsid w:val="001A1473"/>
    <w:rsid w:val="001A1763"/>
    <w:rsid w:val="001A19ED"/>
    <w:rsid w:val="001A20DA"/>
    <w:rsid w:val="001A3AB4"/>
    <w:rsid w:val="001A3D9B"/>
    <w:rsid w:val="001A4583"/>
    <w:rsid w:val="001A557A"/>
    <w:rsid w:val="001A62B5"/>
    <w:rsid w:val="001A6846"/>
    <w:rsid w:val="001A71F7"/>
    <w:rsid w:val="001A7431"/>
    <w:rsid w:val="001B092A"/>
    <w:rsid w:val="001B120E"/>
    <w:rsid w:val="001B2824"/>
    <w:rsid w:val="001B2E3F"/>
    <w:rsid w:val="001B3649"/>
    <w:rsid w:val="001B3D6C"/>
    <w:rsid w:val="001B4913"/>
    <w:rsid w:val="001B52C7"/>
    <w:rsid w:val="001B56B5"/>
    <w:rsid w:val="001B59ED"/>
    <w:rsid w:val="001B5E47"/>
    <w:rsid w:val="001B6023"/>
    <w:rsid w:val="001B72CD"/>
    <w:rsid w:val="001B743E"/>
    <w:rsid w:val="001B77CC"/>
    <w:rsid w:val="001C0881"/>
    <w:rsid w:val="001C0C8D"/>
    <w:rsid w:val="001C0F86"/>
    <w:rsid w:val="001C3F7B"/>
    <w:rsid w:val="001C4187"/>
    <w:rsid w:val="001C6188"/>
    <w:rsid w:val="001C6CF6"/>
    <w:rsid w:val="001C7A1F"/>
    <w:rsid w:val="001D20FA"/>
    <w:rsid w:val="001D28B1"/>
    <w:rsid w:val="001D2C3C"/>
    <w:rsid w:val="001D2CA3"/>
    <w:rsid w:val="001D2CAF"/>
    <w:rsid w:val="001D372C"/>
    <w:rsid w:val="001D3DE8"/>
    <w:rsid w:val="001D3EFE"/>
    <w:rsid w:val="001D4CED"/>
    <w:rsid w:val="001D4ED7"/>
    <w:rsid w:val="001D6185"/>
    <w:rsid w:val="001D7904"/>
    <w:rsid w:val="001D7B50"/>
    <w:rsid w:val="001E13CE"/>
    <w:rsid w:val="001E1B07"/>
    <w:rsid w:val="001E1E40"/>
    <w:rsid w:val="001E367E"/>
    <w:rsid w:val="001E46BE"/>
    <w:rsid w:val="001E49E5"/>
    <w:rsid w:val="001E4BE5"/>
    <w:rsid w:val="001E537C"/>
    <w:rsid w:val="001E574C"/>
    <w:rsid w:val="001E63CA"/>
    <w:rsid w:val="001E6627"/>
    <w:rsid w:val="001E7B88"/>
    <w:rsid w:val="001F122A"/>
    <w:rsid w:val="001F1FE9"/>
    <w:rsid w:val="001F37D8"/>
    <w:rsid w:val="001F38EE"/>
    <w:rsid w:val="001F3C41"/>
    <w:rsid w:val="001F45F0"/>
    <w:rsid w:val="001F47FE"/>
    <w:rsid w:val="001F53DD"/>
    <w:rsid w:val="001F5BFF"/>
    <w:rsid w:val="001F6440"/>
    <w:rsid w:val="001F659B"/>
    <w:rsid w:val="001F6D30"/>
    <w:rsid w:val="001F7551"/>
    <w:rsid w:val="001F7800"/>
    <w:rsid w:val="002000F8"/>
    <w:rsid w:val="0020297B"/>
    <w:rsid w:val="002030C1"/>
    <w:rsid w:val="0020412D"/>
    <w:rsid w:val="002057F1"/>
    <w:rsid w:val="00205952"/>
    <w:rsid w:val="00205A7B"/>
    <w:rsid w:val="00206060"/>
    <w:rsid w:val="00207334"/>
    <w:rsid w:val="00207934"/>
    <w:rsid w:val="00207F4A"/>
    <w:rsid w:val="0021199C"/>
    <w:rsid w:val="00211CE7"/>
    <w:rsid w:val="00212D1B"/>
    <w:rsid w:val="00213A67"/>
    <w:rsid w:val="00214C66"/>
    <w:rsid w:val="00214F8E"/>
    <w:rsid w:val="0021559C"/>
    <w:rsid w:val="002159F2"/>
    <w:rsid w:val="00215D8D"/>
    <w:rsid w:val="00215E9B"/>
    <w:rsid w:val="00215EC0"/>
    <w:rsid w:val="00217DCC"/>
    <w:rsid w:val="00217E6F"/>
    <w:rsid w:val="00220171"/>
    <w:rsid w:val="002202E5"/>
    <w:rsid w:val="0022171D"/>
    <w:rsid w:val="0022175A"/>
    <w:rsid w:val="00222544"/>
    <w:rsid w:val="00223109"/>
    <w:rsid w:val="002241CF"/>
    <w:rsid w:val="00224BCF"/>
    <w:rsid w:val="00225528"/>
    <w:rsid w:val="002257A7"/>
    <w:rsid w:val="00226380"/>
    <w:rsid w:val="0022667B"/>
    <w:rsid w:val="00230105"/>
    <w:rsid w:val="00230349"/>
    <w:rsid w:val="0023038D"/>
    <w:rsid w:val="002306B3"/>
    <w:rsid w:val="0023097B"/>
    <w:rsid w:val="002309A0"/>
    <w:rsid w:val="0023163B"/>
    <w:rsid w:val="002333FB"/>
    <w:rsid w:val="00233522"/>
    <w:rsid w:val="0023432D"/>
    <w:rsid w:val="0023531C"/>
    <w:rsid w:val="002357A0"/>
    <w:rsid w:val="00235A74"/>
    <w:rsid w:val="00237B64"/>
    <w:rsid w:val="00237E32"/>
    <w:rsid w:val="00240496"/>
    <w:rsid w:val="002406F6"/>
    <w:rsid w:val="0024190A"/>
    <w:rsid w:val="00241D0B"/>
    <w:rsid w:val="0024240E"/>
    <w:rsid w:val="00244845"/>
    <w:rsid w:val="00244ADF"/>
    <w:rsid w:val="00245089"/>
    <w:rsid w:val="002452F2"/>
    <w:rsid w:val="00246163"/>
    <w:rsid w:val="0024671B"/>
    <w:rsid w:val="002470E7"/>
    <w:rsid w:val="00247D9F"/>
    <w:rsid w:val="00250D5E"/>
    <w:rsid w:val="002528B1"/>
    <w:rsid w:val="00252A04"/>
    <w:rsid w:val="00252BCF"/>
    <w:rsid w:val="00255895"/>
    <w:rsid w:val="00256353"/>
    <w:rsid w:val="002601C7"/>
    <w:rsid w:val="00260822"/>
    <w:rsid w:val="0026095C"/>
    <w:rsid w:val="00260A01"/>
    <w:rsid w:val="0026230E"/>
    <w:rsid w:val="00262C49"/>
    <w:rsid w:val="00262E4F"/>
    <w:rsid w:val="00263F71"/>
    <w:rsid w:val="00263F9C"/>
    <w:rsid w:val="0026479B"/>
    <w:rsid w:val="00264DE2"/>
    <w:rsid w:val="00264F49"/>
    <w:rsid w:val="002652B6"/>
    <w:rsid w:val="0026549E"/>
    <w:rsid w:val="00270C04"/>
    <w:rsid w:val="0027109B"/>
    <w:rsid w:val="002714BB"/>
    <w:rsid w:val="00272126"/>
    <w:rsid w:val="00272177"/>
    <w:rsid w:val="0027218D"/>
    <w:rsid w:val="00272D90"/>
    <w:rsid w:val="00273277"/>
    <w:rsid w:val="0027386B"/>
    <w:rsid w:val="0027428C"/>
    <w:rsid w:val="002743C7"/>
    <w:rsid w:val="00275403"/>
    <w:rsid w:val="00275F72"/>
    <w:rsid w:val="0027655E"/>
    <w:rsid w:val="00276974"/>
    <w:rsid w:val="002770E5"/>
    <w:rsid w:val="002774EE"/>
    <w:rsid w:val="0028059A"/>
    <w:rsid w:val="00280DCC"/>
    <w:rsid w:val="002816F4"/>
    <w:rsid w:val="002837A4"/>
    <w:rsid w:val="00283DF0"/>
    <w:rsid w:val="00285144"/>
    <w:rsid w:val="002852D0"/>
    <w:rsid w:val="00285866"/>
    <w:rsid w:val="00286856"/>
    <w:rsid w:val="00286C27"/>
    <w:rsid w:val="00287241"/>
    <w:rsid w:val="002878B3"/>
    <w:rsid w:val="00290608"/>
    <w:rsid w:val="00291423"/>
    <w:rsid w:val="00291AF3"/>
    <w:rsid w:val="00292F39"/>
    <w:rsid w:val="00293150"/>
    <w:rsid w:val="002949C4"/>
    <w:rsid w:val="00294E90"/>
    <w:rsid w:val="00294ED9"/>
    <w:rsid w:val="0029537F"/>
    <w:rsid w:val="00295651"/>
    <w:rsid w:val="002956B0"/>
    <w:rsid w:val="0029574A"/>
    <w:rsid w:val="00296205"/>
    <w:rsid w:val="002964B7"/>
    <w:rsid w:val="002968D5"/>
    <w:rsid w:val="002969F0"/>
    <w:rsid w:val="00297296"/>
    <w:rsid w:val="00297FBA"/>
    <w:rsid w:val="002A02CF"/>
    <w:rsid w:val="002A0807"/>
    <w:rsid w:val="002A0BFA"/>
    <w:rsid w:val="002A0F40"/>
    <w:rsid w:val="002A12F0"/>
    <w:rsid w:val="002A173A"/>
    <w:rsid w:val="002A23C0"/>
    <w:rsid w:val="002A27DA"/>
    <w:rsid w:val="002A3289"/>
    <w:rsid w:val="002A331B"/>
    <w:rsid w:val="002A3B3A"/>
    <w:rsid w:val="002A5091"/>
    <w:rsid w:val="002A57FB"/>
    <w:rsid w:val="002A5882"/>
    <w:rsid w:val="002A6438"/>
    <w:rsid w:val="002A672F"/>
    <w:rsid w:val="002A72FC"/>
    <w:rsid w:val="002A73A1"/>
    <w:rsid w:val="002B15D3"/>
    <w:rsid w:val="002B318D"/>
    <w:rsid w:val="002B3644"/>
    <w:rsid w:val="002B3DDC"/>
    <w:rsid w:val="002B41B3"/>
    <w:rsid w:val="002B4CA2"/>
    <w:rsid w:val="002B53C3"/>
    <w:rsid w:val="002B5955"/>
    <w:rsid w:val="002B6706"/>
    <w:rsid w:val="002B6815"/>
    <w:rsid w:val="002B7819"/>
    <w:rsid w:val="002B7FF5"/>
    <w:rsid w:val="002C0A3B"/>
    <w:rsid w:val="002C24B1"/>
    <w:rsid w:val="002C34F4"/>
    <w:rsid w:val="002C59AC"/>
    <w:rsid w:val="002C59D1"/>
    <w:rsid w:val="002C5F71"/>
    <w:rsid w:val="002C6A2F"/>
    <w:rsid w:val="002C6DDD"/>
    <w:rsid w:val="002C76FD"/>
    <w:rsid w:val="002D1F75"/>
    <w:rsid w:val="002D2251"/>
    <w:rsid w:val="002D2C91"/>
    <w:rsid w:val="002D2CE7"/>
    <w:rsid w:val="002D36EC"/>
    <w:rsid w:val="002D3D22"/>
    <w:rsid w:val="002D3D31"/>
    <w:rsid w:val="002D6369"/>
    <w:rsid w:val="002D65E1"/>
    <w:rsid w:val="002D6B58"/>
    <w:rsid w:val="002D6E65"/>
    <w:rsid w:val="002D7969"/>
    <w:rsid w:val="002D7A3D"/>
    <w:rsid w:val="002E080D"/>
    <w:rsid w:val="002E0999"/>
    <w:rsid w:val="002E0F8B"/>
    <w:rsid w:val="002E0F94"/>
    <w:rsid w:val="002E22F0"/>
    <w:rsid w:val="002E2AAB"/>
    <w:rsid w:val="002E3773"/>
    <w:rsid w:val="002E42FB"/>
    <w:rsid w:val="002E54DD"/>
    <w:rsid w:val="002E5D48"/>
    <w:rsid w:val="002E5F2A"/>
    <w:rsid w:val="002E5F31"/>
    <w:rsid w:val="002E6C2E"/>
    <w:rsid w:val="002E7755"/>
    <w:rsid w:val="002F0BF9"/>
    <w:rsid w:val="002F114A"/>
    <w:rsid w:val="002F2700"/>
    <w:rsid w:val="002F419C"/>
    <w:rsid w:val="002F4F2D"/>
    <w:rsid w:val="002F745C"/>
    <w:rsid w:val="002F7739"/>
    <w:rsid w:val="00300BCE"/>
    <w:rsid w:val="003016BA"/>
    <w:rsid w:val="0030207E"/>
    <w:rsid w:val="00302388"/>
    <w:rsid w:val="0030251B"/>
    <w:rsid w:val="00302F77"/>
    <w:rsid w:val="00303A0C"/>
    <w:rsid w:val="003060D7"/>
    <w:rsid w:val="00306A69"/>
    <w:rsid w:val="00306DE7"/>
    <w:rsid w:val="00307701"/>
    <w:rsid w:val="003112F4"/>
    <w:rsid w:val="00311C19"/>
    <w:rsid w:val="0031234E"/>
    <w:rsid w:val="003123D1"/>
    <w:rsid w:val="00313315"/>
    <w:rsid w:val="00313C3F"/>
    <w:rsid w:val="00314E6D"/>
    <w:rsid w:val="003174EE"/>
    <w:rsid w:val="0031789A"/>
    <w:rsid w:val="00317F7B"/>
    <w:rsid w:val="00320397"/>
    <w:rsid w:val="003205FF"/>
    <w:rsid w:val="00321898"/>
    <w:rsid w:val="0032227C"/>
    <w:rsid w:val="00322AB8"/>
    <w:rsid w:val="00323161"/>
    <w:rsid w:val="00323F55"/>
    <w:rsid w:val="00324831"/>
    <w:rsid w:val="0032487D"/>
    <w:rsid w:val="0032555A"/>
    <w:rsid w:val="0032569D"/>
    <w:rsid w:val="003277F2"/>
    <w:rsid w:val="00327B22"/>
    <w:rsid w:val="00330F3E"/>
    <w:rsid w:val="003314B4"/>
    <w:rsid w:val="00335452"/>
    <w:rsid w:val="00335C71"/>
    <w:rsid w:val="0033677C"/>
    <w:rsid w:val="0033714E"/>
    <w:rsid w:val="0033722B"/>
    <w:rsid w:val="00340A56"/>
    <w:rsid w:val="00341D00"/>
    <w:rsid w:val="00344D9B"/>
    <w:rsid w:val="003453F4"/>
    <w:rsid w:val="00346B7C"/>
    <w:rsid w:val="00347720"/>
    <w:rsid w:val="00350069"/>
    <w:rsid w:val="0035173C"/>
    <w:rsid w:val="003519C7"/>
    <w:rsid w:val="00351F17"/>
    <w:rsid w:val="00352798"/>
    <w:rsid w:val="003528D7"/>
    <w:rsid w:val="00352A11"/>
    <w:rsid w:val="0035371C"/>
    <w:rsid w:val="00354006"/>
    <w:rsid w:val="00354D7C"/>
    <w:rsid w:val="00355023"/>
    <w:rsid w:val="003550F5"/>
    <w:rsid w:val="00355E3C"/>
    <w:rsid w:val="003563EA"/>
    <w:rsid w:val="00357305"/>
    <w:rsid w:val="00360541"/>
    <w:rsid w:val="00360609"/>
    <w:rsid w:val="00361A05"/>
    <w:rsid w:val="00361E5D"/>
    <w:rsid w:val="00362706"/>
    <w:rsid w:val="00362AB6"/>
    <w:rsid w:val="00362BE1"/>
    <w:rsid w:val="00362EB3"/>
    <w:rsid w:val="0036306B"/>
    <w:rsid w:val="003630DF"/>
    <w:rsid w:val="00363173"/>
    <w:rsid w:val="003635B2"/>
    <w:rsid w:val="0036409C"/>
    <w:rsid w:val="003652C2"/>
    <w:rsid w:val="003653C8"/>
    <w:rsid w:val="0036643F"/>
    <w:rsid w:val="00370B63"/>
    <w:rsid w:val="00370C33"/>
    <w:rsid w:val="00372CC9"/>
    <w:rsid w:val="00373054"/>
    <w:rsid w:val="00373909"/>
    <w:rsid w:val="00374E6D"/>
    <w:rsid w:val="00375B9C"/>
    <w:rsid w:val="00376678"/>
    <w:rsid w:val="00376C0D"/>
    <w:rsid w:val="003808E7"/>
    <w:rsid w:val="00380915"/>
    <w:rsid w:val="00380AC6"/>
    <w:rsid w:val="003825B5"/>
    <w:rsid w:val="00382973"/>
    <w:rsid w:val="003843DB"/>
    <w:rsid w:val="00384B20"/>
    <w:rsid w:val="003851EB"/>
    <w:rsid w:val="00385995"/>
    <w:rsid w:val="003861AE"/>
    <w:rsid w:val="00386355"/>
    <w:rsid w:val="00387787"/>
    <w:rsid w:val="00390662"/>
    <w:rsid w:val="00390DD9"/>
    <w:rsid w:val="00392645"/>
    <w:rsid w:val="00392941"/>
    <w:rsid w:val="00393E27"/>
    <w:rsid w:val="00394042"/>
    <w:rsid w:val="00395ABD"/>
    <w:rsid w:val="00395C14"/>
    <w:rsid w:val="00395D33"/>
    <w:rsid w:val="00396335"/>
    <w:rsid w:val="0039641C"/>
    <w:rsid w:val="003973EB"/>
    <w:rsid w:val="003A0EC8"/>
    <w:rsid w:val="003A192E"/>
    <w:rsid w:val="003A20D3"/>
    <w:rsid w:val="003A2E9E"/>
    <w:rsid w:val="003A2F64"/>
    <w:rsid w:val="003A36CA"/>
    <w:rsid w:val="003A4356"/>
    <w:rsid w:val="003A4A1D"/>
    <w:rsid w:val="003A5AF9"/>
    <w:rsid w:val="003A5CE8"/>
    <w:rsid w:val="003A5EDB"/>
    <w:rsid w:val="003A6A1E"/>
    <w:rsid w:val="003B0671"/>
    <w:rsid w:val="003B09DD"/>
    <w:rsid w:val="003B0F48"/>
    <w:rsid w:val="003B10FB"/>
    <w:rsid w:val="003B1D0D"/>
    <w:rsid w:val="003B2CC4"/>
    <w:rsid w:val="003B35BB"/>
    <w:rsid w:val="003B35D9"/>
    <w:rsid w:val="003B3830"/>
    <w:rsid w:val="003B3D2F"/>
    <w:rsid w:val="003B4467"/>
    <w:rsid w:val="003B4823"/>
    <w:rsid w:val="003B4927"/>
    <w:rsid w:val="003B5825"/>
    <w:rsid w:val="003B5FA7"/>
    <w:rsid w:val="003B6BB0"/>
    <w:rsid w:val="003B7D50"/>
    <w:rsid w:val="003C0DF2"/>
    <w:rsid w:val="003C1DDF"/>
    <w:rsid w:val="003C1E0B"/>
    <w:rsid w:val="003C20C7"/>
    <w:rsid w:val="003C2935"/>
    <w:rsid w:val="003C2947"/>
    <w:rsid w:val="003C3F10"/>
    <w:rsid w:val="003C4D44"/>
    <w:rsid w:val="003C5106"/>
    <w:rsid w:val="003C510A"/>
    <w:rsid w:val="003C58F3"/>
    <w:rsid w:val="003C7DE9"/>
    <w:rsid w:val="003D1588"/>
    <w:rsid w:val="003D1B85"/>
    <w:rsid w:val="003D24C2"/>
    <w:rsid w:val="003D2971"/>
    <w:rsid w:val="003D35B7"/>
    <w:rsid w:val="003D4555"/>
    <w:rsid w:val="003D45BB"/>
    <w:rsid w:val="003D6EC4"/>
    <w:rsid w:val="003E017E"/>
    <w:rsid w:val="003E04CE"/>
    <w:rsid w:val="003E0838"/>
    <w:rsid w:val="003E165C"/>
    <w:rsid w:val="003E174E"/>
    <w:rsid w:val="003E1951"/>
    <w:rsid w:val="003E2B76"/>
    <w:rsid w:val="003E2EDC"/>
    <w:rsid w:val="003E3C24"/>
    <w:rsid w:val="003E57DC"/>
    <w:rsid w:val="003E671A"/>
    <w:rsid w:val="003E7131"/>
    <w:rsid w:val="003E7504"/>
    <w:rsid w:val="003E7EE9"/>
    <w:rsid w:val="003F0BFA"/>
    <w:rsid w:val="003F268E"/>
    <w:rsid w:val="003F3A5E"/>
    <w:rsid w:val="003F3BF5"/>
    <w:rsid w:val="003F3F79"/>
    <w:rsid w:val="003F6DA8"/>
    <w:rsid w:val="003F7358"/>
    <w:rsid w:val="00400326"/>
    <w:rsid w:val="004004CE"/>
    <w:rsid w:val="00400A1C"/>
    <w:rsid w:val="004019E6"/>
    <w:rsid w:val="0040227E"/>
    <w:rsid w:val="00402F2D"/>
    <w:rsid w:val="00403139"/>
    <w:rsid w:val="0040391C"/>
    <w:rsid w:val="00403B8D"/>
    <w:rsid w:val="00405FF0"/>
    <w:rsid w:val="004060AF"/>
    <w:rsid w:val="0040745E"/>
    <w:rsid w:val="004076BD"/>
    <w:rsid w:val="004105D5"/>
    <w:rsid w:val="004110D9"/>
    <w:rsid w:val="00411261"/>
    <w:rsid w:val="00411D21"/>
    <w:rsid w:val="00411E14"/>
    <w:rsid w:val="00412401"/>
    <w:rsid w:val="0041252C"/>
    <w:rsid w:val="004127C4"/>
    <w:rsid w:val="00413D4E"/>
    <w:rsid w:val="0041447C"/>
    <w:rsid w:val="0041449C"/>
    <w:rsid w:val="00414799"/>
    <w:rsid w:val="00415DA5"/>
    <w:rsid w:val="00416890"/>
    <w:rsid w:val="0042057F"/>
    <w:rsid w:val="00420B50"/>
    <w:rsid w:val="0042180C"/>
    <w:rsid w:val="0042224D"/>
    <w:rsid w:val="00422366"/>
    <w:rsid w:val="004224FD"/>
    <w:rsid w:val="00422F61"/>
    <w:rsid w:val="0042443F"/>
    <w:rsid w:val="004248BF"/>
    <w:rsid w:val="00425723"/>
    <w:rsid w:val="00427887"/>
    <w:rsid w:val="00430136"/>
    <w:rsid w:val="0043018F"/>
    <w:rsid w:val="004302D8"/>
    <w:rsid w:val="00430326"/>
    <w:rsid w:val="00430332"/>
    <w:rsid w:val="00431AC8"/>
    <w:rsid w:val="00431C80"/>
    <w:rsid w:val="00432064"/>
    <w:rsid w:val="004322CB"/>
    <w:rsid w:val="00432751"/>
    <w:rsid w:val="00433200"/>
    <w:rsid w:val="004336DB"/>
    <w:rsid w:val="004340AF"/>
    <w:rsid w:val="004341A5"/>
    <w:rsid w:val="004349AB"/>
    <w:rsid w:val="00434A4A"/>
    <w:rsid w:val="00435052"/>
    <w:rsid w:val="004354C4"/>
    <w:rsid w:val="00435AF0"/>
    <w:rsid w:val="0043607C"/>
    <w:rsid w:val="004361D0"/>
    <w:rsid w:val="00436568"/>
    <w:rsid w:val="00437323"/>
    <w:rsid w:val="004377C4"/>
    <w:rsid w:val="004404FE"/>
    <w:rsid w:val="0044052E"/>
    <w:rsid w:val="0044145D"/>
    <w:rsid w:val="00441596"/>
    <w:rsid w:val="00441D99"/>
    <w:rsid w:val="00442FC9"/>
    <w:rsid w:val="00443330"/>
    <w:rsid w:val="004436A9"/>
    <w:rsid w:val="004443D6"/>
    <w:rsid w:val="00444E57"/>
    <w:rsid w:val="00445927"/>
    <w:rsid w:val="00445A8E"/>
    <w:rsid w:val="00445AC9"/>
    <w:rsid w:val="004467AA"/>
    <w:rsid w:val="00447D80"/>
    <w:rsid w:val="0045294E"/>
    <w:rsid w:val="00452EB9"/>
    <w:rsid w:val="00453354"/>
    <w:rsid w:val="004560A0"/>
    <w:rsid w:val="0045691D"/>
    <w:rsid w:val="00456CB0"/>
    <w:rsid w:val="00460153"/>
    <w:rsid w:val="00461F67"/>
    <w:rsid w:val="00462FAF"/>
    <w:rsid w:val="004631A4"/>
    <w:rsid w:val="00463A71"/>
    <w:rsid w:val="00463D6A"/>
    <w:rsid w:val="00464ED6"/>
    <w:rsid w:val="00465969"/>
    <w:rsid w:val="00465E04"/>
    <w:rsid w:val="004676EA"/>
    <w:rsid w:val="004706BC"/>
    <w:rsid w:val="004724CD"/>
    <w:rsid w:val="00472846"/>
    <w:rsid w:val="00472C7D"/>
    <w:rsid w:val="00474C7D"/>
    <w:rsid w:val="00476822"/>
    <w:rsid w:val="00477382"/>
    <w:rsid w:val="00477E14"/>
    <w:rsid w:val="00477E71"/>
    <w:rsid w:val="00477EC3"/>
    <w:rsid w:val="00480112"/>
    <w:rsid w:val="00480D63"/>
    <w:rsid w:val="00481176"/>
    <w:rsid w:val="00481243"/>
    <w:rsid w:val="004814B0"/>
    <w:rsid w:val="00481593"/>
    <w:rsid w:val="00482188"/>
    <w:rsid w:val="00484402"/>
    <w:rsid w:val="00484BD1"/>
    <w:rsid w:val="0048565E"/>
    <w:rsid w:val="00485B98"/>
    <w:rsid w:val="00486A4B"/>
    <w:rsid w:val="00490156"/>
    <w:rsid w:val="00490E5C"/>
    <w:rsid w:val="0049108B"/>
    <w:rsid w:val="00491EA0"/>
    <w:rsid w:val="00492140"/>
    <w:rsid w:val="00495F31"/>
    <w:rsid w:val="00496070"/>
    <w:rsid w:val="00497060"/>
    <w:rsid w:val="00497258"/>
    <w:rsid w:val="004A0864"/>
    <w:rsid w:val="004A0894"/>
    <w:rsid w:val="004A1149"/>
    <w:rsid w:val="004A1E11"/>
    <w:rsid w:val="004A2134"/>
    <w:rsid w:val="004A2409"/>
    <w:rsid w:val="004A28BF"/>
    <w:rsid w:val="004A2D34"/>
    <w:rsid w:val="004A2FBE"/>
    <w:rsid w:val="004A4898"/>
    <w:rsid w:val="004A4C95"/>
    <w:rsid w:val="004A4F13"/>
    <w:rsid w:val="004A531D"/>
    <w:rsid w:val="004A557E"/>
    <w:rsid w:val="004A6012"/>
    <w:rsid w:val="004A6351"/>
    <w:rsid w:val="004A78A0"/>
    <w:rsid w:val="004A7C2B"/>
    <w:rsid w:val="004B0DD7"/>
    <w:rsid w:val="004B107F"/>
    <w:rsid w:val="004B1345"/>
    <w:rsid w:val="004B3682"/>
    <w:rsid w:val="004B3BD3"/>
    <w:rsid w:val="004B4D33"/>
    <w:rsid w:val="004B4FA9"/>
    <w:rsid w:val="004B5227"/>
    <w:rsid w:val="004B5C96"/>
    <w:rsid w:val="004B6843"/>
    <w:rsid w:val="004B6EF1"/>
    <w:rsid w:val="004C0EB3"/>
    <w:rsid w:val="004C10DF"/>
    <w:rsid w:val="004C249A"/>
    <w:rsid w:val="004C2A40"/>
    <w:rsid w:val="004C3C27"/>
    <w:rsid w:val="004C43E1"/>
    <w:rsid w:val="004C4AD1"/>
    <w:rsid w:val="004C6848"/>
    <w:rsid w:val="004C6DBB"/>
    <w:rsid w:val="004C747C"/>
    <w:rsid w:val="004C7FE5"/>
    <w:rsid w:val="004D0372"/>
    <w:rsid w:val="004D0B21"/>
    <w:rsid w:val="004D1A80"/>
    <w:rsid w:val="004D2118"/>
    <w:rsid w:val="004D2E8A"/>
    <w:rsid w:val="004D3125"/>
    <w:rsid w:val="004D4939"/>
    <w:rsid w:val="004D5834"/>
    <w:rsid w:val="004D5A1D"/>
    <w:rsid w:val="004D5DA4"/>
    <w:rsid w:val="004D624C"/>
    <w:rsid w:val="004D6345"/>
    <w:rsid w:val="004D68E2"/>
    <w:rsid w:val="004D6A09"/>
    <w:rsid w:val="004D6C1C"/>
    <w:rsid w:val="004D6E86"/>
    <w:rsid w:val="004E2172"/>
    <w:rsid w:val="004E2D0D"/>
    <w:rsid w:val="004E35B7"/>
    <w:rsid w:val="004E3E50"/>
    <w:rsid w:val="004E5D19"/>
    <w:rsid w:val="004E603C"/>
    <w:rsid w:val="004E63D6"/>
    <w:rsid w:val="004E74EC"/>
    <w:rsid w:val="004E7A12"/>
    <w:rsid w:val="004E7C60"/>
    <w:rsid w:val="004F03CE"/>
    <w:rsid w:val="004F0558"/>
    <w:rsid w:val="004F09D8"/>
    <w:rsid w:val="004F1D02"/>
    <w:rsid w:val="004F26A6"/>
    <w:rsid w:val="004F2972"/>
    <w:rsid w:val="004F3443"/>
    <w:rsid w:val="004F3EE6"/>
    <w:rsid w:val="004F57DC"/>
    <w:rsid w:val="004F5C3E"/>
    <w:rsid w:val="004F612A"/>
    <w:rsid w:val="005028FE"/>
    <w:rsid w:val="0050395A"/>
    <w:rsid w:val="005052D2"/>
    <w:rsid w:val="00505B0D"/>
    <w:rsid w:val="0050656B"/>
    <w:rsid w:val="00513087"/>
    <w:rsid w:val="00514F60"/>
    <w:rsid w:val="0051596F"/>
    <w:rsid w:val="00515A47"/>
    <w:rsid w:val="00515E1C"/>
    <w:rsid w:val="00515EC2"/>
    <w:rsid w:val="00516069"/>
    <w:rsid w:val="0051625C"/>
    <w:rsid w:val="005165D6"/>
    <w:rsid w:val="00516B2E"/>
    <w:rsid w:val="0051762C"/>
    <w:rsid w:val="00517799"/>
    <w:rsid w:val="00517C01"/>
    <w:rsid w:val="00517CCF"/>
    <w:rsid w:val="005204E8"/>
    <w:rsid w:val="00521525"/>
    <w:rsid w:val="00521622"/>
    <w:rsid w:val="005218B9"/>
    <w:rsid w:val="005220F6"/>
    <w:rsid w:val="00522F62"/>
    <w:rsid w:val="005234D1"/>
    <w:rsid w:val="00523FE6"/>
    <w:rsid w:val="005243EA"/>
    <w:rsid w:val="005247F7"/>
    <w:rsid w:val="00524D39"/>
    <w:rsid w:val="0052516E"/>
    <w:rsid w:val="00525571"/>
    <w:rsid w:val="00525E9A"/>
    <w:rsid w:val="005305DB"/>
    <w:rsid w:val="0053067B"/>
    <w:rsid w:val="005308C9"/>
    <w:rsid w:val="00530D33"/>
    <w:rsid w:val="00531294"/>
    <w:rsid w:val="00532495"/>
    <w:rsid w:val="00533003"/>
    <w:rsid w:val="00533DCB"/>
    <w:rsid w:val="00534028"/>
    <w:rsid w:val="0053477C"/>
    <w:rsid w:val="00534B79"/>
    <w:rsid w:val="005357DE"/>
    <w:rsid w:val="005360E7"/>
    <w:rsid w:val="005365F5"/>
    <w:rsid w:val="00536F90"/>
    <w:rsid w:val="0054151E"/>
    <w:rsid w:val="00541997"/>
    <w:rsid w:val="00542792"/>
    <w:rsid w:val="00543205"/>
    <w:rsid w:val="005436B9"/>
    <w:rsid w:val="00544371"/>
    <w:rsid w:val="00544493"/>
    <w:rsid w:val="00544A44"/>
    <w:rsid w:val="00544D7F"/>
    <w:rsid w:val="0054524D"/>
    <w:rsid w:val="0054635A"/>
    <w:rsid w:val="0055098C"/>
    <w:rsid w:val="00551230"/>
    <w:rsid w:val="0055279C"/>
    <w:rsid w:val="005527F3"/>
    <w:rsid w:val="00552F84"/>
    <w:rsid w:val="0055327E"/>
    <w:rsid w:val="00555683"/>
    <w:rsid w:val="0055591F"/>
    <w:rsid w:val="00557047"/>
    <w:rsid w:val="00557D3B"/>
    <w:rsid w:val="00557FC0"/>
    <w:rsid w:val="00557FC1"/>
    <w:rsid w:val="00560456"/>
    <w:rsid w:val="005604DB"/>
    <w:rsid w:val="0056061C"/>
    <w:rsid w:val="00560905"/>
    <w:rsid w:val="005618A4"/>
    <w:rsid w:val="00563CF0"/>
    <w:rsid w:val="00565133"/>
    <w:rsid w:val="00565D69"/>
    <w:rsid w:val="00567A0F"/>
    <w:rsid w:val="00570664"/>
    <w:rsid w:val="00571548"/>
    <w:rsid w:val="005717D9"/>
    <w:rsid w:val="00571AEB"/>
    <w:rsid w:val="00571DCC"/>
    <w:rsid w:val="0057414E"/>
    <w:rsid w:val="00574E65"/>
    <w:rsid w:val="005750AC"/>
    <w:rsid w:val="00575102"/>
    <w:rsid w:val="00576490"/>
    <w:rsid w:val="00576957"/>
    <w:rsid w:val="00577980"/>
    <w:rsid w:val="00577E73"/>
    <w:rsid w:val="0058091F"/>
    <w:rsid w:val="005834BC"/>
    <w:rsid w:val="00584260"/>
    <w:rsid w:val="005844BC"/>
    <w:rsid w:val="0058459A"/>
    <w:rsid w:val="005850D0"/>
    <w:rsid w:val="00585194"/>
    <w:rsid w:val="0058597C"/>
    <w:rsid w:val="00585D1F"/>
    <w:rsid w:val="00585FA9"/>
    <w:rsid w:val="00586766"/>
    <w:rsid w:val="00586793"/>
    <w:rsid w:val="0058787A"/>
    <w:rsid w:val="00590C74"/>
    <w:rsid w:val="00592228"/>
    <w:rsid w:val="0059234B"/>
    <w:rsid w:val="005923B1"/>
    <w:rsid w:val="005937CC"/>
    <w:rsid w:val="0059462E"/>
    <w:rsid w:val="0059475F"/>
    <w:rsid w:val="00594CA6"/>
    <w:rsid w:val="00594ED5"/>
    <w:rsid w:val="005950FA"/>
    <w:rsid w:val="005963D8"/>
    <w:rsid w:val="005A01CF"/>
    <w:rsid w:val="005A0423"/>
    <w:rsid w:val="005A0AAD"/>
    <w:rsid w:val="005A1378"/>
    <w:rsid w:val="005A14A3"/>
    <w:rsid w:val="005A17C0"/>
    <w:rsid w:val="005A17DB"/>
    <w:rsid w:val="005A26AA"/>
    <w:rsid w:val="005A5BDA"/>
    <w:rsid w:val="005A70F6"/>
    <w:rsid w:val="005B023B"/>
    <w:rsid w:val="005B0241"/>
    <w:rsid w:val="005B1E0A"/>
    <w:rsid w:val="005B25AB"/>
    <w:rsid w:val="005B2E99"/>
    <w:rsid w:val="005B37FF"/>
    <w:rsid w:val="005B3EB1"/>
    <w:rsid w:val="005B448C"/>
    <w:rsid w:val="005B57B4"/>
    <w:rsid w:val="005B78AF"/>
    <w:rsid w:val="005B7906"/>
    <w:rsid w:val="005B7A73"/>
    <w:rsid w:val="005B7EA4"/>
    <w:rsid w:val="005C1A90"/>
    <w:rsid w:val="005C2C33"/>
    <w:rsid w:val="005C31C8"/>
    <w:rsid w:val="005C3412"/>
    <w:rsid w:val="005C4150"/>
    <w:rsid w:val="005C4E4A"/>
    <w:rsid w:val="005C4EB6"/>
    <w:rsid w:val="005C53C1"/>
    <w:rsid w:val="005C5530"/>
    <w:rsid w:val="005C5D34"/>
    <w:rsid w:val="005C687F"/>
    <w:rsid w:val="005C7F25"/>
    <w:rsid w:val="005C7FAE"/>
    <w:rsid w:val="005D0FDB"/>
    <w:rsid w:val="005D10DD"/>
    <w:rsid w:val="005D21B3"/>
    <w:rsid w:val="005D273E"/>
    <w:rsid w:val="005D288D"/>
    <w:rsid w:val="005D342F"/>
    <w:rsid w:val="005D3E6F"/>
    <w:rsid w:val="005D45E2"/>
    <w:rsid w:val="005D462B"/>
    <w:rsid w:val="005D4F86"/>
    <w:rsid w:val="005D53A1"/>
    <w:rsid w:val="005D5977"/>
    <w:rsid w:val="005D5C44"/>
    <w:rsid w:val="005D5C60"/>
    <w:rsid w:val="005D60F2"/>
    <w:rsid w:val="005D6A9E"/>
    <w:rsid w:val="005D6C9A"/>
    <w:rsid w:val="005D6E84"/>
    <w:rsid w:val="005E0805"/>
    <w:rsid w:val="005E1309"/>
    <w:rsid w:val="005E169F"/>
    <w:rsid w:val="005E4758"/>
    <w:rsid w:val="005E4856"/>
    <w:rsid w:val="005E55A0"/>
    <w:rsid w:val="005E63D1"/>
    <w:rsid w:val="005E6CA1"/>
    <w:rsid w:val="005E77C1"/>
    <w:rsid w:val="005E7DBC"/>
    <w:rsid w:val="005F02E2"/>
    <w:rsid w:val="005F0611"/>
    <w:rsid w:val="005F2925"/>
    <w:rsid w:val="005F3403"/>
    <w:rsid w:val="005F39C1"/>
    <w:rsid w:val="005F3BC8"/>
    <w:rsid w:val="005F4163"/>
    <w:rsid w:val="005F42BF"/>
    <w:rsid w:val="005F4A3C"/>
    <w:rsid w:val="005F5AAB"/>
    <w:rsid w:val="005F5B08"/>
    <w:rsid w:val="005F5BCA"/>
    <w:rsid w:val="005F71E2"/>
    <w:rsid w:val="00600632"/>
    <w:rsid w:val="00603432"/>
    <w:rsid w:val="006074CA"/>
    <w:rsid w:val="00610349"/>
    <w:rsid w:val="00610783"/>
    <w:rsid w:val="006111C9"/>
    <w:rsid w:val="006113C0"/>
    <w:rsid w:val="00613F35"/>
    <w:rsid w:val="00614411"/>
    <w:rsid w:val="00616A18"/>
    <w:rsid w:val="006172E5"/>
    <w:rsid w:val="00617347"/>
    <w:rsid w:val="00620239"/>
    <w:rsid w:val="00620F03"/>
    <w:rsid w:val="0062166F"/>
    <w:rsid w:val="00623666"/>
    <w:rsid w:val="00625C3C"/>
    <w:rsid w:val="00625D2E"/>
    <w:rsid w:val="00626C36"/>
    <w:rsid w:val="00627E18"/>
    <w:rsid w:val="00632607"/>
    <w:rsid w:val="0063488F"/>
    <w:rsid w:val="00634D70"/>
    <w:rsid w:val="006350FB"/>
    <w:rsid w:val="00635467"/>
    <w:rsid w:val="00635597"/>
    <w:rsid w:val="0063563C"/>
    <w:rsid w:val="00635BF2"/>
    <w:rsid w:val="00636A28"/>
    <w:rsid w:val="00636B70"/>
    <w:rsid w:val="00637843"/>
    <w:rsid w:val="006379B5"/>
    <w:rsid w:val="00640695"/>
    <w:rsid w:val="0064179E"/>
    <w:rsid w:val="006418B9"/>
    <w:rsid w:val="00641BCC"/>
    <w:rsid w:val="00641C34"/>
    <w:rsid w:val="00641DF5"/>
    <w:rsid w:val="006421D4"/>
    <w:rsid w:val="0064294B"/>
    <w:rsid w:val="006429AF"/>
    <w:rsid w:val="00642E0E"/>
    <w:rsid w:val="00642FC6"/>
    <w:rsid w:val="00643AD3"/>
    <w:rsid w:val="00643E93"/>
    <w:rsid w:val="0064457E"/>
    <w:rsid w:val="00644851"/>
    <w:rsid w:val="00645235"/>
    <w:rsid w:val="006474AD"/>
    <w:rsid w:val="00647CA7"/>
    <w:rsid w:val="00650DFC"/>
    <w:rsid w:val="0065132D"/>
    <w:rsid w:val="00653983"/>
    <w:rsid w:val="00653D07"/>
    <w:rsid w:val="00653FF8"/>
    <w:rsid w:val="006546E3"/>
    <w:rsid w:val="006547D3"/>
    <w:rsid w:val="006549A2"/>
    <w:rsid w:val="00655C1C"/>
    <w:rsid w:val="00660AEE"/>
    <w:rsid w:val="006618DE"/>
    <w:rsid w:val="00661C57"/>
    <w:rsid w:val="0066243F"/>
    <w:rsid w:val="00662A70"/>
    <w:rsid w:val="00663509"/>
    <w:rsid w:val="00663B25"/>
    <w:rsid w:val="006643A4"/>
    <w:rsid w:val="00664406"/>
    <w:rsid w:val="006652CA"/>
    <w:rsid w:val="006654B1"/>
    <w:rsid w:val="0066640A"/>
    <w:rsid w:val="0066663F"/>
    <w:rsid w:val="0066758B"/>
    <w:rsid w:val="00667978"/>
    <w:rsid w:val="00670310"/>
    <w:rsid w:val="0067083A"/>
    <w:rsid w:val="00670D3F"/>
    <w:rsid w:val="00675106"/>
    <w:rsid w:val="0067525C"/>
    <w:rsid w:val="00675263"/>
    <w:rsid w:val="00677156"/>
    <w:rsid w:val="00677DC6"/>
    <w:rsid w:val="00677E29"/>
    <w:rsid w:val="006805D7"/>
    <w:rsid w:val="00682004"/>
    <w:rsid w:val="00682888"/>
    <w:rsid w:val="0068418C"/>
    <w:rsid w:val="006847F4"/>
    <w:rsid w:val="0068503A"/>
    <w:rsid w:val="006852FA"/>
    <w:rsid w:val="00687A2E"/>
    <w:rsid w:val="006902F7"/>
    <w:rsid w:val="00691309"/>
    <w:rsid w:val="00691FB9"/>
    <w:rsid w:val="006928BF"/>
    <w:rsid w:val="00693AA2"/>
    <w:rsid w:val="00693DE6"/>
    <w:rsid w:val="00694441"/>
    <w:rsid w:val="00696634"/>
    <w:rsid w:val="0069673D"/>
    <w:rsid w:val="006968EC"/>
    <w:rsid w:val="00696FDD"/>
    <w:rsid w:val="006979AB"/>
    <w:rsid w:val="006A0602"/>
    <w:rsid w:val="006A2537"/>
    <w:rsid w:val="006A27C2"/>
    <w:rsid w:val="006A2BE6"/>
    <w:rsid w:val="006A3B9A"/>
    <w:rsid w:val="006A400D"/>
    <w:rsid w:val="006A42C2"/>
    <w:rsid w:val="006A457F"/>
    <w:rsid w:val="006A480A"/>
    <w:rsid w:val="006A4A44"/>
    <w:rsid w:val="006A5024"/>
    <w:rsid w:val="006A506B"/>
    <w:rsid w:val="006A6330"/>
    <w:rsid w:val="006A6599"/>
    <w:rsid w:val="006A67ED"/>
    <w:rsid w:val="006A6C29"/>
    <w:rsid w:val="006A6C92"/>
    <w:rsid w:val="006B050C"/>
    <w:rsid w:val="006B0896"/>
    <w:rsid w:val="006B0B85"/>
    <w:rsid w:val="006B1212"/>
    <w:rsid w:val="006B126F"/>
    <w:rsid w:val="006B205D"/>
    <w:rsid w:val="006B2AEC"/>
    <w:rsid w:val="006B30E7"/>
    <w:rsid w:val="006B36A9"/>
    <w:rsid w:val="006B4602"/>
    <w:rsid w:val="006B5A7D"/>
    <w:rsid w:val="006B5F2E"/>
    <w:rsid w:val="006B61EE"/>
    <w:rsid w:val="006B660A"/>
    <w:rsid w:val="006B6DE2"/>
    <w:rsid w:val="006B7599"/>
    <w:rsid w:val="006C0706"/>
    <w:rsid w:val="006C18DD"/>
    <w:rsid w:val="006C1D92"/>
    <w:rsid w:val="006C247B"/>
    <w:rsid w:val="006C298F"/>
    <w:rsid w:val="006C3F4E"/>
    <w:rsid w:val="006C51B6"/>
    <w:rsid w:val="006C51D9"/>
    <w:rsid w:val="006C6647"/>
    <w:rsid w:val="006C6770"/>
    <w:rsid w:val="006C6C06"/>
    <w:rsid w:val="006C7067"/>
    <w:rsid w:val="006C7ADD"/>
    <w:rsid w:val="006C7EE5"/>
    <w:rsid w:val="006D03DA"/>
    <w:rsid w:val="006D0427"/>
    <w:rsid w:val="006D0637"/>
    <w:rsid w:val="006D0CC8"/>
    <w:rsid w:val="006D157B"/>
    <w:rsid w:val="006D1631"/>
    <w:rsid w:val="006D219C"/>
    <w:rsid w:val="006D2324"/>
    <w:rsid w:val="006D285A"/>
    <w:rsid w:val="006D29DA"/>
    <w:rsid w:val="006D2DED"/>
    <w:rsid w:val="006D2FD8"/>
    <w:rsid w:val="006D3186"/>
    <w:rsid w:val="006D3EBE"/>
    <w:rsid w:val="006D4557"/>
    <w:rsid w:val="006D4E77"/>
    <w:rsid w:val="006D4FBA"/>
    <w:rsid w:val="006D58A8"/>
    <w:rsid w:val="006D5C9B"/>
    <w:rsid w:val="006E05B4"/>
    <w:rsid w:val="006E0C12"/>
    <w:rsid w:val="006E117A"/>
    <w:rsid w:val="006E1530"/>
    <w:rsid w:val="006E180E"/>
    <w:rsid w:val="006E2560"/>
    <w:rsid w:val="006E3E86"/>
    <w:rsid w:val="006E5FD8"/>
    <w:rsid w:val="006E646F"/>
    <w:rsid w:val="006E6E30"/>
    <w:rsid w:val="006F02EB"/>
    <w:rsid w:val="006F036F"/>
    <w:rsid w:val="006F05A7"/>
    <w:rsid w:val="006F0859"/>
    <w:rsid w:val="006F103D"/>
    <w:rsid w:val="006F2A93"/>
    <w:rsid w:val="006F31B5"/>
    <w:rsid w:val="006F350C"/>
    <w:rsid w:val="006F410D"/>
    <w:rsid w:val="006F5064"/>
    <w:rsid w:val="006F6DF7"/>
    <w:rsid w:val="006F700F"/>
    <w:rsid w:val="0070057D"/>
    <w:rsid w:val="00701D09"/>
    <w:rsid w:val="007048F1"/>
    <w:rsid w:val="007051FF"/>
    <w:rsid w:val="00710377"/>
    <w:rsid w:val="00710AA8"/>
    <w:rsid w:val="0071113B"/>
    <w:rsid w:val="007112BB"/>
    <w:rsid w:val="00711BFF"/>
    <w:rsid w:val="007121A4"/>
    <w:rsid w:val="00712671"/>
    <w:rsid w:val="0071269C"/>
    <w:rsid w:val="00713A62"/>
    <w:rsid w:val="00713D04"/>
    <w:rsid w:val="007148C7"/>
    <w:rsid w:val="00715988"/>
    <w:rsid w:val="007164C3"/>
    <w:rsid w:val="007169EE"/>
    <w:rsid w:val="00720909"/>
    <w:rsid w:val="0072173E"/>
    <w:rsid w:val="00722162"/>
    <w:rsid w:val="007224C6"/>
    <w:rsid w:val="0072436A"/>
    <w:rsid w:val="00726FD7"/>
    <w:rsid w:val="00727166"/>
    <w:rsid w:val="00727240"/>
    <w:rsid w:val="0072770E"/>
    <w:rsid w:val="0073045C"/>
    <w:rsid w:val="00730538"/>
    <w:rsid w:val="007321C3"/>
    <w:rsid w:val="00732B3C"/>
    <w:rsid w:val="00733890"/>
    <w:rsid w:val="00735B8E"/>
    <w:rsid w:val="00737166"/>
    <w:rsid w:val="007373DD"/>
    <w:rsid w:val="00737C53"/>
    <w:rsid w:val="007404C1"/>
    <w:rsid w:val="00742353"/>
    <w:rsid w:val="00742A50"/>
    <w:rsid w:val="00743480"/>
    <w:rsid w:val="00744464"/>
    <w:rsid w:val="007444AC"/>
    <w:rsid w:val="00744B56"/>
    <w:rsid w:val="00746FFB"/>
    <w:rsid w:val="0074779A"/>
    <w:rsid w:val="0075060C"/>
    <w:rsid w:val="00751EB4"/>
    <w:rsid w:val="00751F9D"/>
    <w:rsid w:val="00752633"/>
    <w:rsid w:val="007531E9"/>
    <w:rsid w:val="00755E63"/>
    <w:rsid w:val="00755EB8"/>
    <w:rsid w:val="00757D84"/>
    <w:rsid w:val="00760E6F"/>
    <w:rsid w:val="00761A05"/>
    <w:rsid w:val="00761C67"/>
    <w:rsid w:val="007626C0"/>
    <w:rsid w:val="00762E4D"/>
    <w:rsid w:val="00762F16"/>
    <w:rsid w:val="00763DC5"/>
    <w:rsid w:val="00764656"/>
    <w:rsid w:val="0076487D"/>
    <w:rsid w:val="0076492B"/>
    <w:rsid w:val="00765829"/>
    <w:rsid w:val="0076741B"/>
    <w:rsid w:val="00767A40"/>
    <w:rsid w:val="00767AF1"/>
    <w:rsid w:val="00767CF2"/>
    <w:rsid w:val="007703CC"/>
    <w:rsid w:val="007724FB"/>
    <w:rsid w:val="00772D25"/>
    <w:rsid w:val="00773309"/>
    <w:rsid w:val="00773F12"/>
    <w:rsid w:val="0077460C"/>
    <w:rsid w:val="00774D5B"/>
    <w:rsid w:val="007750A3"/>
    <w:rsid w:val="0077609D"/>
    <w:rsid w:val="0077675C"/>
    <w:rsid w:val="00776D72"/>
    <w:rsid w:val="00776D98"/>
    <w:rsid w:val="00776E22"/>
    <w:rsid w:val="00777AB1"/>
    <w:rsid w:val="007811F2"/>
    <w:rsid w:val="007820E7"/>
    <w:rsid w:val="00782940"/>
    <w:rsid w:val="00782AAE"/>
    <w:rsid w:val="00783F3E"/>
    <w:rsid w:val="0078441E"/>
    <w:rsid w:val="00784DA0"/>
    <w:rsid w:val="00784F8D"/>
    <w:rsid w:val="0078736B"/>
    <w:rsid w:val="00787881"/>
    <w:rsid w:val="00791435"/>
    <w:rsid w:val="00792A64"/>
    <w:rsid w:val="007936E0"/>
    <w:rsid w:val="007944BD"/>
    <w:rsid w:val="0079486F"/>
    <w:rsid w:val="00794FB9"/>
    <w:rsid w:val="007950FC"/>
    <w:rsid w:val="00797243"/>
    <w:rsid w:val="007976B2"/>
    <w:rsid w:val="00797885"/>
    <w:rsid w:val="007A020C"/>
    <w:rsid w:val="007A04D8"/>
    <w:rsid w:val="007A087A"/>
    <w:rsid w:val="007A169A"/>
    <w:rsid w:val="007A278A"/>
    <w:rsid w:val="007A4EF4"/>
    <w:rsid w:val="007B016E"/>
    <w:rsid w:val="007B0C84"/>
    <w:rsid w:val="007B0C98"/>
    <w:rsid w:val="007B1289"/>
    <w:rsid w:val="007B1B8E"/>
    <w:rsid w:val="007B2443"/>
    <w:rsid w:val="007B3042"/>
    <w:rsid w:val="007B4526"/>
    <w:rsid w:val="007B4661"/>
    <w:rsid w:val="007B47B3"/>
    <w:rsid w:val="007B5935"/>
    <w:rsid w:val="007B6912"/>
    <w:rsid w:val="007B7C83"/>
    <w:rsid w:val="007C00D7"/>
    <w:rsid w:val="007C0D5F"/>
    <w:rsid w:val="007C1137"/>
    <w:rsid w:val="007C16DA"/>
    <w:rsid w:val="007C16E3"/>
    <w:rsid w:val="007C17D5"/>
    <w:rsid w:val="007C29FE"/>
    <w:rsid w:val="007C2E1F"/>
    <w:rsid w:val="007C588A"/>
    <w:rsid w:val="007C60D6"/>
    <w:rsid w:val="007C6222"/>
    <w:rsid w:val="007C65C7"/>
    <w:rsid w:val="007C688E"/>
    <w:rsid w:val="007C793C"/>
    <w:rsid w:val="007D0475"/>
    <w:rsid w:val="007D147E"/>
    <w:rsid w:val="007D1577"/>
    <w:rsid w:val="007D1A56"/>
    <w:rsid w:val="007D2956"/>
    <w:rsid w:val="007D2BB3"/>
    <w:rsid w:val="007D2CC9"/>
    <w:rsid w:val="007D3B73"/>
    <w:rsid w:val="007D5553"/>
    <w:rsid w:val="007D5D63"/>
    <w:rsid w:val="007D67F6"/>
    <w:rsid w:val="007D68A4"/>
    <w:rsid w:val="007D74F3"/>
    <w:rsid w:val="007E070D"/>
    <w:rsid w:val="007E1FDA"/>
    <w:rsid w:val="007E2462"/>
    <w:rsid w:val="007E3344"/>
    <w:rsid w:val="007E3CB3"/>
    <w:rsid w:val="007E54EC"/>
    <w:rsid w:val="007E67D6"/>
    <w:rsid w:val="007E684F"/>
    <w:rsid w:val="007E70DD"/>
    <w:rsid w:val="007E7364"/>
    <w:rsid w:val="007E75BF"/>
    <w:rsid w:val="007E7B14"/>
    <w:rsid w:val="007F01AC"/>
    <w:rsid w:val="007F0E45"/>
    <w:rsid w:val="007F2393"/>
    <w:rsid w:val="007F24C1"/>
    <w:rsid w:val="007F2A04"/>
    <w:rsid w:val="007F313B"/>
    <w:rsid w:val="007F3B45"/>
    <w:rsid w:val="007F45AA"/>
    <w:rsid w:val="007F4A23"/>
    <w:rsid w:val="007F4AE5"/>
    <w:rsid w:val="007F4B3C"/>
    <w:rsid w:val="007F4CAC"/>
    <w:rsid w:val="007F715A"/>
    <w:rsid w:val="007F742F"/>
    <w:rsid w:val="007F7F63"/>
    <w:rsid w:val="0080032B"/>
    <w:rsid w:val="008007C3"/>
    <w:rsid w:val="0080252E"/>
    <w:rsid w:val="008030B3"/>
    <w:rsid w:val="008033D5"/>
    <w:rsid w:val="00804DDA"/>
    <w:rsid w:val="00805562"/>
    <w:rsid w:val="00805C8C"/>
    <w:rsid w:val="00805EE8"/>
    <w:rsid w:val="00807A10"/>
    <w:rsid w:val="0081083D"/>
    <w:rsid w:val="00811979"/>
    <w:rsid w:val="00812219"/>
    <w:rsid w:val="00812316"/>
    <w:rsid w:val="00812380"/>
    <w:rsid w:val="0081311E"/>
    <w:rsid w:val="0081372E"/>
    <w:rsid w:val="00813BF5"/>
    <w:rsid w:val="00815ECB"/>
    <w:rsid w:val="0081613D"/>
    <w:rsid w:val="008162C2"/>
    <w:rsid w:val="00816326"/>
    <w:rsid w:val="00817A34"/>
    <w:rsid w:val="008201A0"/>
    <w:rsid w:val="008202DB"/>
    <w:rsid w:val="0082081E"/>
    <w:rsid w:val="0082635A"/>
    <w:rsid w:val="008264C9"/>
    <w:rsid w:val="00827195"/>
    <w:rsid w:val="00827664"/>
    <w:rsid w:val="00830047"/>
    <w:rsid w:val="00830B2A"/>
    <w:rsid w:val="00830E87"/>
    <w:rsid w:val="00831DB7"/>
    <w:rsid w:val="00831F86"/>
    <w:rsid w:val="00833EDB"/>
    <w:rsid w:val="0083441C"/>
    <w:rsid w:val="00834D5C"/>
    <w:rsid w:val="00835D32"/>
    <w:rsid w:val="00836150"/>
    <w:rsid w:val="00837705"/>
    <w:rsid w:val="00837862"/>
    <w:rsid w:val="00837AC2"/>
    <w:rsid w:val="00840559"/>
    <w:rsid w:val="0084091D"/>
    <w:rsid w:val="00840A77"/>
    <w:rsid w:val="0084168E"/>
    <w:rsid w:val="0084186D"/>
    <w:rsid w:val="00841DC7"/>
    <w:rsid w:val="0084228B"/>
    <w:rsid w:val="00842828"/>
    <w:rsid w:val="0084307B"/>
    <w:rsid w:val="008437F5"/>
    <w:rsid w:val="0084405E"/>
    <w:rsid w:val="00844272"/>
    <w:rsid w:val="0084495F"/>
    <w:rsid w:val="00844E75"/>
    <w:rsid w:val="00845B08"/>
    <w:rsid w:val="00847217"/>
    <w:rsid w:val="00847660"/>
    <w:rsid w:val="00847B6F"/>
    <w:rsid w:val="00847C15"/>
    <w:rsid w:val="00847D78"/>
    <w:rsid w:val="008501D5"/>
    <w:rsid w:val="00850512"/>
    <w:rsid w:val="00850D34"/>
    <w:rsid w:val="008513BC"/>
    <w:rsid w:val="00851563"/>
    <w:rsid w:val="008515EA"/>
    <w:rsid w:val="00851ECA"/>
    <w:rsid w:val="008521BD"/>
    <w:rsid w:val="008521C8"/>
    <w:rsid w:val="0085291E"/>
    <w:rsid w:val="008531A4"/>
    <w:rsid w:val="008534E2"/>
    <w:rsid w:val="00853C79"/>
    <w:rsid w:val="00855109"/>
    <w:rsid w:val="00855733"/>
    <w:rsid w:val="00855782"/>
    <w:rsid w:val="0085727A"/>
    <w:rsid w:val="008576C4"/>
    <w:rsid w:val="00857A72"/>
    <w:rsid w:val="00860223"/>
    <w:rsid w:val="008603FE"/>
    <w:rsid w:val="00861E26"/>
    <w:rsid w:val="00863945"/>
    <w:rsid w:val="00863CE0"/>
    <w:rsid w:val="00864072"/>
    <w:rsid w:val="00864427"/>
    <w:rsid w:val="00864EDE"/>
    <w:rsid w:val="008655B0"/>
    <w:rsid w:val="0086573F"/>
    <w:rsid w:val="008662D3"/>
    <w:rsid w:val="00866E68"/>
    <w:rsid w:val="00867563"/>
    <w:rsid w:val="0087048B"/>
    <w:rsid w:val="008722DA"/>
    <w:rsid w:val="008738D6"/>
    <w:rsid w:val="008739D0"/>
    <w:rsid w:val="0087414C"/>
    <w:rsid w:val="00874368"/>
    <w:rsid w:val="008753FB"/>
    <w:rsid w:val="00876311"/>
    <w:rsid w:val="00876F12"/>
    <w:rsid w:val="008778B9"/>
    <w:rsid w:val="008800CA"/>
    <w:rsid w:val="0088109C"/>
    <w:rsid w:val="00881499"/>
    <w:rsid w:val="00882852"/>
    <w:rsid w:val="00883DF5"/>
    <w:rsid w:val="00884975"/>
    <w:rsid w:val="00886615"/>
    <w:rsid w:val="0088759C"/>
    <w:rsid w:val="00890227"/>
    <w:rsid w:val="008902DB"/>
    <w:rsid w:val="00890665"/>
    <w:rsid w:val="00890687"/>
    <w:rsid w:val="00890E62"/>
    <w:rsid w:val="00891763"/>
    <w:rsid w:val="00891F27"/>
    <w:rsid w:val="0089217C"/>
    <w:rsid w:val="00893ACF"/>
    <w:rsid w:val="00893D8A"/>
    <w:rsid w:val="0089446D"/>
    <w:rsid w:val="0089528E"/>
    <w:rsid w:val="00895402"/>
    <w:rsid w:val="0089683F"/>
    <w:rsid w:val="008A1BC5"/>
    <w:rsid w:val="008A2E9F"/>
    <w:rsid w:val="008A3526"/>
    <w:rsid w:val="008A3DA9"/>
    <w:rsid w:val="008A436D"/>
    <w:rsid w:val="008A4451"/>
    <w:rsid w:val="008A45D8"/>
    <w:rsid w:val="008A50F8"/>
    <w:rsid w:val="008A59CD"/>
    <w:rsid w:val="008A697E"/>
    <w:rsid w:val="008A6DB5"/>
    <w:rsid w:val="008B0599"/>
    <w:rsid w:val="008B0DF8"/>
    <w:rsid w:val="008B1007"/>
    <w:rsid w:val="008B14B5"/>
    <w:rsid w:val="008B1B90"/>
    <w:rsid w:val="008B2258"/>
    <w:rsid w:val="008B46CB"/>
    <w:rsid w:val="008B5242"/>
    <w:rsid w:val="008B7519"/>
    <w:rsid w:val="008B796A"/>
    <w:rsid w:val="008B7A58"/>
    <w:rsid w:val="008C02CF"/>
    <w:rsid w:val="008C03E7"/>
    <w:rsid w:val="008C046E"/>
    <w:rsid w:val="008C1BEB"/>
    <w:rsid w:val="008C3082"/>
    <w:rsid w:val="008C3522"/>
    <w:rsid w:val="008C3BC6"/>
    <w:rsid w:val="008C3C5F"/>
    <w:rsid w:val="008C5050"/>
    <w:rsid w:val="008C68D9"/>
    <w:rsid w:val="008C6B1D"/>
    <w:rsid w:val="008C6C50"/>
    <w:rsid w:val="008C73B5"/>
    <w:rsid w:val="008D00A7"/>
    <w:rsid w:val="008D09EC"/>
    <w:rsid w:val="008D1D1E"/>
    <w:rsid w:val="008D22D5"/>
    <w:rsid w:val="008D3EBD"/>
    <w:rsid w:val="008D5606"/>
    <w:rsid w:val="008D6535"/>
    <w:rsid w:val="008D6A2C"/>
    <w:rsid w:val="008E00F8"/>
    <w:rsid w:val="008E0B29"/>
    <w:rsid w:val="008E1DE4"/>
    <w:rsid w:val="008E3613"/>
    <w:rsid w:val="008E382D"/>
    <w:rsid w:val="008E386A"/>
    <w:rsid w:val="008E3FC3"/>
    <w:rsid w:val="008E476D"/>
    <w:rsid w:val="008E5158"/>
    <w:rsid w:val="008E554D"/>
    <w:rsid w:val="008E5FAD"/>
    <w:rsid w:val="008E6855"/>
    <w:rsid w:val="008F11DD"/>
    <w:rsid w:val="008F14BD"/>
    <w:rsid w:val="008F3A75"/>
    <w:rsid w:val="008F44AF"/>
    <w:rsid w:val="008F54F1"/>
    <w:rsid w:val="008F5C77"/>
    <w:rsid w:val="008F6FB6"/>
    <w:rsid w:val="009007F6"/>
    <w:rsid w:val="00900D2D"/>
    <w:rsid w:val="0090179D"/>
    <w:rsid w:val="00902150"/>
    <w:rsid w:val="00903343"/>
    <w:rsid w:val="009033C4"/>
    <w:rsid w:val="009038D3"/>
    <w:rsid w:val="00903CA3"/>
    <w:rsid w:val="00904FC7"/>
    <w:rsid w:val="0090540E"/>
    <w:rsid w:val="00905485"/>
    <w:rsid w:val="00906D7D"/>
    <w:rsid w:val="00911435"/>
    <w:rsid w:val="00912209"/>
    <w:rsid w:val="00913076"/>
    <w:rsid w:val="00913081"/>
    <w:rsid w:val="0091475C"/>
    <w:rsid w:val="00915FE9"/>
    <w:rsid w:val="00917D9D"/>
    <w:rsid w:val="00917DF2"/>
    <w:rsid w:val="00920BD2"/>
    <w:rsid w:val="00921041"/>
    <w:rsid w:val="009216C1"/>
    <w:rsid w:val="00921EFD"/>
    <w:rsid w:val="009222EB"/>
    <w:rsid w:val="009232D8"/>
    <w:rsid w:val="0092547A"/>
    <w:rsid w:val="009263C4"/>
    <w:rsid w:val="00926B95"/>
    <w:rsid w:val="00926DCE"/>
    <w:rsid w:val="00926E36"/>
    <w:rsid w:val="0092771C"/>
    <w:rsid w:val="00927CC6"/>
    <w:rsid w:val="00927F5E"/>
    <w:rsid w:val="0093034D"/>
    <w:rsid w:val="009312B8"/>
    <w:rsid w:val="009327B0"/>
    <w:rsid w:val="00932AA6"/>
    <w:rsid w:val="00933067"/>
    <w:rsid w:val="00933350"/>
    <w:rsid w:val="009334D7"/>
    <w:rsid w:val="0093375C"/>
    <w:rsid w:val="00933C43"/>
    <w:rsid w:val="00933F69"/>
    <w:rsid w:val="0093475B"/>
    <w:rsid w:val="009352E4"/>
    <w:rsid w:val="0093546D"/>
    <w:rsid w:val="009358A8"/>
    <w:rsid w:val="00935E2A"/>
    <w:rsid w:val="0093600F"/>
    <w:rsid w:val="009369BA"/>
    <w:rsid w:val="009370E3"/>
    <w:rsid w:val="0093770A"/>
    <w:rsid w:val="0094020D"/>
    <w:rsid w:val="009424D8"/>
    <w:rsid w:val="009429D7"/>
    <w:rsid w:val="00942D1C"/>
    <w:rsid w:val="00944937"/>
    <w:rsid w:val="009453B9"/>
    <w:rsid w:val="0094545E"/>
    <w:rsid w:val="00945D30"/>
    <w:rsid w:val="00946041"/>
    <w:rsid w:val="009460A0"/>
    <w:rsid w:val="0095056F"/>
    <w:rsid w:val="009509A5"/>
    <w:rsid w:val="00950E09"/>
    <w:rsid w:val="00950E50"/>
    <w:rsid w:val="00951BF7"/>
    <w:rsid w:val="00951F0F"/>
    <w:rsid w:val="009524ED"/>
    <w:rsid w:val="00952B17"/>
    <w:rsid w:val="00952D7C"/>
    <w:rsid w:val="00953147"/>
    <w:rsid w:val="0095575D"/>
    <w:rsid w:val="00956803"/>
    <w:rsid w:val="009568C5"/>
    <w:rsid w:val="00956E4F"/>
    <w:rsid w:val="00960397"/>
    <w:rsid w:val="00960767"/>
    <w:rsid w:val="00960C7E"/>
    <w:rsid w:val="00960FB1"/>
    <w:rsid w:val="00961500"/>
    <w:rsid w:val="009617C8"/>
    <w:rsid w:val="00961A55"/>
    <w:rsid w:val="00962349"/>
    <w:rsid w:val="00963082"/>
    <w:rsid w:val="00963AD3"/>
    <w:rsid w:val="0096542E"/>
    <w:rsid w:val="00967188"/>
    <w:rsid w:val="00970A0A"/>
    <w:rsid w:val="009714DD"/>
    <w:rsid w:val="00971BFC"/>
    <w:rsid w:val="00971C8C"/>
    <w:rsid w:val="00971F02"/>
    <w:rsid w:val="0097218F"/>
    <w:rsid w:val="00972EB2"/>
    <w:rsid w:val="009738CD"/>
    <w:rsid w:val="00975166"/>
    <w:rsid w:val="0097525E"/>
    <w:rsid w:val="00975DDB"/>
    <w:rsid w:val="0097620E"/>
    <w:rsid w:val="00976867"/>
    <w:rsid w:val="009772AE"/>
    <w:rsid w:val="00977679"/>
    <w:rsid w:val="0098123A"/>
    <w:rsid w:val="00981801"/>
    <w:rsid w:val="00981FA5"/>
    <w:rsid w:val="0098270C"/>
    <w:rsid w:val="009828B5"/>
    <w:rsid w:val="009834C9"/>
    <w:rsid w:val="00985C84"/>
    <w:rsid w:val="00985E49"/>
    <w:rsid w:val="009860E3"/>
    <w:rsid w:val="0098622E"/>
    <w:rsid w:val="00987536"/>
    <w:rsid w:val="00987676"/>
    <w:rsid w:val="00990A08"/>
    <w:rsid w:val="00990C3A"/>
    <w:rsid w:val="009912E8"/>
    <w:rsid w:val="00991FAC"/>
    <w:rsid w:val="00993CEA"/>
    <w:rsid w:val="00994C60"/>
    <w:rsid w:val="00995823"/>
    <w:rsid w:val="00995982"/>
    <w:rsid w:val="00995CD7"/>
    <w:rsid w:val="00995D47"/>
    <w:rsid w:val="00996386"/>
    <w:rsid w:val="00996E9F"/>
    <w:rsid w:val="0099754F"/>
    <w:rsid w:val="00997A74"/>
    <w:rsid w:val="009A0BDF"/>
    <w:rsid w:val="009A1A5A"/>
    <w:rsid w:val="009A2958"/>
    <w:rsid w:val="009A337F"/>
    <w:rsid w:val="009A34C7"/>
    <w:rsid w:val="009A36CC"/>
    <w:rsid w:val="009A386E"/>
    <w:rsid w:val="009A3898"/>
    <w:rsid w:val="009A3F4B"/>
    <w:rsid w:val="009A5240"/>
    <w:rsid w:val="009A5D1D"/>
    <w:rsid w:val="009A648A"/>
    <w:rsid w:val="009A6715"/>
    <w:rsid w:val="009A6809"/>
    <w:rsid w:val="009A7650"/>
    <w:rsid w:val="009B1131"/>
    <w:rsid w:val="009B153F"/>
    <w:rsid w:val="009B21E6"/>
    <w:rsid w:val="009B24C7"/>
    <w:rsid w:val="009B253B"/>
    <w:rsid w:val="009B355D"/>
    <w:rsid w:val="009B4020"/>
    <w:rsid w:val="009B464C"/>
    <w:rsid w:val="009B469C"/>
    <w:rsid w:val="009B4B0D"/>
    <w:rsid w:val="009B55E0"/>
    <w:rsid w:val="009B68A5"/>
    <w:rsid w:val="009B6A1D"/>
    <w:rsid w:val="009B6A72"/>
    <w:rsid w:val="009B780A"/>
    <w:rsid w:val="009B7A16"/>
    <w:rsid w:val="009C06E5"/>
    <w:rsid w:val="009C16E6"/>
    <w:rsid w:val="009C48E2"/>
    <w:rsid w:val="009C4C80"/>
    <w:rsid w:val="009C5DB6"/>
    <w:rsid w:val="009C60E8"/>
    <w:rsid w:val="009C6EBD"/>
    <w:rsid w:val="009D01A8"/>
    <w:rsid w:val="009D0AC7"/>
    <w:rsid w:val="009D21E3"/>
    <w:rsid w:val="009D3FDF"/>
    <w:rsid w:val="009D56BE"/>
    <w:rsid w:val="009D5DDC"/>
    <w:rsid w:val="009D6096"/>
    <w:rsid w:val="009D6505"/>
    <w:rsid w:val="009D6764"/>
    <w:rsid w:val="009D6C28"/>
    <w:rsid w:val="009D74AD"/>
    <w:rsid w:val="009D763E"/>
    <w:rsid w:val="009D78E7"/>
    <w:rsid w:val="009D7FE3"/>
    <w:rsid w:val="009E0031"/>
    <w:rsid w:val="009E4564"/>
    <w:rsid w:val="009E48CB"/>
    <w:rsid w:val="009E4CF1"/>
    <w:rsid w:val="009E69C9"/>
    <w:rsid w:val="009E7EE6"/>
    <w:rsid w:val="009F017B"/>
    <w:rsid w:val="009F09EC"/>
    <w:rsid w:val="009F1AAE"/>
    <w:rsid w:val="009F1ADA"/>
    <w:rsid w:val="009F3071"/>
    <w:rsid w:val="009F3B9D"/>
    <w:rsid w:val="009F4EA5"/>
    <w:rsid w:val="009F5147"/>
    <w:rsid w:val="009F6A80"/>
    <w:rsid w:val="009F785D"/>
    <w:rsid w:val="009F78BB"/>
    <w:rsid w:val="00A01201"/>
    <w:rsid w:val="00A02353"/>
    <w:rsid w:val="00A023FB"/>
    <w:rsid w:val="00A02F09"/>
    <w:rsid w:val="00A03265"/>
    <w:rsid w:val="00A05447"/>
    <w:rsid w:val="00A0555D"/>
    <w:rsid w:val="00A064C7"/>
    <w:rsid w:val="00A06F4A"/>
    <w:rsid w:val="00A07F70"/>
    <w:rsid w:val="00A108D6"/>
    <w:rsid w:val="00A11497"/>
    <w:rsid w:val="00A11500"/>
    <w:rsid w:val="00A117F8"/>
    <w:rsid w:val="00A12D9A"/>
    <w:rsid w:val="00A13525"/>
    <w:rsid w:val="00A13686"/>
    <w:rsid w:val="00A14687"/>
    <w:rsid w:val="00A14C98"/>
    <w:rsid w:val="00A15547"/>
    <w:rsid w:val="00A15667"/>
    <w:rsid w:val="00A169F8"/>
    <w:rsid w:val="00A17204"/>
    <w:rsid w:val="00A17B58"/>
    <w:rsid w:val="00A17CE8"/>
    <w:rsid w:val="00A214D5"/>
    <w:rsid w:val="00A21BE5"/>
    <w:rsid w:val="00A22BC4"/>
    <w:rsid w:val="00A22F47"/>
    <w:rsid w:val="00A23217"/>
    <w:rsid w:val="00A24ECB"/>
    <w:rsid w:val="00A26550"/>
    <w:rsid w:val="00A27454"/>
    <w:rsid w:val="00A31352"/>
    <w:rsid w:val="00A313CD"/>
    <w:rsid w:val="00A3166A"/>
    <w:rsid w:val="00A32E04"/>
    <w:rsid w:val="00A32FBA"/>
    <w:rsid w:val="00A33737"/>
    <w:rsid w:val="00A33CA2"/>
    <w:rsid w:val="00A40EEF"/>
    <w:rsid w:val="00A443EA"/>
    <w:rsid w:val="00A4450B"/>
    <w:rsid w:val="00A4467C"/>
    <w:rsid w:val="00A446FB"/>
    <w:rsid w:val="00A44DE8"/>
    <w:rsid w:val="00A4574E"/>
    <w:rsid w:val="00A46554"/>
    <w:rsid w:val="00A46612"/>
    <w:rsid w:val="00A47802"/>
    <w:rsid w:val="00A50F55"/>
    <w:rsid w:val="00A51949"/>
    <w:rsid w:val="00A51D76"/>
    <w:rsid w:val="00A52CD3"/>
    <w:rsid w:val="00A535AE"/>
    <w:rsid w:val="00A53E81"/>
    <w:rsid w:val="00A554BD"/>
    <w:rsid w:val="00A55BE5"/>
    <w:rsid w:val="00A55D41"/>
    <w:rsid w:val="00A560B6"/>
    <w:rsid w:val="00A561AA"/>
    <w:rsid w:val="00A565E4"/>
    <w:rsid w:val="00A56718"/>
    <w:rsid w:val="00A57ED4"/>
    <w:rsid w:val="00A6007E"/>
    <w:rsid w:val="00A61283"/>
    <w:rsid w:val="00A62B3D"/>
    <w:rsid w:val="00A639B1"/>
    <w:rsid w:val="00A63AA1"/>
    <w:rsid w:val="00A656A8"/>
    <w:rsid w:val="00A6592C"/>
    <w:rsid w:val="00A65AB8"/>
    <w:rsid w:val="00A668DE"/>
    <w:rsid w:val="00A67D9B"/>
    <w:rsid w:val="00A70283"/>
    <w:rsid w:val="00A71185"/>
    <w:rsid w:val="00A716B9"/>
    <w:rsid w:val="00A7201D"/>
    <w:rsid w:val="00A73D7F"/>
    <w:rsid w:val="00A7432F"/>
    <w:rsid w:val="00A74BD5"/>
    <w:rsid w:val="00A75434"/>
    <w:rsid w:val="00A75588"/>
    <w:rsid w:val="00A76109"/>
    <w:rsid w:val="00A802DC"/>
    <w:rsid w:val="00A80515"/>
    <w:rsid w:val="00A806F6"/>
    <w:rsid w:val="00A81B86"/>
    <w:rsid w:val="00A81D5F"/>
    <w:rsid w:val="00A8278A"/>
    <w:rsid w:val="00A82E33"/>
    <w:rsid w:val="00A84175"/>
    <w:rsid w:val="00A842FC"/>
    <w:rsid w:val="00A8440C"/>
    <w:rsid w:val="00A845C5"/>
    <w:rsid w:val="00A84CC3"/>
    <w:rsid w:val="00A86788"/>
    <w:rsid w:val="00A90653"/>
    <w:rsid w:val="00A90C9F"/>
    <w:rsid w:val="00A91C50"/>
    <w:rsid w:val="00A93675"/>
    <w:rsid w:val="00A93702"/>
    <w:rsid w:val="00A93B37"/>
    <w:rsid w:val="00A94291"/>
    <w:rsid w:val="00A961CE"/>
    <w:rsid w:val="00A96377"/>
    <w:rsid w:val="00A96D75"/>
    <w:rsid w:val="00A97398"/>
    <w:rsid w:val="00AA0BB4"/>
    <w:rsid w:val="00AA0F0F"/>
    <w:rsid w:val="00AA11C7"/>
    <w:rsid w:val="00AA1CD4"/>
    <w:rsid w:val="00AA20E8"/>
    <w:rsid w:val="00AA25D6"/>
    <w:rsid w:val="00AA32A8"/>
    <w:rsid w:val="00AA4B64"/>
    <w:rsid w:val="00AA4D0B"/>
    <w:rsid w:val="00AA4E9A"/>
    <w:rsid w:val="00AA5527"/>
    <w:rsid w:val="00AA65C5"/>
    <w:rsid w:val="00AB0241"/>
    <w:rsid w:val="00AB0FD2"/>
    <w:rsid w:val="00AB197D"/>
    <w:rsid w:val="00AB2413"/>
    <w:rsid w:val="00AB3167"/>
    <w:rsid w:val="00AB3650"/>
    <w:rsid w:val="00AB3DA8"/>
    <w:rsid w:val="00AB48AE"/>
    <w:rsid w:val="00AB4F7B"/>
    <w:rsid w:val="00AB5EF8"/>
    <w:rsid w:val="00AB785A"/>
    <w:rsid w:val="00AC0B6C"/>
    <w:rsid w:val="00AC0EC5"/>
    <w:rsid w:val="00AC1623"/>
    <w:rsid w:val="00AC1DCA"/>
    <w:rsid w:val="00AC3EDA"/>
    <w:rsid w:val="00AC42A1"/>
    <w:rsid w:val="00AC5476"/>
    <w:rsid w:val="00AC6142"/>
    <w:rsid w:val="00AC6E04"/>
    <w:rsid w:val="00AC7B42"/>
    <w:rsid w:val="00AD0087"/>
    <w:rsid w:val="00AD0C65"/>
    <w:rsid w:val="00AD0C6D"/>
    <w:rsid w:val="00AD1386"/>
    <w:rsid w:val="00AD1857"/>
    <w:rsid w:val="00AD2551"/>
    <w:rsid w:val="00AD29C1"/>
    <w:rsid w:val="00AD414E"/>
    <w:rsid w:val="00AD5595"/>
    <w:rsid w:val="00AD58AB"/>
    <w:rsid w:val="00AD599C"/>
    <w:rsid w:val="00AD5E97"/>
    <w:rsid w:val="00AD657F"/>
    <w:rsid w:val="00AD7934"/>
    <w:rsid w:val="00AD7990"/>
    <w:rsid w:val="00AE057D"/>
    <w:rsid w:val="00AE0748"/>
    <w:rsid w:val="00AE317E"/>
    <w:rsid w:val="00AE3577"/>
    <w:rsid w:val="00AE4381"/>
    <w:rsid w:val="00AE4EA5"/>
    <w:rsid w:val="00AE5466"/>
    <w:rsid w:val="00AE56C7"/>
    <w:rsid w:val="00AE6334"/>
    <w:rsid w:val="00AE73B8"/>
    <w:rsid w:val="00AE7474"/>
    <w:rsid w:val="00AE7CB1"/>
    <w:rsid w:val="00AF0144"/>
    <w:rsid w:val="00AF01D0"/>
    <w:rsid w:val="00AF0595"/>
    <w:rsid w:val="00AF13D9"/>
    <w:rsid w:val="00AF236D"/>
    <w:rsid w:val="00AF35A7"/>
    <w:rsid w:val="00AF3B11"/>
    <w:rsid w:val="00AF4A12"/>
    <w:rsid w:val="00AF7D53"/>
    <w:rsid w:val="00B00434"/>
    <w:rsid w:val="00B016C8"/>
    <w:rsid w:val="00B020F8"/>
    <w:rsid w:val="00B02D3B"/>
    <w:rsid w:val="00B0312E"/>
    <w:rsid w:val="00B04394"/>
    <w:rsid w:val="00B044F6"/>
    <w:rsid w:val="00B05011"/>
    <w:rsid w:val="00B0512B"/>
    <w:rsid w:val="00B05D2B"/>
    <w:rsid w:val="00B06755"/>
    <w:rsid w:val="00B071E8"/>
    <w:rsid w:val="00B07A45"/>
    <w:rsid w:val="00B10D0B"/>
    <w:rsid w:val="00B13090"/>
    <w:rsid w:val="00B13616"/>
    <w:rsid w:val="00B1370D"/>
    <w:rsid w:val="00B13AAC"/>
    <w:rsid w:val="00B1539F"/>
    <w:rsid w:val="00B15847"/>
    <w:rsid w:val="00B17751"/>
    <w:rsid w:val="00B177AD"/>
    <w:rsid w:val="00B20B9F"/>
    <w:rsid w:val="00B21827"/>
    <w:rsid w:val="00B22AFA"/>
    <w:rsid w:val="00B24382"/>
    <w:rsid w:val="00B24598"/>
    <w:rsid w:val="00B24D8C"/>
    <w:rsid w:val="00B24E5C"/>
    <w:rsid w:val="00B2673F"/>
    <w:rsid w:val="00B27B5D"/>
    <w:rsid w:val="00B308AC"/>
    <w:rsid w:val="00B3153A"/>
    <w:rsid w:val="00B33087"/>
    <w:rsid w:val="00B336BF"/>
    <w:rsid w:val="00B34787"/>
    <w:rsid w:val="00B34812"/>
    <w:rsid w:val="00B35036"/>
    <w:rsid w:val="00B35A80"/>
    <w:rsid w:val="00B35EA9"/>
    <w:rsid w:val="00B364BD"/>
    <w:rsid w:val="00B36851"/>
    <w:rsid w:val="00B37EF7"/>
    <w:rsid w:val="00B403FA"/>
    <w:rsid w:val="00B40B1C"/>
    <w:rsid w:val="00B410E5"/>
    <w:rsid w:val="00B41465"/>
    <w:rsid w:val="00B417A2"/>
    <w:rsid w:val="00B419FC"/>
    <w:rsid w:val="00B42A75"/>
    <w:rsid w:val="00B4341F"/>
    <w:rsid w:val="00B454BF"/>
    <w:rsid w:val="00B4575D"/>
    <w:rsid w:val="00B46508"/>
    <w:rsid w:val="00B47F32"/>
    <w:rsid w:val="00B50C1B"/>
    <w:rsid w:val="00B52C23"/>
    <w:rsid w:val="00B53919"/>
    <w:rsid w:val="00B5397B"/>
    <w:rsid w:val="00B53FE8"/>
    <w:rsid w:val="00B550BC"/>
    <w:rsid w:val="00B55280"/>
    <w:rsid w:val="00B55AA4"/>
    <w:rsid w:val="00B55F31"/>
    <w:rsid w:val="00B560AF"/>
    <w:rsid w:val="00B564B6"/>
    <w:rsid w:val="00B60178"/>
    <w:rsid w:val="00B60D9D"/>
    <w:rsid w:val="00B61772"/>
    <w:rsid w:val="00B61AF8"/>
    <w:rsid w:val="00B62EE6"/>
    <w:rsid w:val="00B63163"/>
    <w:rsid w:val="00B634AA"/>
    <w:rsid w:val="00B64089"/>
    <w:rsid w:val="00B640B1"/>
    <w:rsid w:val="00B64936"/>
    <w:rsid w:val="00B64D10"/>
    <w:rsid w:val="00B65320"/>
    <w:rsid w:val="00B66344"/>
    <w:rsid w:val="00B66886"/>
    <w:rsid w:val="00B66FCE"/>
    <w:rsid w:val="00B6713E"/>
    <w:rsid w:val="00B71342"/>
    <w:rsid w:val="00B72D44"/>
    <w:rsid w:val="00B736DA"/>
    <w:rsid w:val="00B73B49"/>
    <w:rsid w:val="00B73FD5"/>
    <w:rsid w:val="00B7523A"/>
    <w:rsid w:val="00B75C49"/>
    <w:rsid w:val="00B77072"/>
    <w:rsid w:val="00B80E64"/>
    <w:rsid w:val="00B817A8"/>
    <w:rsid w:val="00B81CBE"/>
    <w:rsid w:val="00B81D14"/>
    <w:rsid w:val="00B82142"/>
    <w:rsid w:val="00B821D1"/>
    <w:rsid w:val="00B82279"/>
    <w:rsid w:val="00B82A3E"/>
    <w:rsid w:val="00B834F7"/>
    <w:rsid w:val="00B839CF"/>
    <w:rsid w:val="00B83ADE"/>
    <w:rsid w:val="00B83E95"/>
    <w:rsid w:val="00B841E5"/>
    <w:rsid w:val="00B854A2"/>
    <w:rsid w:val="00B85A1B"/>
    <w:rsid w:val="00B876E4"/>
    <w:rsid w:val="00B900A1"/>
    <w:rsid w:val="00B90133"/>
    <w:rsid w:val="00B90D93"/>
    <w:rsid w:val="00B92511"/>
    <w:rsid w:val="00B927ED"/>
    <w:rsid w:val="00B93925"/>
    <w:rsid w:val="00B93A93"/>
    <w:rsid w:val="00B93EFC"/>
    <w:rsid w:val="00B945D2"/>
    <w:rsid w:val="00B94C1A"/>
    <w:rsid w:val="00B95D52"/>
    <w:rsid w:val="00B96D0F"/>
    <w:rsid w:val="00B96D2B"/>
    <w:rsid w:val="00B9714D"/>
    <w:rsid w:val="00B9746D"/>
    <w:rsid w:val="00B97794"/>
    <w:rsid w:val="00BA05B0"/>
    <w:rsid w:val="00BA0E17"/>
    <w:rsid w:val="00BA35F2"/>
    <w:rsid w:val="00BA3D4E"/>
    <w:rsid w:val="00BA3D4F"/>
    <w:rsid w:val="00BA4E94"/>
    <w:rsid w:val="00BA6329"/>
    <w:rsid w:val="00BA7FC2"/>
    <w:rsid w:val="00BB2D77"/>
    <w:rsid w:val="00BB5432"/>
    <w:rsid w:val="00BC1391"/>
    <w:rsid w:val="00BC2732"/>
    <w:rsid w:val="00BC287E"/>
    <w:rsid w:val="00BC3A24"/>
    <w:rsid w:val="00BC4028"/>
    <w:rsid w:val="00BC4666"/>
    <w:rsid w:val="00BC46D6"/>
    <w:rsid w:val="00BC4AB9"/>
    <w:rsid w:val="00BC640E"/>
    <w:rsid w:val="00BC69C9"/>
    <w:rsid w:val="00BC77ED"/>
    <w:rsid w:val="00BD06B5"/>
    <w:rsid w:val="00BD0BEB"/>
    <w:rsid w:val="00BD124B"/>
    <w:rsid w:val="00BD12B8"/>
    <w:rsid w:val="00BD2568"/>
    <w:rsid w:val="00BD373D"/>
    <w:rsid w:val="00BD446A"/>
    <w:rsid w:val="00BD550E"/>
    <w:rsid w:val="00BD6290"/>
    <w:rsid w:val="00BE1FB1"/>
    <w:rsid w:val="00BE221B"/>
    <w:rsid w:val="00BE2FB7"/>
    <w:rsid w:val="00BE313E"/>
    <w:rsid w:val="00BE31B8"/>
    <w:rsid w:val="00BE325C"/>
    <w:rsid w:val="00BE4C6F"/>
    <w:rsid w:val="00BE4DA5"/>
    <w:rsid w:val="00BE5537"/>
    <w:rsid w:val="00BE6138"/>
    <w:rsid w:val="00BE6B6E"/>
    <w:rsid w:val="00BE6CA4"/>
    <w:rsid w:val="00BE7836"/>
    <w:rsid w:val="00BE7A11"/>
    <w:rsid w:val="00BE7B69"/>
    <w:rsid w:val="00BE7FA6"/>
    <w:rsid w:val="00BF01AA"/>
    <w:rsid w:val="00BF0633"/>
    <w:rsid w:val="00BF08ED"/>
    <w:rsid w:val="00BF1530"/>
    <w:rsid w:val="00BF1AB0"/>
    <w:rsid w:val="00BF4C03"/>
    <w:rsid w:val="00BF5144"/>
    <w:rsid w:val="00BF5A30"/>
    <w:rsid w:val="00BF5AC4"/>
    <w:rsid w:val="00BF657D"/>
    <w:rsid w:val="00BF6FE5"/>
    <w:rsid w:val="00BF701C"/>
    <w:rsid w:val="00BF722B"/>
    <w:rsid w:val="00BF775E"/>
    <w:rsid w:val="00C01431"/>
    <w:rsid w:val="00C0281C"/>
    <w:rsid w:val="00C02A8B"/>
    <w:rsid w:val="00C02FF9"/>
    <w:rsid w:val="00C03F7A"/>
    <w:rsid w:val="00C0451C"/>
    <w:rsid w:val="00C068F8"/>
    <w:rsid w:val="00C06AC4"/>
    <w:rsid w:val="00C06E54"/>
    <w:rsid w:val="00C072D7"/>
    <w:rsid w:val="00C07345"/>
    <w:rsid w:val="00C07A1A"/>
    <w:rsid w:val="00C07AB8"/>
    <w:rsid w:val="00C07B53"/>
    <w:rsid w:val="00C07BE0"/>
    <w:rsid w:val="00C07E40"/>
    <w:rsid w:val="00C108CA"/>
    <w:rsid w:val="00C108E3"/>
    <w:rsid w:val="00C10B51"/>
    <w:rsid w:val="00C1154A"/>
    <w:rsid w:val="00C12675"/>
    <w:rsid w:val="00C128E2"/>
    <w:rsid w:val="00C12CA2"/>
    <w:rsid w:val="00C1361F"/>
    <w:rsid w:val="00C14960"/>
    <w:rsid w:val="00C155F7"/>
    <w:rsid w:val="00C1574E"/>
    <w:rsid w:val="00C16976"/>
    <w:rsid w:val="00C1727A"/>
    <w:rsid w:val="00C20FC3"/>
    <w:rsid w:val="00C2182C"/>
    <w:rsid w:val="00C218C4"/>
    <w:rsid w:val="00C234C7"/>
    <w:rsid w:val="00C23B2E"/>
    <w:rsid w:val="00C24342"/>
    <w:rsid w:val="00C257CB"/>
    <w:rsid w:val="00C25E3E"/>
    <w:rsid w:val="00C260AE"/>
    <w:rsid w:val="00C264FD"/>
    <w:rsid w:val="00C2667B"/>
    <w:rsid w:val="00C30A4F"/>
    <w:rsid w:val="00C30DFD"/>
    <w:rsid w:val="00C311B0"/>
    <w:rsid w:val="00C31486"/>
    <w:rsid w:val="00C31B45"/>
    <w:rsid w:val="00C31FFF"/>
    <w:rsid w:val="00C32484"/>
    <w:rsid w:val="00C33781"/>
    <w:rsid w:val="00C3401B"/>
    <w:rsid w:val="00C344B1"/>
    <w:rsid w:val="00C34CE4"/>
    <w:rsid w:val="00C35272"/>
    <w:rsid w:val="00C3638B"/>
    <w:rsid w:val="00C407C4"/>
    <w:rsid w:val="00C4081F"/>
    <w:rsid w:val="00C40923"/>
    <w:rsid w:val="00C41574"/>
    <w:rsid w:val="00C415B7"/>
    <w:rsid w:val="00C41AD1"/>
    <w:rsid w:val="00C424EB"/>
    <w:rsid w:val="00C432E3"/>
    <w:rsid w:val="00C4397C"/>
    <w:rsid w:val="00C45ED3"/>
    <w:rsid w:val="00C465A0"/>
    <w:rsid w:val="00C46FF7"/>
    <w:rsid w:val="00C500DD"/>
    <w:rsid w:val="00C502BF"/>
    <w:rsid w:val="00C50BC5"/>
    <w:rsid w:val="00C52608"/>
    <w:rsid w:val="00C52CEF"/>
    <w:rsid w:val="00C52D3A"/>
    <w:rsid w:val="00C55C6D"/>
    <w:rsid w:val="00C5688D"/>
    <w:rsid w:val="00C56A8F"/>
    <w:rsid w:val="00C56C1B"/>
    <w:rsid w:val="00C56D90"/>
    <w:rsid w:val="00C56F78"/>
    <w:rsid w:val="00C60563"/>
    <w:rsid w:val="00C60B32"/>
    <w:rsid w:val="00C6326A"/>
    <w:rsid w:val="00C639C4"/>
    <w:rsid w:val="00C639E3"/>
    <w:rsid w:val="00C65592"/>
    <w:rsid w:val="00C65EB1"/>
    <w:rsid w:val="00C660BD"/>
    <w:rsid w:val="00C66E44"/>
    <w:rsid w:val="00C674A7"/>
    <w:rsid w:val="00C676FA"/>
    <w:rsid w:val="00C701E7"/>
    <w:rsid w:val="00C70A1F"/>
    <w:rsid w:val="00C71410"/>
    <w:rsid w:val="00C714C4"/>
    <w:rsid w:val="00C725CE"/>
    <w:rsid w:val="00C729AA"/>
    <w:rsid w:val="00C7310E"/>
    <w:rsid w:val="00C74F2F"/>
    <w:rsid w:val="00C7500F"/>
    <w:rsid w:val="00C75456"/>
    <w:rsid w:val="00C75A8E"/>
    <w:rsid w:val="00C75AF2"/>
    <w:rsid w:val="00C76004"/>
    <w:rsid w:val="00C76312"/>
    <w:rsid w:val="00C77869"/>
    <w:rsid w:val="00C8005B"/>
    <w:rsid w:val="00C80868"/>
    <w:rsid w:val="00C80989"/>
    <w:rsid w:val="00C810E4"/>
    <w:rsid w:val="00C81486"/>
    <w:rsid w:val="00C824F9"/>
    <w:rsid w:val="00C8272A"/>
    <w:rsid w:val="00C82F34"/>
    <w:rsid w:val="00C82F77"/>
    <w:rsid w:val="00C83560"/>
    <w:rsid w:val="00C84207"/>
    <w:rsid w:val="00C84677"/>
    <w:rsid w:val="00C84C6A"/>
    <w:rsid w:val="00C854DA"/>
    <w:rsid w:val="00C859F1"/>
    <w:rsid w:val="00C85E94"/>
    <w:rsid w:val="00C85F6D"/>
    <w:rsid w:val="00C86159"/>
    <w:rsid w:val="00C86716"/>
    <w:rsid w:val="00C90016"/>
    <w:rsid w:val="00C90775"/>
    <w:rsid w:val="00C90C37"/>
    <w:rsid w:val="00C9179A"/>
    <w:rsid w:val="00C929A7"/>
    <w:rsid w:val="00C92F62"/>
    <w:rsid w:val="00C93063"/>
    <w:rsid w:val="00C93EB6"/>
    <w:rsid w:val="00C94E1E"/>
    <w:rsid w:val="00C95FE3"/>
    <w:rsid w:val="00C96391"/>
    <w:rsid w:val="00CA0EAC"/>
    <w:rsid w:val="00CA14DA"/>
    <w:rsid w:val="00CA14EE"/>
    <w:rsid w:val="00CA1BDF"/>
    <w:rsid w:val="00CA234F"/>
    <w:rsid w:val="00CA26F1"/>
    <w:rsid w:val="00CA294D"/>
    <w:rsid w:val="00CA2BDF"/>
    <w:rsid w:val="00CA318B"/>
    <w:rsid w:val="00CA45FE"/>
    <w:rsid w:val="00CA5C87"/>
    <w:rsid w:val="00CA62D6"/>
    <w:rsid w:val="00CA6822"/>
    <w:rsid w:val="00CA6A8D"/>
    <w:rsid w:val="00CA6F5B"/>
    <w:rsid w:val="00CA74F0"/>
    <w:rsid w:val="00CA7599"/>
    <w:rsid w:val="00CA7A7D"/>
    <w:rsid w:val="00CB189E"/>
    <w:rsid w:val="00CB2CF1"/>
    <w:rsid w:val="00CB2FAF"/>
    <w:rsid w:val="00CB4204"/>
    <w:rsid w:val="00CB506D"/>
    <w:rsid w:val="00CB629E"/>
    <w:rsid w:val="00CB7B2E"/>
    <w:rsid w:val="00CB7E48"/>
    <w:rsid w:val="00CC0A94"/>
    <w:rsid w:val="00CC2E4A"/>
    <w:rsid w:val="00CC2E99"/>
    <w:rsid w:val="00CC318E"/>
    <w:rsid w:val="00CC392B"/>
    <w:rsid w:val="00CC3C6D"/>
    <w:rsid w:val="00CC5421"/>
    <w:rsid w:val="00CC5E7A"/>
    <w:rsid w:val="00CC6050"/>
    <w:rsid w:val="00CC66EF"/>
    <w:rsid w:val="00CD0046"/>
    <w:rsid w:val="00CD09AC"/>
    <w:rsid w:val="00CD2A31"/>
    <w:rsid w:val="00CD2C60"/>
    <w:rsid w:val="00CD47BC"/>
    <w:rsid w:val="00CE15EE"/>
    <w:rsid w:val="00CE1B49"/>
    <w:rsid w:val="00CE1D29"/>
    <w:rsid w:val="00CE4683"/>
    <w:rsid w:val="00CE63CC"/>
    <w:rsid w:val="00CE7205"/>
    <w:rsid w:val="00CE7A2A"/>
    <w:rsid w:val="00CE7A9C"/>
    <w:rsid w:val="00CE7D7B"/>
    <w:rsid w:val="00CF0810"/>
    <w:rsid w:val="00CF1B19"/>
    <w:rsid w:val="00CF2AE7"/>
    <w:rsid w:val="00CF4A86"/>
    <w:rsid w:val="00CF4C52"/>
    <w:rsid w:val="00CF5535"/>
    <w:rsid w:val="00CF778D"/>
    <w:rsid w:val="00CF79AA"/>
    <w:rsid w:val="00D0051A"/>
    <w:rsid w:val="00D0059E"/>
    <w:rsid w:val="00D02271"/>
    <w:rsid w:val="00D02A53"/>
    <w:rsid w:val="00D038B2"/>
    <w:rsid w:val="00D03D6B"/>
    <w:rsid w:val="00D03D93"/>
    <w:rsid w:val="00D04AF0"/>
    <w:rsid w:val="00D04BCD"/>
    <w:rsid w:val="00D05552"/>
    <w:rsid w:val="00D064DA"/>
    <w:rsid w:val="00D06CA2"/>
    <w:rsid w:val="00D070F1"/>
    <w:rsid w:val="00D106E0"/>
    <w:rsid w:val="00D11D26"/>
    <w:rsid w:val="00D13517"/>
    <w:rsid w:val="00D13CF2"/>
    <w:rsid w:val="00D14D61"/>
    <w:rsid w:val="00D1529A"/>
    <w:rsid w:val="00D15BF1"/>
    <w:rsid w:val="00D1669C"/>
    <w:rsid w:val="00D16E1A"/>
    <w:rsid w:val="00D17B43"/>
    <w:rsid w:val="00D17CF4"/>
    <w:rsid w:val="00D2059E"/>
    <w:rsid w:val="00D20801"/>
    <w:rsid w:val="00D20DFD"/>
    <w:rsid w:val="00D212BB"/>
    <w:rsid w:val="00D2195C"/>
    <w:rsid w:val="00D21F0F"/>
    <w:rsid w:val="00D21FD3"/>
    <w:rsid w:val="00D227E8"/>
    <w:rsid w:val="00D22B01"/>
    <w:rsid w:val="00D2322A"/>
    <w:rsid w:val="00D245D8"/>
    <w:rsid w:val="00D24759"/>
    <w:rsid w:val="00D24E70"/>
    <w:rsid w:val="00D272D8"/>
    <w:rsid w:val="00D27829"/>
    <w:rsid w:val="00D30C50"/>
    <w:rsid w:val="00D31668"/>
    <w:rsid w:val="00D317FC"/>
    <w:rsid w:val="00D34054"/>
    <w:rsid w:val="00D356A6"/>
    <w:rsid w:val="00D36905"/>
    <w:rsid w:val="00D4051B"/>
    <w:rsid w:val="00D40924"/>
    <w:rsid w:val="00D414FA"/>
    <w:rsid w:val="00D42215"/>
    <w:rsid w:val="00D42CF4"/>
    <w:rsid w:val="00D432A1"/>
    <w:rsid w:val="00D4335E"/>
    <w:rsid w:val="00D46E1A"/>
    <w:rsid w:val="00D50F00"/>
    <w:rsid w:val="00D518C3"/>
    <w:rsid w:val="00D51A60"/>
    <w:rsid w:val="00D51DD0"/>
    <w:rsid w:val="00D51E93"/>
    <w:rsid w:val="00D528D5"/>
    <w:rsid w:val="00D53103"/>
    <w:rsid w:val="00D53923"/>
    <w:rsid w:val="00D53970"/>
    <w:rsid w:val="00D54502"/>
    <w:rsid w:val="00D54843"/>
    <w:rsid w:val="00D552C7"/>
    <w:rsid w:val="00D560E3"/>
    <w:rsid w:val="00D56591"/>
    <w:rsid w:val="00D565F5"/>
    <w:rsid w:val="00D578A7"/>
    <w:rsid w:val="00D618C5"/>
    <w:rsid w:val="00D632E4"/>
    <w:rsid w:val="00D635A6"/>
    <w:rsid w:val="00D63DDC"/>
    <w:rsid w:val="00D6542D"/>
    <w:rsid w:val="00D65877"/>
    <w:rsid w:val="00D65AD5"/>
    <w:rsid w:val="00D66654"/>
    <w:rsid w:val="00D66AB2"/>
    <w:rsid w:val="00D672AB"/>
    <w:rsid w:val="00D67594"/>
    <w:rsid w:val="00D677FC"/>
    <w:rsid w:val="00D71B77"/>
    <w:rsid w:val="00D72E69"/>
    <w:rsid w:val="00D72FD6"/>
    <w:rsid w:val="00D7401B"/>
    <w:rsid w:val="00D7579C"/>
    <w:rsid w:val="00D7629E"/>
    <w:rsid w:val="00D774E9"/>
    <w:rsid w:val="00D7759C"/>
    <w:rsid w:val="00D8020D"/>
    <w:rsid w:val="00D824BB"/>
    <w:rsid w:val="00D829AE"/>
    <w:rsid w:val="00D836FA"/>
    <w:rsid w:val="00D84211"/>
    <w:rsid w:val="00D8591D"/>
    <w:rsid w:val="00D859F3"/>
    <w:rsid w:val="00D86183"/>
    <w:rsid w:val="00D86198"/>
    <w:rsid w:val="00D8706F"/>
    <w:rsid w:val="00D87857"/>
    <w:rsid w:val="00D90605"/>
    <w:rsid w:val="00D90BB5"/>
    <w:rsid w:val="00D92FB3"/>
    <w:rsid w:val="00D93D09"/>
    <w:rsid w:val="00D94089"/>
    <w:rsid w:val="00D97130"/>
    <w:rsid w:val="00D9768D"/>
    <w:rsid w:val="00D977FE"/>
    <w:rsid w:val="00DA24D0"/>
    <w:rsid w:val="00DA38A6"/>
    <w:rsid w:val="00DA6035"/>
    <w:rsid w:val="00DA60BF"/>
    <w:rsid w:val="00DA65FE"/>
    <w:rsid w:val="00DA6A7E"/>
    <w:rsid w:val="00DA74D5"/>
    <w:rsid w:val="00DA7BCD"/>
    <w:rsid w:val="00DB09C8"/>
    <w:rsid w:val="00DB0C2F"/>
    <w:rsid w:val="00DB0E46"/>
    <w:rsid w:val="00DB26EC"/>
    <w:rsid w:val="00DB297F"/>
    <w:rsid w:val="00DB2BC9"/>
    <w:rsid w:val="00DB4919"/>
    <w:rsid w:val="00DB4947"/>
    <w:rsid w:val="00DB67F2"/>
    <w:rsid w:val="00DC319D"/>
    <w:rsid w:val="00DC37BF"/>
    <w:rsid w:val="00DC42BE"/>
    <w:rsid w:val="00DC4D3E"/>
    <w:rsid w:val="00DC5299"/>
    <w:rsid w:val="00DC55DC"/>
    <w:rsid w:val="00DC565E"/>
    <w:rsid w:val="00DC57CF"/>
    <w:rsid w:val="00DD0737"/>
    <w:rsid w:val="00DD0A9F"/>
    <w:rsid w:val="00DD0EA4"/>
    <w:rsid w:val="00DD2045"/>
    <w:rsid w:val="00DD2AFB"/>
    <w:rsid w:val="00DD3E85"/>
    <w:rsid w:val="00DD43D0"/>
    <w:rsid w:val="00DD446F"/>
    <w:rsid w:val="00DD4F86"/>
    <w:rsid w:val="00DD5E8A"/>
    <w:rsid w:val="00DD66FF"/>
    <w:rsid w:val="00DD78DA"/>
    <w:rsid w:val="00DE004A"/>
    <w:rsid w:val="00DE09F1"/>
    <w:rsid w:val="00DE0E88"/>
    <w:rsid w:val="00DE24F0"/>
    <w:rsid w:val="00DE25B0"/>
    <w:rsid w:val="00DE28DF"/>
    <w:rsid w:val="00DE3218"/>
    <w:rsid w:val="00DE360A"/>
    <w:rsid w:val="00DE3E9E"/>
    <w:rsid w:val="00DE4775"/>
    <w:rsid w:val="00DE49B3"/>
    <w:rsid w:val="00DE4C27"/>
    <w:rsid w:val="00DE4F07"/>
    <w:rsid w:val="00DE5044"/>
    <w:rsid w:val="00DE5238"/>
    <w:rsid w:val="00DE548C"/>
    <w:rsid w:val="00DE5FF0"/>
    <w:rsid w:val="00DE61AD"/>
    <w:rsid w:val="00DF1B4C"/>
    <w:rsid w:val="00DF1C36"/>
    <w:rsid w:val="00DF1FE6"/>
    <w:rsid w:val="00DF2424"/>
    <w:rsid w:val="00DF2C6A"/>
    <w:rsid w:val="00DF2DC3"/>
    <w:rsid w:val="00DF47E0"/>
    <w:rsid w:val="00DF4D2A"/>
    <w:rsid w:val="00DF6589"/>
    <w:rsid w:val="00DF7ADF"/>
    <w:rsid w:val="00E009BB"/>
    <w:rsid w:val="00E00D02"/>
    <w:rsid w:val="00E0132C"/>
    <w:rsid w:val="00E014AF"/>
    <w:rsid w:val="00E041E4"/>
    <w:rsid w:val="00E048AF"/>
    <w:rsid w:val="00E049B9"/>
    <w:rsid w:val="00E05057"/>
    <w:rsid w:val="00E0561E"/>
    <w:rsid w:val="00E06B36"/>
    <w:rsid w:val="00E07DB8"/>
    <w:rsid w:val="00E1063B"/>
    <w:rsid w:val="00E10C83"/>
    <w:rsid w:val="00E12970"/>
    <w:rsid w:val="00E12AFA"/>
    <w:rsid w:val="00E12B37"/>
    <w:rsid w:val="00E13D17"/>
    <w:rsid w:val="00E14318"/>
    <w:rsid w:val="00E144AA"/>
    <w:rsid w:val="00E14C20"/>
    <w:rsid w:val="00E15324"/>
    <w:rsid w:val="00E1558E"/>
    <w:rsid w:val="00E1615C"/>
    <w:rsid w:val="00E1638E"/>
    <w:rsid w:val="00E1755B"/>
    <w:rsid w:val="00E17654"/>
    <w:rsid w:val="00E203C6"/>
    <w:rsid w:val="00E20C2E"/>
    <w:rsid w:val="00E20E03"/>
    <w:rsid w:val="00E21642"/>
    <w:rsid w:val="00E227A9"/>
    <w:rsid w:val="00E237EB"/>
    <w:rsid w:val="00E2396F"/>
    <w:rsid w:val="00E24577"/>
    <w:rsid w:val="00E24987"/>
    <w:rsid w:val="00E2506C"/>
    <w:rsid w:val="00E2570E"/>
    <w:rsid w:val="00E25F52"/>
    <w:rsid w:val="00E262FF"/>
    <w:rsid w:val="00E31958"/>
    <w:rsid w:val="00E32278"/>
    <w:rsid w:val="00E32F28"/>
    <w:rsid w:val="00E33489"/>
    <w:rsid w:val="00E33825"/>
    <w:rsid w:val="00E33E34"/>
    <w:rsid w:val="00E3492E"/>
    <w:rsid w:val="00E353C4"/>
    <w:rsid w:val="00E3542C"/>
    <w:rsid w:val="00E357BE"/>
    <w:rsid w:val="00E35D57"/>
    <w:rsid w:val="00E361A7"/>
    <w:rsid w:val="00E36AF7"/>
    <w:rsid w:val="00E36FFC"/>
    <w:rsid w:val="00E374DE"/>
    <w:rsid w:val="00E41C3D"/>
    <w:rsid w:val="00E4241B"/>
    <w:rsid w:val="00E42430"/>
    <w:rsid w:val="00E42CCF"/>
    <w:rsid w:val="00E43075"/>
    <w:rsid w:val="00E43E2F"/>
    <w:rsid w:val="00E44267"/>
    <w:rsid w:val="00E44C3D"/>
    <w:rsid w:val="00E44D05"/>
    <w:rsid w:val="00E454F8"/>
    <w:rsid w:val="00E45966"/>
    <w:rsid w:val="00E45A54"/>
    <w:rsid w:val="00E471EA"/>
    <w:rsid w:val="00E478AB"/>
    <w:rsid w:val="00E50F14"/>
    <w:rsid w:val="00E50F5B"/>
    <w:rsid w:val="00E513F3"/>
    <w:rsid w:val="00E535C2"/>
    <w:rsid w:val="00E54911"/>
    <w:rsid w:val="00E54CF8"/>
    <w:rsid w:val="00E56094"/>
    <w:rsid w:val="00E57070"/>
    <w:rsid w:val="00E57947"/>
    <w:rsid w:val="00E57E14"/>
    <w:rsid w:val="00E60469"/>
    <w:rsid w:val="00E61F35"/>
    <w:rsid w:val="00E62D98"/>
    <w:rsid w:val="00E62F53"/>
    <w:rsid w:val="00E630B4"/>
    <w:rsid w:val="00E6449C"/>
    <w:rsid w:val="00E667E8"/>
    <w:rsid w:val="00E678F6"/>
    <w:rsid w:val="00E67E93"/>
    <w:rsid w:val="00E700AE"/>
    <w:rsid w:val="00E70430"/>
    <w:rsid w:val="00E707F6"/>
    <w:rsid w:val="00E710F2"/>
    <w:rsid w:val="00E71AE0"/>
    <w:rsid w:val="00E722FA"/>
    <w:rsid w:val="00E72AA1"/>
    <w:rsid w:val="00E737F6"/>
    <w:rsid w:val="00E73ACB"/>
    <w:rsid w:val="00E74508"/>
    <w:rsid w:val="00E7457A"/>
    <w:rsid w:val="00E74724"/>
    <w:rsid w:val="00E74853"/>
    <w:rsid w:val="00E751F2"/>
    <w:rsid w:val="00E75711"/>
    <w:rsid w:val="00E761AF"/>
    <w:rsid w:val="00E763DD"/>
    <w:rsid w:val="00E7670C"/>
    <w:rsid w:val="00E76CC7"/>
    <w:rsid w:val="00E7751B"/>
    <w:rsid w:val="00E77587"/>
    <w:rsid w:val="00E7769F"/>
    <w:rsid w:val="00E80806"/>
    <w:rsid w:val="00E80A16"/>
    <w:rsid w:val="00E80F00"/>
    <w:rsid w:val="00E813CA"/>
    <w:rsid w:val="00E823BE"/>
    <w:rsid w:val="00E82BEC"/>
    <w:rsid w:val="00E83142"/>
    <w:rsid w:val="00E83200"/>
    <w:rsid w:val="00E8345F"/>
    <w:rsid w:val="00E84488"/>
    <w:rsid w:val="00E84B1D"/>
    <w:rsid w:val="00E87413"/>
    <w:rsid w:val="00E87A14"/>
    <w:rsid w:val="00E91619"/>
    <w:rsid w:val="00E91B27"/>
    <w:rsid w:val="00E9255C"/>
    <w:rsid w:val="00E92B01"/>
    <w:rsid w:val="00E92D2B"/>
    <w:rsid w:val="00E933D9"/>
    <w:rsid w:val="00E93474"/>
    <w:rsid w:val="00E93886"/>
    <w:rsid w:val="00E95069"/>
    <w:rsid w:val="00E9546E"/>
    <w:rsid w:val="00E954A9"/>
    <w:rsid w:val="00E96747"/>
    <w:rsid w:val="00E97C59"/>
    <w:rsid w:val="00E97C8A"/>
    <w:rsid w:val="00EA0323"/>
    <w:rsid w:val="00EA0730"/>
    <w:rsid w:val="00EA1EF0"/>
    <w:rsid w:val="00EA43F8"/>
    <w:rsid w:val="00EA4703"/>
    <w:rsid w:val="00EA4BBC"/>
    <w:rsid w:val="00EA56EA"/>
    <w:rsid w:val="00EA5972"/>
    <w:rsid w:val="00EA6767"/>
    <w:rsid w:val="00EB10F2"/>
    <w:rsid w:val="00EB2425"/>
    <w:rsid w:val="00EB315A"/>
    <w:rsid w:val="00EB384E"/>
    <w:rsid w:val="00EB45A1"/>
    <w:rsid w:val="00EB51F7"/>
    <w:rsid w:val="00EB63A2"/>
    <w:rsid w:val="00EB6BCD"/>
    <w:rsid w:val="00EB7303"/>
    <w:rsid w:val="00EC0CA9"/>
    <w:rsid w:val="00EC17D3"/>
    <w:rsid w:val="00EC180E"/>
    <w:rsid w:val="00EC2486"/>
    <w:rsid w:val="00EC747A"/>
    <w:rsid w:val="00EC7C5D"/>
    <w:rsid w:val="00ED30C5"/>
    <w:rsid w:val="00ED3143"/>
    <w:rsid w:val="00ED36B4"/>
    <w:rsid w:val="00ED36E0"/>
    <w:rsid w:val="00ED4152"/>
    <w:rsid w:val="00ED4AF3"/>
    <w:rsid w:val="00ED6A7D"/>
    <w:rsid w:val="00ED7459"/>
    <w:rsid w:val="00ED74BD"/>
    <w:rsid w:val="00ED7528"/>
    <w:rsid w:val="00ED76A6"/>
    <w:rsid w:val="00EE100E"/>
    <w:rsid w:val="00EE111D"/>
    <w:rsid w:val="00EE2523"/>
    <w:rsid w:val="00EE2E89"/>
    <w:rsid w:val="00EE3A51"/>
    <w:rsid w:val="00EE4078"/>
    <w:rsid w:val="00EE4A79"/>
    <w:rsid w:val="00EE56BE"/>
    <w:rsid w:val="00EE6B30"/>
    <w:rsid w:val="00EE6EF2"/>
    <w:rsid w:val="00EE744C"/>
    <w:rsid w:val="00EE7A9E"/>
    <w:rsid w:val="00EF08FD"/>
    <w:rsid w:val="00EF1580"/>
    <w:rsid w:val="00EF15B6"/>
    <w:rsid w:val="00EF178B"/>
    <w:rsid w:val="00EF1E40"/>
    <w:rsid w:val="00EF22A2"/>
    <w:rsid w:val="00EF25A9"/>
    <w:rsid w:val="00EF2FD4"/>
    <w:rsid w:val="00EF3263"/>
    <w:rsid w:val="00EF4A71"/>
    <w:rsid w:val="00EF4FD8"/>
    <w:rsid w:val="00EF5217"/>
    <w:rsid w:val="00EF524D"/>
    <w:rsid w:val="00EF57F2"/>
    <w:rsid w:val="00EF5C1D"/>
    <w:rsid w:val="00EF62D4"/>
    <w:rsid w:val="00EF6698"/>
    <w:rsid w:val="00EF6FB7"/>
    <w:rsid w:val="00EF73FC"/>
    <w:rsid w:val="00EF7580"/>
    <w:rsid w:val="00F00708"/>
    <w:rsid w:val="00F02A5E"/>
    <w:rsid w:val="00F04689"/>
    <w:rsid w:val="00F04B18"/>
    <w:rsid w:val="00F077B9"/>
    <w:rsid w:val="00F07B35"/>
    <w:rsid w:val="00F07C8B"/>
    <w:rsid w:val="00F10542"/>
    <w:rsid w:val="00F10E8A"/>
    <w:rsid w:val="00F1281B"/>
    <w:rsid w:val="00F129A0"/>
    <w:rsid w:val="00F12BE4"/>
    <w:rsid w:val="00F134D2"/>
    <w:rsid w:val="00F1365F"/>
    <w:rsid w:val="00F137C2"/>
    <w:rsid w:val="00F1387A"/>
    <w:rsid w:val="00F13C4E"/>
    <w:rsid w:val="00F14553"/>
    <w:rsid w:val="00F1499A"/>
    <w:rsid w:val="00F14EDE"/>
    <w:rsid w:val="00F15563"/>
    <w:rsid w:val="00F167C0"/>
    <w:rsid w:val="00F16CBF"/>
    <w:rsid w:val="00F16FE8"/>
    <w:rsid w:val="00F176AB"/>
    <w:rsid w:val="00F20024"/>
    <w:rsid w:val="00F207B4"/>
    <w:rsid w:val="00F20C98"/>
    <w:rsid w:val="00F21839"/>
    <w:rsid w:val="00F219BC"/>
    <w:rsid w:val="00F21F7B"/>
    <w:rsid w:val="00F227B9"/>
    <w:rsid w:val="00F2366D"/>
    <w:rsid w:val="00F23C49"/>
    <w:rsid w:val="00F23D36"/>
    <w:rsid w:val="00F23F0E"/>
    <w:rsid w:val="00F251D2"/>
    <w:rsid w:val="00F25457"/>
    <w:rsid w:val="00F25B04"/>
    <w:rsid w:val="00F25E25"/>
    <w:rsid w:val="00F2614A"/>
    <w:rsid w:val="00F26318"/>
    <w:rsid w:val="00F265D0"/>
    <w:rsid w:val="00F26F26"/>
    <w:rsid w:val="00F30889"/>
    <w:rsid w:val="00F30D61"/>
    <w:rsid w:val="00F32289"/>
    <w:rsid w:val="00F3244A"/>
    <w:rsid w:val="00F3353C"/>
    <w:rsid w:val="00F335CC"/>
    <w:rsid w:val="00F33AD0"/>
    <w:rsid w:val="00F35A8F"/>
    <w:rsid w:val="00F35AFB"/>
    <w:rsid w:val="00F35B32"/>
    <w:rsid w:val="00F36380"/>
    <w:rsid w:val="00F36791"/>
    <w:rsid w:val="00F36B1D"/>
    <w:rsid w:val="00F36BA2"/>
    <w:rsid w:val="00F37718"/>
    <w:rsid w:val="00F37A90"/>
    <w:rsid w:val="00F4048B"/>
    <w:rsid w:val="00F416FF"/>
    <w:rsid w:val="00F428A4"/>
    <w:rsid w:val="00F430FD"/>
    <w:rsid w:val="00F43C1A"/>
    <w:rsid w:val="00F4650E"/>
    <w:rsid w:val="00F46F26"/>
    <w:rsid w:val="00F47584"/>
    <w:rsid w:val="00F47AEB"/>
    <w:rsid w:val="00F50489"/>
    <w:rsid w:val="00F52B7E"/>
    <w:rsid w:val="00F53FA6"/>
    <w:rsid w:val="00F571A2"/>
    <w:rsid w:val="00F571C6"/>
    <w:rsid w:val="00F57577"/>
    <w:rsid w:val="00F6008D"/>
    <w:rsid w:val="00F61547"/>
    <w:rsid w:val="00F61F3A"/>
    <w:rsid w:val="00F6289D"/>
    <w:rsid w:val="00F6337C"/>
    <w:rsid w:val="00F63AFE"/>
    <w:rsid w:val="00F64468"/>
    <w:rsid w:val="00F64540"/>
    <w:rsid w:val="00F64E23"/>
    <w:rsid w:val="00F64E34"/>
    <w:rsid w:val="00F65064"/>
    <w:rsid w:val="00F653B5"/>
    <w:rsid w:val="00F654E2"/>
    <w:rsid w:val="00F65BBC"/>
    <w:rsid w:val="00F67057"/>
    <w:rsid w:val="00F67D44"/>
    <w:rsid w:val="00F702FE"/>
    <w:rsid w:val="00F70B36"/>
    <w:rsid w:val="00F71CE5"/>
    <w:rsid w:val="00F726FD"/>
    <w:rsid w:val="00F72C26"/>
    <w:rsid w:val="00F72EA5"/>
    <w:rsid w:val="00F739CB"/>
    <w:rsid w:val="00F73EEC"/>
    <w:rsid w:val="00F7414B"/>
    <w:rsid w:val="00F746E4"/>
    <w:rsid w:val="00F74805"/>
    <w:rsid w:val="00F74955"/>
    <w:rsid w:val="00F74AAD"/>
    <w:rsid w:val="00F74E5D"/>
    <w:rsid w:val="00F76E19"/>
    <w:rsid w:val="00F775AE"/>
    <w:rsid w:val="00F80CDB"/>
    <w:rsid w:val="00F81B39"/>
    <w:rsid w:val="00F827C9"/>
    <w:rsid w:val="00F8332D"/>
    <w:rsid w:val="00F83EC3"/>
    <w:rsid w:val="00F843B1"/>
    <w:rsid w:val="00F846FA"/>
    <w:rsid w:val="00F8531F"/>
    <w:rsid w:val="00F865A9"/>
    <w:rsid w:val="00F86DD6"/>
    <w:rsid w:val="00F90440"/>
    <w:rsid w:val="00F906B5"/>
    <w:rsid w:val="00F92425"/>
    <w:rsid w:val="00F92C33"/>
    <w:rsid w:val="00F952AA"/>
    <w:rsid w:val="00F9639A"/>
    <w:rsid w:val="00FA0B22"/>
    <w:rsid w:val="00FA16D1"/>
    <w:rsid w:val="00FA275B"/>
    <w:rsid w:val="00FA3FA0"/>
    <w:rsid w:val="00FA4D37"/>
    <w:rsid w:val="00FA5106"/>
    <w:rsid w:val="00FA5368"/>
    <w:rsid w:val="00FA5516"/>
    <w:rsid w:val="00FA5934"/>
    <w:rsid w:val="00FA61E8"/>
    <w:rsid w:val="00FA66A3"/>
    <w:rsid w:val="00FB19B4"/>
    <w:rsid w:val="00FB1D74"/>
    <w:rsid w:val="00FB2F6C"/>
    <w:rsid w:val="00FB3F72"/>
    <w:rsid w:val="00FB3FB8"/>
    <w:rsid w:val="00FB425C"/>
    <w:rsid w:val="00FB6DDA"/>
    <w:rsid w:val="00FB6E41"/>
    <w:rsid w:val="00FB6F60"/>
    <w:rsid w:val="00FB714F"/>
    <w:rsid w:val="00FB76C0"/>
    <w:rsid w:val="00FC02DF"/>
    <w:rsid w:val="00FC152D"/>
    <w:rsid w:val="00FC1CE5"/>
    <w:rsid w:val="00FC2090"/>
    <w:rsid w:val="00FC27C7"/>
    <w:rsid w:val="00FC3BD1"/>
    <w:rsid w:val="00FC3C65"/>
    <w:rsid w:val="00FC3CF1"/>
    <w:rsid w:val="00FC3E52"/>
    <w:rsid w:val="00FC4EC9"/>
    <w:rsid w:val="00FC76C1"/>
    <w:rsid w:val="00FD1B95"/>
    <w:rsid w:val="00FD1F76"/>
    <w:rsid w:val="00FD36FF"/>
    <w:rsid w:val="00FD384F"/>
    <w:rsid w:val="00FD3B8D"/>
    <w:rsid w:val="00FD403F"/>
    <w:rsid w:val="00FD4F09"/>
    <w:rsid w:val="00FD5B04"/>
    <w:rsid w:val="00FD65BC"/>
    <w:rsid w:val="00FE04A1"/>
    <w:rsid w:val="00FE0F4C"/>
    <w:rsid w:val="00FE150A"/>
    <w:rsid w:val="00FE1560"/>
    <w:rsid w:val="00FE1B4D"/>
    <w:rsid w:val="00FE1E40"/>
    <w:rsid w:val="00FE206E"/>
    <w:rsid w:val="00FE28BC"/>
    <w:rsid w:val="00FE40B4"/>
    <w:rsid w:val="00FE4128"/>
    <w:rsid w:val="00FE4185"/>
    <w:rsid w:val="00FE4929"/>
    <w:rsid w:val="00FE5D7C"/>
    <w:rsid w:val="00FE5DF4"/>
    <w:rsid w:val="00FE653A"/>
    <w:rsid w:val="00FF01D9"/>
    <w:rsid w:val="00FF1696"/>
    <w:rsid w:val="00FF1C43"/>
    <w:rsid w:val="00FF20DB"/>
    <w:rsid w:val="00FF3037"/>
    <w:rsid w:val="00FF356E"/>
    <w:rsid w:val="00FF3643"/>
    <w:rsid w:val="00FF3F2C"/>
    <w:rsid w:val="00FF51E6"/>
    <w:rsid w:val="00FF5910"/>
    <w:rsid w:val="00FF6077"/>
    <w:rsid w:val="00FF68FE"/>
    <w:rsid w:val="00FF719B"/>
    <w:rsid w:val="00FF77DD"/>
    <w:rsid w:val="00FF7886"/>
    <w:rsid w:val="00FF7D06"/>
    <w:rsid w:val="01073708"/>
    <w:rsid w:val="023B598C"/>
    <w:rsid w:val="027712F6"/>
    <w:rsid w:val="02BE28EA"/>
    <w:rsid w:val="037E5F99"/>
    <w:rsid w:val="041A1A5E"/>
    <w:rsid w:val="046F6038"/>
    <w:rsid w:val="049F2A22"/>
    <w:rsid w:val="04D8707C"/>
    <w:rsid w:val="05183391"/>
    <w:rsid w:val="063004B1"/>
    <w:rsid w:val="064556D9"/>
    <w:rsid w:val="076060D7"/>
    <w:rsid w:val="082D597A"/>
    <w:rsid w:val="089D328A"/>
    <w:rsid w:val="08CD783F"/>
    <w:rsid w:val="0A912788"/>
    <w:rsid w:val="0AE51C3F"/>
    <w:rsid w:val="0BE718B5"/>
    <w:rsid w:val="0BF64819"/>
    <w:rsid w:val="0C2C2FD7"/>
    <w:rsid w:val="0C493D85"/>
    <w:rsid w:val="0D713EAC"/>
    <w:rsid w:val="0E514237"/>
    <w:rsid w:val="0F6341D9"/>
    <w:rsid w:val="0FA07010"/>
    <w:rsid w:val="0FB57A70"/>
    <w:rsid w:val="0FDF29A7"/>
    <w:rsid w:val="10334050"/>
    <w:rsid w:val="103C6B83"/>
    <w:rsid w:val="10981D89"/>
    <w:rsid w:val="10A25E57"/>
    <w:rsid w:val="10A33864"/>
    <w:rsid w:val="10E80802"/>
    <w:rsid w:val="11255E23"/>
    <w:rsid w:val="137578F3"/>
    <w:rsid w:val="13ED5E2E"/>
    <w:rsid w:val="13F039E0"/>
    <w:rsid w:val="14406DAF"/>
    <w:rsid w:val="14723F31"/>
    <w:rsid w:val="148B5A80"/>
    <w:rsid w:val="14D34A1A"/>
    <w:rsid w:val="150E7492"/>
    <w:rsid w:val="17163EC9"/>
    <w:rsid w:val="17243787"/>
    <w:rsid w:val="17696CCE"/>
    <w:rsid w:val="176E3BD1"/>
    <w:rsid w:val="17A639A4"/>
    <w:rsid w:val="17C845C2"/>
    <w:rsid w:val="1865258F"/>
    <w:rsid w:val="18667B6B"/>
    <w:rsid w:val="193273F7"/>
    <w:rsid w:val="194E708C"/>
    <w:rsid w:val="199A64D2"/>
    <w:rsid w:val="1A27171F"/>
    <w:rsid w:val="1A7D751C"/>
    <w:rsid w:val="1AB317C2"/>
    <w:rsid w:val="1AB81FB8"/>
    <w:rsid w:val="1B515D15"/>
    <w:rsid w:val="1C8C6AAE"/>
    <w:rsid w:val="1CE83083"/>
    <w:rsid w:val="1DD8556E"/>
    <w:rsid w:val="1F3C2F1A"/>
    <w:rsid w:val="20151286"/>
    <w:rsid w:val="20520222"/>
    <w:rsid w:val="20A154C8"/>
    <w:rsid w:val="20C5069A"/>
    <w:rsid w:val="20E76FDB"/>
    <w:rsid w:val="21277B99"/>
    <w:rsid w:val="21396AC4"/>
    <w:rsid w:val="21583D26"/>
    <w:rsid w:val="22615153"/>
    <w:rsid w:val="227D2AEC"/>
    <w:rsid w:val="22B332AC"/>
    <w:rsid w:val="23B81781"/>
    <w:rsid w:val="23D56711"/>
    <w:rsid w:val="24412771"/>
    <w:rsid w:val="2454154B"/>
    <w:rsid w:val="24AF283E"/>
    <w:rsid w:val="24E9640D"/>
    <w:rsid w:val="254F47B1"/>
    <w:rsid w:val="25CF1D2A"/>
    <w:rsid w:val="25DB6F5B"/>
    <w:rsid w:val="25FD059B"/>
    <w:rsid w:val="27EB4071"/>
    <w:rsid w:val="288C7500"/>
    <w:rsid w:val="29292F9D"/>
    <w:rsid w:val="292E0E57"/>
    <w:rsid w:val="2960535C"/>
    <w:rsid w:val="2A915CAF"/>
    <w:rsid w:val="2ABC1C79"/>
    <w:rsid w:val="2B3C7869"/>
    <w:rsid w:val="2BB65282"/>
    <w:rsid w:val="2BDB76F0"/>
    <w:rsid w:val="2CAB06F7"/>
    <w:rsid w:val="2CB2461A"/>
    <w:rsid w:val="2CFF7329"/>
    <w:rsid w:val="2D5901CC"/>
    <w:rsid w:val="2E18066B"/>
    <w:rsid w:val="2E883279"/>
    <w:rsid w:val="2ED53968"/>
    <w:rsid w:val="2F6C7332"/>
    <w:rsid w:val="2FE119FD"/>
    <w:rsid w:val="2FED158A"/>
    <w:rsid w:val="2FF02C38"/>
    <w:rsid w:val="31CA7FC9"/>
    <w:rsid w:val="3200514A"/>
    <w:rsid w:val="32201373"/>
    <w:rsid w:val="326D024D"/>
    <w:rsid w:val="329F3B2D"/>
    <w:rsid w:val="32A349D2"/>
    <w:rsid w:val="33755E4D"/>
    <w:rsid w:val="33C35001"/>
    <w:rsid w:val="34BC6211"/>
    <w:rsid w:val="34C7441C"/>
    <w:rsid w:val="34D70879"/>
    <w:rsid w:val="352E709C"/>
    <w:rsid w:val="35990A5F"/>
    <w:rsid w:val="36637D74"/>
    <w:rsid w:val="37285275"/>
    <w:rsid w:val="374963A3"/>
    <w:rsid w:val="37753153"/>
    <w:rsid w:val="37D461D2"/>
    <w:rsid w:val="37D9303C"/>
    <w:rsid w:val="386B2890"/>
    <w:rsid w:val="3893418B"/>
    <w:rsid w:val="38CA6193"/>
    <w:rsid w:val="39073C89"/>
    <w:rsid w:val="39527EB1"/>
    <w:rsid w:val="397F7FF3"/>
    <w:rsid w:val="39D93570"/>
    <w:rsid w:val="39EC3B48"/>
    <w:rsid w:val="3A1B5848"/>
    <w:rsid w:val="3A2431A2"/>
    <w:rsid w:val="3B00741D"/>
    <w:rsid w:val="3B5A7AC0"/>
    <w:rsid w:val="3B60794B"/>
    <w:rsid w:val="3B87123A"/>
    <w:rsid w:val="3BA158B4"/>
    <w:rsid w:val="3C0859F0"/>
    <w:rsid w:val="3C314FA2"/>
    <w:rsid w:val="3C3B5A61"/>
    <w:rsid w:val="3C6C12BD"/>
    <w:rsid w:val="3CB20D21"/>
    <w:rsid w:val="3CB86734"/>
    <w:rsid w:val="3D4A2F0C"/>
    <w:rsid w:val="3EBB0617"/>
    <w:rsid w:val="3F6C4BC8"/>
    <w:rsid w:val="3FED6108"/>
    <w:rsid w:val="40EA4CC9"/>
    <w:rsid w:val="4196391B"/>
    <w:rsid w:val="419F694C"/>
    <w:rsid w:val="41B45B99"/>
    <w:rsid w:val="41EB15A4"/>
    <w:rsid w:val="41ED0C18"/>
    <w:rsid w:val="42567159"/>
    <w:rsid w:val="42B26396"/>
    <w:rsid w:val="4511589F"/>
    <w:rsid w:val="45A63F3D"/>
    <w:rsid w:val="463F34D2"/>
    <w:rsid w:val="471E46A1"/>
    <w:rsid w:val="473B6A5F"/>
    <w:rsid w:val="47FB224C"/>
    <w:rsid w:val="486461BA"/>
    <w:rsid w:val="48A82CFB"/>
    <w:rsid w:val="491819E1"/>
    <w:rsid w:val="49793ED6"/>
    <w:rsid w:val="49F13E03"/>
    <w:rsid w:val="4A396C7E"/>
    <w:rsid w:val="4AB260E1"/>
    <w:rsid w:val="4B3E07E5"/>
    <w:rsid w:val="4B89406B"/>
    <w:rsid w:val="4C552B28"/>
    <w:rsid w:val="4C8E29FF"/>
    <w:rsid w:val="4CBA4C0B"/>
    <w:rsid w:val="4DBC1B79"/>
    <w:rsid w:val="4F044AA6"/>
    <w:rsid w:val="4F294693"/>
    <w:rsid w:val="4FA32A7F"/>
    <w:rsid w:val="4FF23795"/>
    <w:rsid w:val="50E666AB"/>
    <w:rsid w:val="50F519B2"/>
    <w:rsid w:val="52EA2F88"/>
    <w:rsid w:val="52FC10B9"/>
    <w:rsid w:val="53763FC6"/>
    <w:rsid w:val="538F0A4B"/>
    <w:rsid w:val="53F77BF8"/>
    <w:rsid w:val="54021B4C"/>
    <w:rsid w:val="54A4160F"/>
    <w:rsid w:val="54A634E5"/>
    <w:rsid w:val="55104912"/>
    <w:rsid w:val="55657473"/>
    <w:rsid w:val="55A654BA"/>
    <w:rsid w:val="57322A53"/>
    <w:rsid w:val="573311F7"/>
    <w:rsid w:val="58172A91"/>
    <w:rsid w:val="5B702A18"/>
    <w:rsid w:val="5BB73D49"/>
    <w:rsid w:val="5C0D3935"/>
    <w:rsid w:val="5C93778F"/>
    <w:rsid w:val="5CF10A63"/>
    <w:rsid w:val="5DA959B8"/>
    <w:rsid w:val="5E593095"/>
    <w:rsid w:val="5E71687A"/>
    <w:rsid w:val="5EBA7E60"/>
    <w:rsid w:val="5F967F27"/>
    <w:rsid w:val="5F9D4898"/>
    <w:rsid w:val="60160CD1"/>
    <w:rsid w:val="609F5205"/>
    <w:rsid w:val="60D412FB"/>
    <w:rsid w:val="619063E3"/>
    <w:rsid w:val="62922CDA"/>
    <w:rsid w:val="631E735C"/>
    <w:rsid w:val="632418C1"/>
    <w:rsid w:val="640B44D5"/>
    <w:rsid w:val="64993D49"/>
    <w:rsid w:val="656F0692"/>
    <w:rsid w:val="66232324"/>
    <w:rsid w:val="67182166"/>
    <w:rsid w:val="67395FEC"/>
    <w:rsid w:val="67816FC2"/>
    <w:rsid w:val="67FC4F92"/>
    <w:rsid w:val="685F0183"/>
    <w:rsid w:val="68760DE4"/>
    <w:rsid w:val="687955C8"/>
    <w:rsid w:val="69AC444C"/>
    <w:rsid w:val="69F97775"/>
    <w:rsid w:val="6A2F0C96"/>
    <w:rsid w:val="6C6E0878"/>
    <w:rsid w:val="6D8F1AA4"/>
    <w:rsid w:val="6DA4614C"/>
    <w:rsid w:val="6DA60951"/>
    <w:rsid w:val="6DEC7429"/>
    <w:rsid w:val="6E4E33C4"/>
    <w:rsid w:val="6E9D60B9"/>
    <w:rsid w:val="6F3E71B1"/>
    <w:rsid w:val="6FF1767C"/>
    <w:rsid w:val="7023305A"/>
    <w:rsid w:val="70A11AB6"/>
    <w:rsid w:val="723A156C"/>
    <w:rsid w:val="731366D2"/>
    <w:rsid w:val="73AB17D1"/>
    <w:rsid w:val="73E12D0F"/>
    <w:rsid w:val="749E7BAA"/>
    <w:rsid w:val="7552421C"/>
    <w:rsid w:val="75BA20EE"/>
    <w:rsid w:val="75D746E6"/>
    <w:rsid w:val="771D7497"/>
    <w:rsid w:val="77B868FF"/>
    <w:rsid w:val="77D50277"/>
    <w:rsid w:val="78B22ECB"/>
    <w:rsid w:val="78CE7800"/>
    <w:rsid w:val="79C81D53"/>
    <w:rsid w:val="7A705052"/>
    <w:rsid w:val="7A8542ED"/>
    <w:rsid w:val="7AFB5EB5"/>
    <w:rsid w:val="7B244B48"/>
    <w:rsid w:val="7BC72E47"/>
    <w:rsid w:val="7D38581E"/>
    <w:rsid w:val="7E916B49"/>
    <w:rsid w:val="7F1245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qFormat="1" w:unhideWhenUsed="0" w:uiPriority="0" w:semiHidden="0" w:name="E-mail Signature"/>
    <w:lsdException w:qFormat="1" w:unhideWhenUsed="0" w:uiPriority="34"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140"/>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141"/>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link w:val="142"/>
    <w:qFormat/>
    <w:uiPriority w:val="0"/>
    <w:pPr>
      <w:keepNext/>
      <w:keepLines/>
      <w:spacing w:before="260" w:after="260" w:line="416" w:lineRule="auto"/>
      <w:outlineLvl w:val="2"/>
    </w:pPr>
    <w:rPr>
      <w:rFonts w:ascii="Times New Roman" w:hAnsi="Times New Roman"/>
      <w:b/>
      <w:bCs/>
      <w:sz w:val="32"/>
      <w:szCs w:val="32"/>
    </w:rPr>
  </w:style>
  <w:style w:type="paragraph" w:styleId="7">
    <w:name w:val="heading 4"/>
    <w:basedOn w:val="1"/>
    <w:next w:val="1"/>
    <w:link w:val="143"/>
    <w:qFormat/>
    <w:uiPriority w:val="9"/>
    <w:pPr>
      <w:keepNext/>
      <w:keepLines/>
      <w:spacing w:before="280" w:after="290" w:line="376" w:lineRule="auto"/>
      <w:outlineLvl w:val="3"/>
    </w:pPr>
    <w:rPr>
      <w:rFonts w:ascii="Cambria" w:hAnsi="Cambria"/>
      <w:b/>
      <w:bCs/>
      <w:sz w:val="28"/>
      <w:szCs w:val="28"/>
    </w:rPr>
  </w:style>
  <w:style w:type="paragraph" w:styleId="8">
    <w:name w:val="heading 5"/>
    <w:basedOn w:val="1"/>
    <w:next w:val="1"/>
    <w:link w:val="181"/>
    <w:qFormat/>
    <w:uiPriority w:val="0"/>
    <w:pPr>
      <w:keepNext/>
      <w:adjustRightInd w:val="0"/>
      <w:snapToGrid w:val="0"/>
      <w:spacing w:line="240" w:lineRule="atLeast"/>
      <w:ind w:firstLine="560" w:firstLineChars="200"/>
      <w:outlineLvl w:val="4"/>
    </w:pPr>
    <w:rPr>
      <w:rFonts w:ascii="Times New Roman" w:hAnsi="Times New Roman"/>
      <w:sz w:val="28"/>
      <w:szCs w:val="24"/>
    </w:rPr>
  </w:style>
  <w:style w:type="paragraph" w:styleId="9">
    <w:name w:val="heading 6"/>
    <w:basedOn w:val="1"/>
    <w:next w:val="1"/>
    <w:link w:val="182"/>
    <w:qFormat/>
    <w:uiPriority w:val="0"/>
    <w:pPr>
      <w:keepNext/>
      <w:keepLines/>
      <w:spacing w:before="240" w:after="64" w:line="320" w:lineRule="auto"/>
      <w:outlineLvl w:val="5"/>
    </w:pPr>
    <w:rPr>
      <w:rFonts w:ascii="Arial" w:hAnsi="Arial" w:eastAsia="黑体"/>
      <w:b/>
      <w:bCs/>
      <w:sz w:val="24"/>
      <w:szCs w:val="24"/>
    </w:rPr>
  </w:style>
  <w:style w:type="paragraph" w:styleId="10">
    <w:name w:val="heading 7"/>
    <w:basedOn w:val="1"/>
    <w:next w:val="1"/>
    <w:link w:val="183"/>
    <w:qFormat/>
    <w:uiPriority w:val="0"/>
    <w:pPr>
      <w:keepNext/>
      <w:adjustRightInd w:val="0"/>
      <w:snapToGrid w:val="0"/>
      <w:spacing w:line="240" w:lineRule="atLeast"/>
      <w:jc w:val="center"/>
      <w:outlineLvl w:val="6"/>
    </w:pPr>
    <w:rPr>
      <w:rFonts w:ascii="Times New Roman" w:hAnsi="Times New Roman"/>
      <w:sz w:val="28"/>
      <w:szCs w:val="24"/>
    </w:rPr>
  </w:style>
  <w:style w:type="paragraph" w:styleId="11">
    <w:name w:val="heading 8"/>
    <w:basedOn w:val="1"/>
    <w:next w:val="1"/>
    <w:link w:val="184"/>
    <w:qFormat/>
    <w:uiPriority w:val="0"/>
    <w:pPr>
      <w:keepNext/>
      <w:keepLines/>
      <w:spacing w:before="240" w:after="64" w:line="320" w:lineRule="auto"/>
      <w:outlineLvl w:val="7"/>
    </w:pPr>
    <w:rPr>
      <w:rFonts w:ascii="Arial" w:hAnsi="Arial" w:eastAsia="黑体"/>
      <w:sz w:val="24"/>
      <w:szCs w:val="24"/>
    </w:rPr>
  </w:style>
  <w:style w:type="paragraph" w:styleId="12">
    <w:name w:val="heading 9"/>
    <w:basedOn w:val="1"/>
    <w:next w:val="1"/>
    <w:link w:val="185"/>
    <w:qFormat/>
    <w:uiPriority w:val="0"/>
    <w:pPr>
      <w:keepNext/>
      <w:keepLines/>
      <w:spacing w:before="240" w:after="64" w:line="320" w:lineRule="auto"/>
      <w:outlineLvl w:val="8"/>
    </w:pPr>
    <w:rPr>
      <w:rFonts w:ascii="Arial" w:hAnsi="Arial" w:eastAsia="黑体"/>
      <w:szCs w:val="21"/>
    </w:rPr>
  </w:style>
  <w:style w:type="character" w:default="1" w:styleId="122">
    <w:name w:val="Default Paragraph Font"/>
    <w:semiHidden/>
    <w:unhideWhenUsed/>
    <w:qFormat/>
    <w:uiPriority w:val="1"/>
  </w:style>
  <w:style w:type="table" w:default="1" w:styleId="8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style>
  <w:style w:type="paragraph" w:styleId="3">
    <w:name w:val="macro"/>
    <w:link w:val="199"/>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kern w:val="2"/>
      <w:sz w:val="24"/>
      <w:szCs w:val="24"/>
      <w:lang w:val="en-US" w:eastAsia="zh-CN" w:bidi="ar-SA"/>
    </w:rPr>
  </w:style>
  <w:style w:type="paragraph" w:styleId="13">
    <w:name w:val="List 3"/>
    <w:basedOn w:val="1"/>
    <w:qFormat/>
    <w:uiPriority w:val="0"/>
    <w:pPr>
      <w:ind w:left="100" w:leftChars="400" w:hanging="200" w:hangingChars="200"/>
    </w:pPr>
    <w:rPr>
      <w:rFonts w:ascii="Times New Roman" w:hAnsi="Times New Roman"/>
      <w:szCs w:val="24"/>
    </w:rPr>
  </w:style>
  <w:style w:type="paragraph" w:styleId="14">
    <w:name w:val="List Number 2"/>
    <w:basedOn w:val="1"/>
    <w:qFormat/>
    <w:uiPriority w:val="0"/>
    <w:pPr>
      <w:tabs>
        <w:tab w:val="left" w:pos="780"/>
      </w:tabs>
      <w:ind w:left="780" w:leftChars="200" w:hanging="360" w:hangingChars="200"/>
    </w:pPr>
    <w:rPr>
      <w:rFonts w:ascii="Times New Roman" w:hAnsi="Times New Roman"/>
      <w:szCs w:val="24"/>
    </w:rPr>
  </w:style>
  <w:style w:type="paragraph" w:styleId="15">
    <w:name w:val="table of authorities"/>
    <w:basedOn w:val="1"/>
    <w:next w:val="1"/>
    <w:qFormat/>
    <w:uiPriority w:val="0"/>
    <w:pPr>
      <w:ind w:left="420" w:leftChars="200"/>
    </w:pPr>
    <w:rPr>
      <w:rFonts w:ascii="Times New Roman" w:hAnsi="Times New Roman"/>
      <w:szCs w:val="24"/>
    </w:rPr>
  </w:style>
  <w:style w:type="paragraph" w:styleId="16">
    <w:name w:val="Note Heading"/>
    <w:basedOn w:val="1"/>
    <w:next w:val="1"/>
    <w:link w:val="216"/>
    <w:qFormat/>
    <w:uiPriority w:val="0"/>
    <w:pPr>
      <w:jc w:val="center"/>
    </w:pPr>
    <w:rPr>
      <w:rFonts w:ascii="Times New Roman" w:hAnsi="Times New Roman"/>
      <w:szCs w:val="24"/>
    </w:rPr>
  </w:style>
  <w:style w:type="paragraph" w:styleId="17">
    <w:name w:val="List Bullet 4"/>
    <w:basedOn w:val="1"/>
    <w:qFormat/>
    <w:uiPriority w:val="0"/>
    <w:pPr>
      <w:tabs>
        <w:tab w:val="left" w:pos="720"/>
      </w:tabs>
      <w:ind w:left="720" w:hanging="720"/>
    </w:pPr>
    <w:rPr>
      <w:rFonts w:ascii="宋体" w:hAnsi="Times New Roman"/>
      <w:spacing w:val="5"/>
      <w:sz w:val="25"/>
      <w:szCs w:val="25"/>
    </w:rPr>
  </w:style>
  <w:style w:type="paragraph" w:styleId="18">
    <w:name w:val="index 8"/>
    <w:basedOn w:val="1"/>
    <w:next w:val="1"/>
    <w:qFormat/>
    <w:uiPriority w:val="0"/>
    <w:pPr>
      <w:ind w:left="1400" w:leftChars="1400"/>
    </w:pPr>
    <w:rPr>
      <w:rFonts w:ascii="Times New Roman" w:hAnsi="Times New Roman"/>
      <w:szCs w:val="24"/>
    </w:rPr>
  </w:style>
  <w:style w:type="paragraph" w:styleId="19">
    <w:name w:val="E-mail Signature"/>
    <w:basedOn w:val="1"/>
    <w:link w:val="198"/>
    <w:qFormat/>
    <w:uiPriority w:val="0"/>
    <w:rPr>
      <w:rFonts w:ascii="Times New Roman" w:hAnsi="Times New Roman"/>
      <w:szCs w:val="24"/>
    </w:rPr>
  </w:style>
  <w:style w:type="paragraph" w:styleId="20">
    <w:name w:val="List Number"/>
    <w:basedOn w:val="1"/>
    <w:qFormat/>
    <w:uiPriority w:val="0"/>
    <w:pPr>
      <w:tabs>
        <w:tab w:val="left" w:pos="360"/>
      </w:tabs>
      <w:ind w:left="360" w:hanging="360" w:hangingChars="200"/>
    </w:pPr>
    <w:rPr>
      <w:rFonts w:ascii="Times New Roman" w:hAnsi="Times New Roman"/>
      <w:szCs w:val="24"/>
    </w:rPr>
  </w:style>
  <w:style w:type="paragraph" w:styleId="21">
    <w:name w:val="Normal Indent"/>
    <w:basedOn w:val="1"/>
    <w:link w:val="158"/>
    <w:unhideWhenUsed/>
    <w:qFormat/>
    <w:uiPriority w:val="0"/>
    <w:pPr>
      <w:ind w:firstLine="420" w:firstLineChars="200"/>
    </w:pPr>
  </w:style>
  <w:style w:type="paragraph" w:styleId="22">
    <w:name w:val="caption"/>
    <w:basedOn w:val="1"/>
    <w:next w:val="1"/>
    <w:qFormat/>
    <w:uiPriority w:val="0"/>
    <w:pPr>
      <w:spacing w:before="152" w:after="160"/>
    </w:pPr>
    <w:rPr>
      <w:rFonts w:ascii="Arial" w:hAnsi="Arial" w:eastAsia="黑体" w:cs="Arial"/>
      <w:spacing w:val="5"/>
      <w:sz w:val="20"/>
      <w:szCs w:val="20"/>
    </w:rPr>
  </w:style>
  <w:style w:type="paragraph" w:styleId="23">
    <w:name w:val="index 5"/>
    <w:basedOn w:val="1"/>
    <w:next w:val="1"/>
    <w:qFormat/>
    <w:uiPriority w:val="0"/>
    <w:pPr>
      <w:ind w:left="800" w:leftChars="800"/>
    </w:pPr>
    <w:rPr>
      <w:rFonts w:ascii="Times New Roman" w:hAnsi="Times New Roman"/>
      <w:szCs w:val="24"/>
    </w:rPr>
  </w:style>
  <w:style w:type="paragraph" w:styleId="24">
    <w:name w:val="List Bullet"/>
    <w:basedOn w:val="1"/>
    <w:qFormat/>
    <w:uiPriority w:val="0"/>
    <w:pPr>
      <w:tabs>
        <w:tab w:val="left" w:pos="360"/>
      </w:tabs>
      <w:ind w:left="360" w:hanging="360" w:hangingChars="200"/>
    </w:pPr>
    <w:rPr>
      <w:rFonts w:ascii="Times New Roman" w:hAnsi="Times New Roman"/>
      <w:szCs w:val="24"/>
    </w:r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26">
    <w:name w:val="Document Map"/>
    <w:basedOn w:val="1"/>
    <w:link w:val="187"/>
    <w:semiHidden/>
    <w:qFormat/>
    <w:uiPriority w:val="99"/>
    <w:pPr>
      <w:shd w:val="clear" w:color="auto" w:fill="000080"/>
    </w:pPr>
  </w:style>
  <w:style w:type="paragraph" w:styleId="27">
    <w:name w:val="toa heading"/>
    <w:basedOn w:val="1"/>
    <w:next w:val="1"/>
    <w:qFormat/>
    <w:uiPriority w:val="0"/>
    <w:pPr>
      <w:spacing w:before="120"/>
    </w:pPr>
    <w:rPr>
      <w:rFonts w:ascii="Arial" w:hAnsi="Arial" w:cs="Arial"/>
      <w:sz w:val="24"/>
      <w:szCs w:val="24"/>
    </w:rPr>
  </w:style>
  <w:style w:type="paragraph" w:styleId="28">
    <w:name w:val="annotation text"/>
    <w:basedOn w:val="1"/>
    <w:link w:val="204"/>
    <w:qFormat/>
    <w:uiPriority w:val="0"/>
    <w:pPr>
      <w:jc w:val="left"/>
    </w:pPr>
    <w:rPr>
      <w:rFonts w:ascii="Times New Roman" w:hAnsi="Times New Roman" w:eastAsia="Times New Roman"/>
      <w:kern w:val="0"/>
      <w:sz w:val="20"/>
      <w:szCs w:val="24"/>
    </w:rPr>
  </w:style>
  <w:style w:type="paragraph" w:styleId="29">
    <w:name w:val="index 6"/>
    <w:basedOn w:val="1"/>
    <w:next w:val="1"/>
    <w:qFormat/>
    <w:uiPriority w:val="0"/>
    <w:pPr>
      <w:ind w:left="1000" w:leftChars="1000"/>
    </w:pPr>
    <w:rPr>
      <w:rFonts w:ascii="Times New Roman" w:hAnsi="Times New Roman"/>
      <w:szCs w:val="24"/>
    </w:rPr>
  </w:style>
  <w:style w:type="paragraph" w:styleId="30">
    <w:name w:val="Salutation"/>
    <w:basedOn w:val="1"/>
    <w:next w:val="1"/>
    <w:link w:val="180"/>
    <w:qFormat/>
    <w:uiPriority w:val="0"/>
    <w:rPr>
      <w:rFonts w:ascii="Times New Roman" w:hAnsi="Times New Roman"/>
      <w:szCs w:val="24"/>
    </w:rPr>
  </w:style>
  <w:style w:type="paragraph" w:styleId="31">
    <w:name w:val="Body Text 3"/>
    <w:basedOn w:val="1"/>
    <w:link w:val="190"/>
    <w:qFormat/>
    <w:uiPriority w:val="0"/>
    <w:rPr>
      <w:rFonts w:ascii="Times New Roman" w:hAnsi="Times New Roman"/>
      <w:sz w:val="28"/>
      <w:szCs w:val="24"/>
    </w:rPr>
  </w:style>
  <w:style w:type="paragraph" w:styleId="32">
    <w:name w:val="Closing"/>
    <w:basedOn w:val="1"/>
    <w:link w:val="203"/>
    <w:qFormat/>
    <w:uiPriority w:val="0"/>
    <w:pPr>
      <w:ind w:left="100" w:leftChars="2100"/>
    </w:pPr>
    <w:rPr>
      <w:rFonts w:ascii="Times New Roman" w:hAnsi="Times New Roman"/>
      <w:szCs w:val="24"/>
    </w:rPr>
  </w:style>
  <w:style w:type="paragraph" w:styleId="33">
    <w:name w:val="List Bullet 3"/>
    <w:basedOn w:val="1"/>
    <w:qFormat/>
    <w:uiPriority w:val="0"/>
    <w:pPr>
      <w:tabs>
        <w:tab w:val="left" w:pos="1200"/>
      </w:tabs>
      <w:ind w:left="1200" w:leftChars="400" w:hanging="360" w:hangingChars="200"/>
    </w:pPr>
    <w:rPr>
      <w:rFonts w:ascii="Times New Roman" w:hAnsi="Times New Roman"/>
      <w:szCs w:val="24"/>
    </w:rPr>
  </w:style>
  <w:style w:type="paragraph" w:styleId="34">
    <w:name w:val="Body Text"/>
    <w:basedOn w:val="1"/>
    <w:link w:val="149"/>
    <w:unhideWhenUsed/>
    <w:qFormat/>
    <w:uiPriority w:val="0"/>
    <w:pPr>
      <w:spacing w:after="120" w:line="480" w:lineRule="exact"/>
    </w:pPr>
    <w:rPr>
      <w:rFonts w:ascii="Times New Roman" w:hAnsi="Times New Roman"/>
      <w:sz w:val="24"/>
    </w:rPr>
  </w:style>
  <w:style w:type="paragraph" w:styleId="35">
    <w:name w:val="Body Text Indent"/>
    <w:basedOn w:val="1"/>
    <w:link w:val="159"/>
    <w:unhideWhenUsed/>
    <w:qFormat/>
    <w:uiPriority w:val="99"/>
    <w:pPr>
      <w:spacing w:after="120"/>
      <w:ind w:left="420" w:leftChars="200"/>
    </w:pPr>
  </w:style>
  <w:style w:type="paragraph" w:styleId="36">
    <w:name w:val="List Number 3"/>
    <w:basedOn w:val="1"/>
    <w:qFormat/>
    <w:uiPriority w:val="0"/>
    <w:pPr>
      <w:tabs>
        <w:tab w:val="left" w:pos="1200"/>
      </w:tabs>
      <w:ind w:left="1200" w:leftChars="400" w:hanging="360" w:hangingChars="200"/>
    </w:pPr>
    <w:rPr>
      <w:rFonts w:ascii="Times New Roman" w:hAnsi="Times New Roman"/>
      <w:szCs w:val="24"/>
    </w:rPr>
  </w:style>
  <w:style w:type="paragraph" w:styleId="37">
    <w:name w:val="List 2"/>
    <w:basedOn w:val="1"/>
    <w:qFormat/>
    <w:uiPriority w:val="0"/>
    <w:pPr>
      <w:spacing w:line="360" w:lineRule="exact"/>
      <w:jc w:val="center"/>
    </w:pPr>
    <w:rPr>
      <w:rFonts w:ascii="仿宋_GB2312" w:hAnsi="Times New Roman" w:eastAsia="仿宋_GB2312"/>
      <w:szCs w:val="20"/>
    </w:rPr>
  </w:style>
  <w:style w:type="paragraph" w:styleId="38">
    <w:name w:val="List Continue"/>
    <w:basedOn w:val="1"/>
    <w:qFormat/>
    <w:uiPriority w:val="0"/>
    <w:pPr>
      <w:spacing w:after="120"/>
      <w:ind w:left="420" w:leftChars="200"/>
    </w:pPr>
    <w:rPr>
      <w:rFonts w:ascii="Times New Roman" w:hAnsi="Times New Roman"/>
      <w:szCs w:val="24"/>
    </w:rPr>
  </w:style>
  <w:style w:type="paragraph" w:styleId="39">
    <w:name w:val="Block Text"/>
    <w:basedOn w:val="1"/>
    <w:qFormat/>
    <w:uiPriority w:val="0"/>
    <w:pPr>
      <w:spacing w:after="120"/>
      <w:ind w:left="1440" w:leftChars="700" w:right="1440" w:rightChars="700"/>
    </w:pPr>
    <w:rPr>
      <w:rFonts w:ascii="Times New Roman" w:hAnsi="Times New Roman"/>
      <w:szCs w:val="24"/>
    </w:rPr>
  </w:style>
  <w:style w:type="paragraph" w:styleId="40">
    <w:name w:val="List Bullet 2"/>
    <w:basedOn w:val="1"/>
    <w:qFormat/>
    <w:uiPriority w:val="0"/>
    <w:pPr>
      <w:tabs>
        <w:tab w:val="left" w:pos="480"/>
      </w:tabs>
      <w:ind w:left="480" w:hanging="480"/>
    </w:pPr>
    <w:rPr>
      <w:rFonts w:ascii="宋体" w:hAnsi="Times New Roman"/>
      <w:spacing w:val="5"/>
      <w:sz w:val="25"/>
      <w:szCs w:val="25"/>
    </w:rPr>
  </w:style>
  <w:style w:type="paragraph" w:styleId="41">
    <w:name w:val="HTML Address"/>
    <w:basedOn w:val="1"/>
    <w:link w:val="195"/>
    <w:qFormat/>
    <w:uiPriority w:val="0"/>
    <w:rPr>
      <w:rFonts w:ascii="Times New Roman" w:hAnsi="Times New Roman"/>
      <w:i/>
      <w:iCs/>
      <w:szCs w:val="24"/>
    </w:rPr>
  </w:style>
  <w:style w:type="paragraph" w:styleId="42">
    <w:name w:val="index 4"/>
    <w:basedOn w:val="1"/>
    <w:next w:val="1"/>
    <w:qFormat/>
    <w:uiPriority w:val="0"/>
    <w:pPr>
      <w:ind w:left="600" w:leftChars="600"/>
    </w:pPr>
    <w:rPr>
      <w:rFonts w:ascii="Times New Roman" w:hAnsi="Times New Roman"/>
      <w:szCs w:val="24"/>
    </w:rPr>
  </w:style>
  <w:style w:type="paragraph" w:styleId="43">
    <w:name w:val="Plain Text"/>
    <w:basedOn w:val="1"/>
    <w:link w:val="164"/>
    <w:qFormat/>
    <w:uiPriority w:val="0"/>
    <w:rPr>
      <w:rFonts w:ascii="宋体" w:hAnsi="Courier New" w:cs="Courier New"/>
      <w:szCs w:val="21"/>
    </w:rPr>
  </w:style>
  <w:style w:type="paragraph" w:styleId="44">
    <w:name w:val="List Bullet 5"/>
    <w:basedOn w:val="1"/>
    <w:qFormat/>
    <w:uiPriority w:val="0"/>
    <w:pPr>
      <w:tabs>
        <w:tab w:val="left" w:pos="2040"/>
      </w:tabs>
      <w:ind w:left="2040" w:leftChars="800" w:hanging="360" w:hangingChars="200"/>
    </w:pPr>
    <w:rPr>
      <w:rFonts w:ascii="Times New Roman" w:hAnsi="Times New Roman"/>
      <w:szCs w:val="24"/>
    </w:rPr>
  </w:style>
  <w:style w:type="paragraph" w:styleId="45">
    <w:name w:val="List Number 4"/>
    <w:basedOn w:val="1"/>
    <w:qFormat/>
    <w:uiPriority w:val="0"/>
    <w:pPr>
      <w:tabs>
        <w:tab w:val="left" w:pos="1620"/>
      </w:tabs>
      <w:ind w:left="1620" w:leftChars="600" w:hanging="360" w:hangingChars="200"/>
    </w:pPr>
    <w:rPr>
      <w:rFonts w:ascii="Times New Roman" w:hAnsi="Times New Roman"/>
      <w:szCs w:val="24"/>
    </w:rPr>
  </w:style>
  <w:style w:type="paragraph" w:styleId="46">
    <w:name w:val="index 3"/>
    <w:basedOn w:val="1"/>
    <w:next w:val="1"/>
    <w:qFormat/>
    <w:uiPriority w:val="0"/>
    <w:pPr>
      <w:ind w:left="400" w:leftChars="400"/>
    </w:pPr>
    <w:rPr>
      <w:rFonts w:ascii="Times New Roman" w:hAnsi="Times New Roman"/>
      <w:szCs w:val="24"/>
    </w:rPr>
  </w:style>
  <w:style w:type="paragraph" w:styleId="47">
    <w:name w:val="Date"/>
    <w:basedOn w:val="1"/>
    <w:next w:val="1"/>
    <w:link w:val="191"/>
    <w:qFormat/>
    <w:uiPriority w:val="99"/>
    <w:pPr>
      <w:ind w:left="100" w:leftChars="2500"/>
    </w:pPr>
    <w:rPr>
      <w:rFonts w:ascii="Times New Roman" w:hAnsi="Times New Roman"/>
      <w:szCs w:val="24"/>
    </w:rPr>
  </w:style>
  <w:style w:type="paragraph" w:styleId="48">
    <w:name w:val="Body Text Indent 2"/>
    <w:basedOn w:val="1"/>
    <w:link w:val="169"/>
    <w:unhideWhenUsed/>
    <w:qFormat/>
    <w:uiPriority w:val="0"/>
    <w:pPr>
      <w:adjustRightInd w:val="0"/>
      <w:snapToGrid w:val="0"/>
      <w:spacing w:after="120" w:line="480" w:lineRule="auto"/>
      <w:ind w:left="420" w:leftChars="200" w:firstLine="200" w:firstLineChars="200"/>
    </w:pPr>
    <w:rPr>
      <w:snapToGrid w:val="0"/>
      <w:kern w:val="0"/>
      <w:sz w:val="24"/>
      <w:szCs w:val="24"/>
    </w:rPr>
  </w:style>
  <w:style w:type="paragraph" w:styleId="49">
    <w:name w:val="endnote text"/>
    <w:basedOn w:val="1"/>
    <w:link w:val="208"/>
    <w:qFormat/>
    <w:uiPriority w:val="0"/>
    <w:pPr>
      <w:snapToGrid w:val="0"/>
      <w:jc w:val="left"/>
    </w:pPr>
    <w:rPr>
      <w:rFonts w:ascii="Times New Roman" w:hAnsi="Times New Roman" w:eastAsia="Times New Roman"/>
      <w:kern w:val="0"/>
      <w:sz w:val="20"/>
      <w:szCs w:val="24"/>
    </w:rPr>
  </w:style>
  <w:style w:type="paragraph" w:styleId="50">
    <w:name w:val="List Continue 5"/>
    <w:basedOn w:val="1"/>
    <w:qFormat/>
    <w:uiPriority w:val="0"/>
    <w:pPr>
      <w:spacing w:after="120"/>
      <w:ind w:left="2100" w:leftChars="1000"/>
    </w:pPr>
    <w:rPr>
      <w:rFonts w:ascii="Times New Roman" w:hAnsi="Times New Roman"/>
      <w:szCs w:val="24"/>
    </w:rPr>
  </w:style>
  <w:style w:type="paragraph" w:styleId="51">
    <w:name w:val="Balloon Text"/>
    <w:basedOn w:val="1"/>
    <w:link w:val="162"/>
    <w:unhideWhenUsed/>
    <w:qFormat/>
    <w:uiPriority w:val="99"/>
    <w:rPr>
      <w:sz w:val="18"/>
      <w:szCs w:val="18"/>
    </w:rPr>
  </w:style>
  <w:style w:type="paragraph" w:styleId="52">
    <w:name w:val="footer"/>
    <w:basedOn w:val="1"/>
    <w:link w:val="168"/>
    <w:qFormat/>
    <w:uiPriority w:val="0"/>
    <w:pPr>
      <w:tabs>
        <w:tab w:val="center" w:pos="4153"/>
        <w:tab w:val="right" w:pos="8306"/>
      </w:tabs>
      <w:snapToGrid w:val="0"/>
      <w:jc w:val="left"/>
    </w:pPr>
    <w:rPr>
      <w:sz w:val="18"/>
      <w:szCs w:val="18"/>
    </w:rPr>
  </w:style>
  <w:style w:type="paragraph" w:styleId="53">
    <w:name w:val="envelope return"/>
    <w:basedOn w:val="1"/>
    <w:qFormat/>
    <w:uiPriority w:val="0"/>
    <w:pPr>
      <w:snapToGrid w:val="0"/>
    </w:pPr>
    <w:rPr>
      <w:rFonts w:ascii="Arial" w:hAnsi="Arial" w:cs="Arial"/>
      <w:szCs w:val="24"/>
    </w:rPr>
  </w:style>
  <w:style w:type="paragraph" w:styleId="54">
    <w:name w:val="header"/>
    <w:basedOn w:val="1"/>
    <w:link w:val="172"/>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55">
    <w:name w:val="Signature"/>
    <w:basedOn w:val="1"/>
    <w:link w:val="206"/>
    <w:qFormat/>
    <w:uiPriority w:val="0"/>
    <w:pPr>
      <w:ind w:left="100" w:leftChars="2100"/>
    </w:pPr>
    <w:rPr>
      <w:rFonts w:ascii="Times New Roman" w:hAnsi="Times New Roman"/>
      <w:szCs w:val="24"/>
    </w:rPr>
  </w:style>
  <w:style w:type="paragraph" w:styleId="56">
    <w:name w:val="toc 1"/>
    <w:basedOn w:val="1"/>
    <w:next w:val="1"/>
    <w:unhideWhenUsed/>
    <w:qFormat/>
    <w:uiPriority w:val="39"/>
  </w:style>
  <w:style w:type="paragraph" w:styleId="57">
    <w:name w:val="List Continue 4"/>
    <w:basedOn w:val="1"/>
    <w:qFormat/>
    <w:uiPriority w:val="0"/>
    <w:pPr>
      <w:spacing w:after="120"/>
      <w:ind w:left="1680" w:leftChars="800"/>
    </w:pPr>
    <w:rPr>
      <w:rFonts w:ascii="Times New Roman" w:hAnsi="Times New Roman"/>
      <w:szCs w:val="24"/>
    </w:rPr>
  </w:style>
  <w:style w:type="paragraph" w:styleId="58">
    <w:name w:val="index heading"/>
    <w:basedOn w:val="1"/>
    <w:next w:val="59"/>
    <w:qFormat/>
    <w:uiPriority w:val="0"/>
    <w:rPr>
      <w:rFonts w:ascii="Times New Roman" w:hAnsi="Times New Roman"/>
      <w:szCs w:val="20"/>
    </w:rPr>
  </w:style>
  <w:style w:type="paragraph" w:styleId="59">
    <w:name w:val="index 1"/>
    <w:next w:val="1"/>
    <w:qFormat/>
    <w:uiPriority w:val="0"/>
    <w:pPr>
      <w:spacing w:line="260" w:lineRule="exact"/>
      <w:jc w:val="center"/>
    </w:pPr>
    <w:rPr>
      <w:rFonts w:ascii="Times New Roman" w:hAnsi="Times New Roman" w:eastAsia="宋体" w:cs="Times New Roman"/>
      <w:sz w:val="21"/>
      <w:lang w:val="en-US" w:eastAsia="zh-CN" w:bidi="ar-SA"/>
    </w:rPr>
  </w:style>
  <w:style w:type="paragraph" w:styleId="60">
    <w:name w:val="Subtitle"/>
    <w:basedOn w:val="1"/>
    <w:link w:val="207"/>
    <w:qFormat/>
    <w:uiPriority w:val="0"/>
    <w:pPr>
      <w:spacing w:before="240" w:after="60" w:line="312" w:lineRule="auto"/>
      <w:jc w:val="center"/>
      <w:outlineLvl w:val="1"/>
    </w:pPr>
    <w:rPr>
      <w:rFonts w:ascii="Arial" w:hAnsi="Arial" w:cs="Arial"/>
      <w:b/>
      <w:bCs/>
      <w:kern w:val="28"/>
      <w:sz w:val="32"/>
      <w:szCs w:val="32"/>
    </w:rPr>
  </w:style>
  <w:style w:type="paragraph" w:styleId="61">
    <w:name w:val="List Number 5"/>
    <w:basedOn w:val="1"/>
    <w:qFormat/>
    <w:uiPriority w:val="0"/>
    <w:pPr>
      <w:tabs>
        <w:tab w:val="left" w:pos="2040"/>
      </w:tabs>
      <w:ind w:left="2040" w:leftChars="800" w:hanging="360" w:hangingChars="200"/>
    </w:pPr>
    <w:rPr>
      <w:rFonts w:ascii="Times New Roman" w:hAnsi="Times New Roman"/>
      <w:szCs w:val="24"/>
    </w:rPr>
  </w:style>
  <w:style w:type="paragraph" w:styleId="62">
    <w:name w:val="List"/>
    <w:basedOn w:val="1"/>
    <w:qFormat/>
    <w:uiPriority w:val="0"/>
    <w:pPr>
      <w:ind w:left="200" w:hanging="200" w:hangingChars="200"/>
    </w:pPr>
  </w:style>
  <w:style w:type="paragraph" w:styleId="63">
    <w:name w:val="footnote text"/>
    <w:basedOn w:val="1"/>
    <w:link w:val="201"/>
    <w:qFormat/>
    <w:uiPriority w:val="0"/>
    <w:pPr>
      <w:snapToGrid w:val="0"/>
      <w:jc w:val="left"/>
    </w:pPr>
    <w:rPr>
      <w:rFonts w:ascii="Times New Roman" w:hAnsi="Times New Roman" w:eastAsia="Times New Roman"/>
      <w:kern w:val="0"/>
      <w:sz w:val="18"/>
      <w:szCs w:val="18"/>
    </w:rPr>
  </w:style>
  <w:style w:type="paragraph" w:styleId="64">
    <w:name w:val="List 5"/>
    <w:basedOn w:val="1"/>
    <w:qFormat/>
    <w:uiPriority w:val="0"/>
    <w:pPr>
      <w:ind w:left="100" w:leftChars="800" w:hanging="200" w:hangingChars="200"/>
    </w:pPr>
    <w:rPr>
      <w:rFonts w:ascii="Times New Roman" w:hAnsi="Times New Roman"/>
      <w:szCs w:val="24"/>
    </w:rPr>
  </w:style>
  <w:style w:type="paragraph" w:styleId="65">
    <w:name w:val="Body Text Indent 3"/>
    <w:basedOn w:val="1"/>
    <w:link w:val="165"/>
    <w:qFormat/>
    <w:uiPriority w:val="0"/>
    <w:pPr>
      <w:spacing w:line="360" w:lineRule="auto"/>
      <w:ind w:firstLine="480" w:firstLineChars="200"/>
    </w:pPr>
    <w:rPr>
      <w:rFonts w:ascii="Times New Roman" w:hAnsi="Times New Roman"/>
      <w:color w:val="0000FF"/>
      <w:sz w:val="24"/>
      <w:szCs w:val="24"/>
    </w:rPr>
  </w:style>
  <w:style w:type="paragraph" w:styleId="66">
    <w:name w:val="index 7"/>
    <w:basedOn w:val="1"/>
    <w:next w:val="1"/>
    <w:qFormat/>
    <w:uiPriority w:val="0"/>
    <w:pPr>
      <w:ind w:left="1200" w:leftChars="1200"/>
    </w:pPr>
    <w:rPr>
      <w:rFonts w:ascii="Times New Roman" w:hAnsi="Times New Roman"/>
      <w:szCs w:val="24"/>
    </w:rPr>
  </w:style>
  <w:style w:type="paragraph" w:styleId="67">
    <w:name w:val="index 9"/>
    <w:basedOn w:val="1"/>
    <w:next w:val="1"/>
    <w:qFormat/>
    <w:uiPriority w:val="0"/>
    <w:pPr>
      <w:ind w:left="1600" w:leftChars="1600"/>
    </w:pPr>
    <w:rPr>
      <w:rFonts w:ascii="Times New Roman" w:hAnsi="Times New Roman"/>
      <w:szCs w:val="24"/>
    </w:rPr>
  </w:style>
  <w:style w:type="paragraph" w:styleId="68">
    <w:name w:val="table of figures"/>
    <w:basedOn w:val="1"/>
    <w:next w:val="1"/>
    <w:qFormat/>
    <w:uiPriority w:val="0"/>
    <w:pPr>
      <w:ind w:left="420" w:hanging="420"/>
      <w:jc w:val="left"/>
    </w:pPr>
    <w:rPr>
      <w:rFonts w:ascii="Times New Roman" w:hAnsi="Times New Roman"/>
      <w:b/>
      <w:bCs/>
      <w:sz w:val="20"/>
      <w:szCs w:val="20"/>
    </w:rPr>
  </w:style>
  <w:style w:type="paragraph" w:styleId="69">
    <w:name w:val="toc 2"/>
    <w:basedOn w:val="1"/>
    <w:next w:val="1"/>
    <w:unhideWhenUsed/>
    <w:qFormat/>
    <w:uiPriority w:val="39"/>
    <w:pPr>
      <w:ind w:left="420" w:leftChars="200"/>
    </w:pPr>
  </w:style>
  <w:style w:type="paragraph" w:styleId="70">
    <w:name w:val="Body Text 2"/>
    <w:basedOn w:val="1"/>
    <w:link w:val="194"/>
    <w:qFormat/>
    <w:uiPriority w:val="0"/>
    <w:pPr>
      <w:spacing w:after="120" w:line="480" w:lineRule="auto"/>
    </w:pPr>
    <w:rPr>
      <w:rFonts w:ascii="Times New Roman" w:hAnsi="Times New Roman"/>
      <w:szCs w:val="24"/>
    </w:rPr>
  </w:style>
  <w:style w:type="paragraph" w:styleId="71">
    <w:name w:val="List 4"/>
    <w:basedOn w:val="1"/>
    <w:qFormat/>
    <w:uiPriority w:val="0"/>
    <w:pPr>
      <w:ind w:left="100" w:leftChars="600" w:hanging="200" w:hangingChars="200"/>
    </w:pPr>
    <w:rPr>
      <w:rFonts w:ascii="Times New Roman" w:hAnsi="Times New Roman"/>
      <w:szCs w:val="24"/>
    </w:rPr>
  </w:style>
  <w:style w:type="paragraph" w:styleId="72">
    <w:name w:val="List Continue 2"/>
    <w:basedOn w:val="1"/>
    <w:qFormat/>
    <w:uiPriority w:val="0"/>
    <w:pPr>
      <w:spacing w:after="120"/>
      <w:ind w:left="840" w:leftChars="400"/>
    </w:pPr>
    <w:rPr>
      <w:rFonts w:ascii="Times New Roman" w:hAnsi="Times New Roman"/>
      <w:szCs w:val="24"/>
    </w:rPr>
  </w:style>
  <w:style w:type="paragraph" w:styleId="73">
    <w:name w:val="Message Header"/>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74">
    <w:name w:val="HTML Preformatted"/>
    <w:basedOn w:val="1"/>
    <w:link w:val="1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75">
    <w:name w:val="Normal (Web)"/>
    <w:basedOn w:val="1"/>
    <w:qFormat/>
    <w:uiPriority w:val="34"/>
    <w:pPr>
      <w:widowControl/>
      <w:spacing w:before="100" w:beforeAutospacing="1" w:after="100" w:afterAutospacing="1"/>
      <w:jc w:val="left"/>
    </w:pPr>
    <w:rPr>
      <w:rFonts w:ascii="宋体" w:hAnsi="宋体" w:cs="宋体"/>
      <w:kern w:val="0"/>
      <w:sz w:val="24"/>
      <w:szCs w:val="24"/>
    </w:rPr>
  </w:style>
  <w:style w:type="paragraph" w:styleId="76">
    <w:name w:val="List Continue 3"/>
    <w:basedOn w:val="1"/>
    <w:qFormat/>
    <w:uiPriority w:val="0"/>
    <w:pPr>
      <w:spacing w:after="120"/>
      <w:ind w:left="1260" w:leftChars="600"/>
    </w:pPr>
    <w:rPr>
      <w:rFonts w:ascii="Times New Roman" w:hAnsi="Times New Roman"/>
      <w:szCs w:val="24"/>
    </w:rPr>
  </w:style>
  <w:style w:type="paragraph" w:styleId="77">
    <w:name w:val="index 2"/>
    <w:basedOn w:val="1"/>
    <w:next w:val="1"/>
    <w:qFormat/>
    <w:uiPriority w:val="0"/>
    <w:pPr>
      <w:ind w:left="200" w:leftChars="200"/>
    </w:pPr>
    <w:rPr>
      <w:rFonts w:ascii="Times New Roman" w:hAnsi="Times New Roman"/>
      <w:szCs w:val="24"/>
    </w:rPr>
  </w:style>
  <w:style w:type="paragraph" w:styleId="78">
    <w:name w:val="Title"/>
    <w:basedOn w:val="1"/>
    <w:link w:val="197"/>
    <w:qFormat/>
    <w:uiPriority w:val="0"/>
    <w:pPr>
      <w:spacing w:before="240" w:after="60"/>
      <w:jc w:val="center"/>
      <w:outlineLvl w:val="0"/>
    </w:pPr>
    <w:rPr>
      <w:rFonts w:ascii="Arial" w:hAnsi="Arial" w:cs="Arial"/>
      <w:b/>
      <w:bCs/>
      <w:sz w:val="32"/>
      <w:szCs w:val="32"/>
    </w:rPr>
  </w:style>
  <w:style w:type="paragraph" w:styleId="79">
    <w:name w:val="annotation subject"/>
    <w:basedOn w:val="28"/>
    <w:next w:val="28"/>
    <w:link w:val="218"/>
    <w:qFormat/>
    <w:uiPriority w:val="0"/>
    <w:rPr>
      <w:b/>
      <w:bCs/>
      <w:kern w:val="2"/>
      <w:sz w:val="21"/>
    </w:rPr>
  </w:style>
  <w:style w:type="table" w:styleId="81">
    <w:name w:val="Table Grid"/>
    <w:basedOn w:val="8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82">
    <w:name w:val="Table Theme"/>
    <w:basedOn w:val="80"/>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3">
    <w:name w:val="Table Colorful 1"/>
    <w:basedOn w:val="80"/>
    <w:qFormat/>
    <w:uiPriority w:val="0"/>
    <w:pPr>
      <w:widowControl w:val="0"/>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4">
    <w:name w:val="Table Colorful 2"/>
    <w:basedOn w:val="80"/>
    <w:qFormat/>
    <w:uiPriority w:val="0"/>
    <w:pPr>
      <w:widowControl w:val="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5">
    <w:name w:val="Table Colorful 3"/>
    <w:basedOn w:val="80"/>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6">
    <w:name w:val="Table Elegant"/>
    <w:basedOn w:val="80"/>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7">
    <w:name w:val="Table Classic 1"/>
    <w:basedOn w:val="80"/>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8">
    <w:name w:val="Table Classic 2"/>
    <w:basedOn w:val="80"/>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89">
    <w:name w:val="Table Classic 3"/>
    <w:basedOn w:val="80"/>
    <w:qFormat/>
    <w:uiPriority w:val="0"/>
    <w:pPr>
      <w:widowControl w:val="0"/>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0">
    <w:name w:val="Table Classic 4"/>
    <w:basedOn w:val="80"/>
    <w:qFormat/>
    <w:uiPriority w:val="0"/>
    <w:pPr>
      <w:widowControl w:val="0"/>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1">
    <w:name w:val="Table Simple 1"/>
    <w:basedOn w:val="80"/>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2">
    <w:name w:val="Table Simple 2"/>
    <w:basedOn w:val="80"/>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3">
    <w:name w:val="Table Simple 3"/>
    <w:basedOn w:val="80"/>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Subtle 1"/>
    <w:basedOn w:val="80"/>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5">
    <w:name w:val="Table Subtle 2"/>
    <w:basedOn w:val="80"/>
    <w:qFormat/>
    <w:uiPriority w:val="0"/>
    <w:pPr>
      <w:widowControl w:val="0"/>
      <w:jc w:val="both"/>
    </w:pPr>
    <w:rPr>
      <w:rFonts w:ascii="Times New Roman" w:hAnsi="Times New Roman"/>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List 1"/>
    <w:basedOn w:val="80"/>
    <w:qFormat/>
    <w:uiPriority w:val="0"/>
    <w:pPr>
      <w:widowControl w:val="0"/>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List 2"/>
    <w:basedOn w:val="80"/>
    <w:qFormat/>
    <w:uiPriority w:val="0"/>
    <w:pPr>
      <w:widowControl w:val="0"/>
      <w:jc w:val="both"/>
    </w:pPr>
    <w:rPr>
      <w:rFonts w:ascii="Times New Roman" w:hAnsi="Times New Roman"/>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List 3"/>
    <w:basedOn w:val="80"/>
    <w:qFormat/>
    <w:uiPriority w:val="0"/>
    <w:pPr>
      <w:widowControl w:val="0"/>
      <w:jc w:val="both"/>
    </w:pPr>
    <w:rPr>
      <w:rFonts w:ascii="Times New Roman" w:hAnsi="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99">
    <w:name w:val="Table List 4"/>
    <w:basedOn w:val="80"/>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0">
    <w:name w:val="Table List 5"/>
    <w:basedOn w:val="80"/>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1">
    <w:name w:val="Table List 6"/>
    <w:basedOn w:val="80"/>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2">
    <w:name w:val="Table List 7"/>
    <w:basedOn w:val="80"/>
    <w:qFormat/>
    <w:uiPriority w:val="0"/>
    <w:pPr>
      <w:widowControl w:val="0"/>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03">
    <w:name w:val="Table List 8"/>
    <w:basedOn w:val="80"/>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04">
    <w:name w:val="Table Contemporary"/>
    <w:basedOn w:val="80"/>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05">
    <w:name w:val="Table Columns 1"/>
    <w:basedOn w:val="80"/>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Columns 2"/>
    <w:basedOn w:val="80"/>
    <w:qFormat/>
    <w:uiPriority w:val="0"/>
    <w:pPr>
      <w:widowControl w:val="0"/>
      <w:jc w:val="both"/>
    </w:pPr>
    <w:rPr>
      <w:rFonts w:ascii="Times New Roman" w:hAnsi="Times New Roman"/>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Columns 3"/>
    <w:basedOn w:val="80"/>
    <w:qFormat/>
    <w:uiPriority w:val="0"/>
    <w:pPr>
      <w:widowControl w:val="0"/>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08">
    <w:name w:val="Table Columns 4"/>
    <w:basedOn w:val="80"/>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9">
    <w:name w:val="Table Columns 5"/>
    <w:basedOn w:val="80"/>
    <w:qFormat/>
    <w:uiPriority w:val="0"/>
    <w:pPr>
      <w:widowControl w:val="0"/>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0">
    <w:name w:val="Table Grid 1"/>
    <w:basedOn w:val="80"/>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1">
    <w:name w:val="Table Grid 2"/>
    <w:basedOn w:val="80"/>
    <w:qFormat/>
    <w:uiPriority w:val="0"/>
    <w:pPr>
      <w:widowControl w:val="0"/>
      <w:jc w:val="both"/>
    </w:pPr>
    <w:rPr>
      <w:rFonts w:ascii="Times New Roman" w:hAnsi="Times New Roman"/>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12">
    <w:name w:val="Table Grid 3"/>
    <w:basedOn w:val="80"/>
    <w:qFormat/>
    <w:uiPriority w:val="0"/>
    <w:pPr>
      <w:widowControl w:val="0"/>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Grid 4"/>
    <w:basedOn w:val="80"/>
    <w:qFormat/>
    <w:uiPriority w:val="0"/>
    <w:pPr>
      <w:widowControl w:val="0"/>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14">
    <w:name w:val="Table Grid 5"/>
    <w:basedOn w:val="80"/>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5">
    <w:name w:val="Table Grid 6"/>
    <w:basedOn w:val="80"/>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6">
    <w:name w:val="Table Grid 7"/>
    <w:basedOn w:val="80"/>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7">
    <w:name w:val="Table Grid 8"/>
    <w:basedOn w:val="80"/>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18">
    <w:name w:val="Table Web 1"/>
    <w:basedOn w:val="80"/>
    <w:qFormat/>
    <w:uiPriority w:val="0"/>
    <w:pPr>
      <w:widowControl w:val="0"/>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9">
    <w:name w:val="Table Web 2"/>
    <w:basedOn w:val="80"/>
    <w:qFormat/>
    <w:uiPriority w:val="0"/>
    <w:pPr>
      <w:widowControl w:val="0"/>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0">
    <w:name w:val="Table Web 3"/>
    <w:basedOn w:val="80"/>
    <w:qFormat/>
    <w:uiPriority w:val="0"/>
    <w:pPr>
      <w:widowControl w:val="0"/>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1">
    <w:name w:val="Table Professional"/>
    <w:basedOn w:val="80"/>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3">
    <w:name w:val="Strong"/>
    <w:qFormat/>
    <w:uiPriority w:val="0"/>
    <w:rPr>
      <w:b/>
      <w:bCs/>
    </w:rPr>
  </w:style>
  <w:style w:type="character" w:styleId="124">
    <w:name w:val="endnote reference"/>
    <w:qFormat/>
    <w:uiPriority w:val="0"/>
    <w:rPr>
      <w:vertAlign w:val="superscript"/>
    </w:rPr>
  </w:style>
  <w:style w:type="character" w:styleId="125">
    <w:name w:val="page number"/>
    <w:basedOn w:val="122"/>
    <w:qFormat/>
    <w:uiPriority w:val="0"/>
  </w:style>
  <w:style w:type="character" w:styleId="126">
    <w:name w:val="Emphasis"/>
    <w:qFormat/>
    <w:uiPriority w:val="0"/>
    <w:rPr>
      <w:i/>
      <w:iCs/>
    </w:rPr>
  </w:style>
  <w:style w:type="character" w:styleId="127">
    <w:name w:val="line number"/>
    <w:basedOn w:val="122"/>
    <w:qFormat/>
    <w:uiPriority w:val="0"/>
  </w:style>
  <w:style w:type="character" w:styleId="128">
    <w:name w:val="HTML Definition"/>
    <w:qFormat/>
    <w:uiPriority w:val="0"/>
    <w:rPr>
      <w:i/>
      <w:iCs/>
    </w:rPr>
  </w:style>
  <w:style w:type="character" w:styleId="129">
    <w:name w:val="HTML Typewriter"/>
    <w:qFormat/>
    <w:uiPriority w:val="0"/>
    <w:rPr>
      <w:rFonts w:ascii="Courier New" w:hAnsi="Courier New" w:cs="Courier New"/>
      <w:sz w:val="20"/>
      <w:szCs w:val="20"/>
    </w:rPr>
  </w:style>
  <w:style w:type="character" w:styleId="130">
    <w:name w:val="HTML Acronym"/>
    <w:basedOn w:val="122"/>
    <w:qFormat/>
    <w:uiPriority w:val="0"/>
  </w:style>
  <w:style w:type="character" w:styleId="131">
    <w:name w:val="HTML Variable"/>
    <w:qFormat/>
    <w:uiPriority w:val="0"/>
    <w:rPr>
      <w:i/>
      <w:iCs/>
    </w:rPr>
  </w:style>
  <w:style w:type="character" w:styleId="132">
    <w:name w:val="Hyperlink"/>
    <w:unhideWhenUsed/>
    <w:qFormat/>
    <w:uiPriority w:val="99"/>
    <w:rPr>
      <w:color w:val="0000FF"/>
      <w:u w:val="single"/>
    </w:rPr>
  </w:style>
  <w:style w:type="character" w:styleId="133">
    <w:name w:val="HTML Code"/>
    <w:qFormat/>
    <w:uiPriority w:val="0"/>
    <w:rPr>
      <w:rFonts w:ascii="Courier New" w:hAnsi="Courier New" w:cs="Courier New"/>
      <w:sz w:val="20"/>
      <w:szCs w:val="20"/>
    </w:rPr>
  </w:style>
  <w:style w:type="character" w:styleId="134">
    <w:name w:val="annotation reference"/>
    <w:qFormat/>
    <w:uiPriority w:val="0"/>
    <w:rPr>
      <w:sz w:val="21"/>
      <w:szCs w:val="21"/>
    </w:rPr>
  </w:style>
  <w:style w:type="character" w:styleId="135">
    <w:name w:val="HTML Cite"/>
    <w:qFormat/>
    <w:uiPriority w:val="0"/>
    <w:rPr>
      <w:i/>
      <w:iCs/>
    </w:rPr>
  </w:style>
  <w:style w:type="character" w:styleId="136">
    <w:name w:val="footnote reference"/>
    <w:qFormat/>
    <w:uiPriority w:val="0"/>
    <w:rPr>
      <w:vertAlign w:val="superscript"/>
    </w:rPr>
  </w:style>
  <w:style w:type="character" w:styleId="137">
    <w:name w:val="HTML Keyboard"/>
    <w:qFormat/>
    <w:uiPriority w:val="0"/>
    <w:rPr>
      <w:rFonts w:ascii="Courier New" w:hAnsi="Courier New" w:cs="Courier New"/>
      <w:sz w:val="20"/>
      <w:szCs w:val="20"/>
    </w:rPr>
  </w:style>
  <w:style w:type="character" w:styleId="138">
    <w:name w:val="HTML Sample"/>
    <w:qFormat/>
    <w:uiPriority w:val="0"/>
    <w:rPr>
      <w:rFonts w:ascii="Courier New" w:hAnsi="Courier New" w:cs="Courier New"/>
    </w:rPr>
  </w:style>
  <w:style w:type="character" w:customStyle="1" w:styleId="139">
    <w:name w:val="已访问的超链接1"/>
    <w:qFormat/>
    <w:uiPriority w:val="99"/>
    <w:rPr>
      <w:color w:val="800080"/>
      <w:u w:val="single"/>
    </w:rPr>
  </w:style>
  <w:style w:type="character" w:customStyle="1" w:styleId="140">
    <w:name w:val="标题 1 Char"/>
    <w:link w:val="4"/>
    <w:qFormat/>
    <w:uiPriority w:val="9"/>
    <w:rPr>
      <w:b/>
      <w:bCs/>
      <w:kern w:val="44"/>
      <w:sz w:val="44"/>
      <w:szCs w:val="44"/>
    </w:rPr>
  </w:style>
  <w:style w:type="character" w:customStyle="1" w:styleId="141">
    <w:name w:val="标题 2 Char"/>
    <w:link w:val="5"/>
    <w:semiHidden/>
    <w:qFormat/>
    <w:uiPriority w:val="9"/>
    <w:rPr>
      <w:rFonts w:ascii="Cambria" w:hAnsi="Cambria" w:eastAsia="宋体" w:cs="Times New Roman"/>
      <w:b/>
      <w:bCs/>
      <w:sz w:val="32"/>
      <w:szCs w:val="32"/>
    </w:rPr>
  </w:style>
  <w:style w:type="character" w:customStyle="1" w:styleId="142">
    <w:name w:val="标题 3 Char"/>
    <w:link w:val="6"/>
    <w:qFormat/>
    <w:uiPriority w:val="0"/>
    <w:rPr>
      <w:rFonts w:eastAsia="宋体"/>
      <w:b/>
      <w:bCs/>
      <w:kern w:val="2"/>
      <w:sz w:val="32"/>
      <w:szCs w:val="32"/>
      <w:lang w:val="en-US" w:eastAsia="zh-CN" w:bidi="ar-SA"/>
    </w:rPr>
  </w:style>
  <w:style w:type="character" w:customStyle="1" w:styleId="143">
    <w:name w:val="标题 4 Char"/>
    <w:link w:val="7"/>
    <w:semiHidden/>
    <w:qFormat/>
    <w:uiPriority w:val="9"/>
    <w:rPr>
      <w:rFonts w:ascii="Cambria" w:hAnsi="Cambria" w:eastAsia="宋体" w:cs="Times New Roman"/>
      <w:b/>
      <w:bCs/>
      <w:kern w:val="2"/>
      <w:sz w:val="28"/>
      <w:szCs w:val="28"/>
    </w:rPr>
  </w:style>
  <w:style w:type="character" w:customStyle="1" w:styleId="144">
    <w:name w:val="Char Char2"/>
    <w:qFormat/>
    <w:uiPriority w:val="0"/>
    <w:rPr>
      <w:rFonts w:ascii="Cambria" w:hAnsi="Cambria" w:eastAsia="宋体" w:cs="Times New Roman"/>
      <w:b/>
      <w:bCs/>
      <w:sz w:val="32"/>
      <w:szCs w:val="32"/>
    </w:rPr>
  </w:style>
  <w:style w:type="character" w:customStyle="1" w:styleId="145">
    <w:name w:val="正文2 Char"/>
    <w:link w:val="146"/>
    <w:qFormat/>
    <w:uiPriority w:val="0"/>
    <w:rPr>
      <w:rFonts w:ascii="Times New Roman" w:hAnsi="Times New Roman"/>
      <w:spacing w:val="18"/>
      <w:sz w:val="32"/>
      <w:lang w:val="en-US" w:eastAsia="zh-CN" w:bidi="ar-SA"/>
    </w:rPr>
  </w:style>
  <w:style w:type="paragraph" w:customStyle="1" w:styleId="146">
    <w:name w:val="正文2"/>
    <w:link w:val="145"/>
    <w:qFormat/>
    <w:uiPriority w:val="0"/>
    <w:pPr>
      <w:widowControl w:val="0"/>
      <w:suppressAutoHyphens/>
      <w:spacing w:line="520" w:lineRule="atLeast"/>
      <w:ind w:firstLine="200"/>
      <w:jc w:val="both"/>
    </w:pPr>
    <w:rPr>
      <w:rFonts w:ascii="Times New Roman" w:hAnsi="Times New Roman" w:eastAsia="宋体" w:cs="Times New Roman"/>
      <w:spacing w:val="18"/>
      <w:sz w:val="32"/>
      <w:lang w:val="en-US" w:eastAsia="zh-CN" w:bidi="ar-SA"/>
    </w:rPr>
  </w:style>
  <w:style w:type="character" w:customStyle="1" w:styleId="147">
    <w:name w:val="样式 五号 居中 行距: 单倍行距 Char"/>
    <w:link w:val="148"/>
    <w:qFormat/>
    <w:uiPriority w:val="0"/>
    <w:rPr>
      <w:rFonts w:ascii="宋体" w:hAnsi="宋体" w:eastAsia="宋体" w:cs="宋体"/>
      <w:kern w:val="2"/>
      <w:sz w:val="24"/>
      <w:lang w:val="en-US" w:eastAsia="zh-CN" w:bidi="ar-SA"/>
    </w:rPr>
  </w:style>
  <w:style w:type="paragraph" w:customStyle="1" w:styleId="148">
    <w:name w:val="样式 五号 居中 行距: 单倍行距"/>
    <w:basedOn w:val="1"/>
    <w:link w:val="147"/>
    <w:qFormat/>
    <w:uiPriority w:val="0"/>
    <w:pPr>
      <w:adjustRightInd w:val="0"/>
      <w:snapToGrid w:val="0"/>
      <w:spacing w:line="480" w:lineRule="exact"/>
      <w:ind w:firstLine="200" w:firstLineChars="200"/>
      <w:jc w:val="center"/>
    </w:pPr>
    <w:rPr>
      <w:rFonts w:ascii="宋体" w:hAnsi="宋体" w:cs="宋体"/>
      <w:sz w:val="24"/>
      <w:szCs w:val="20"/>
    </w:rPr>
  </w:style>
  <w:style w:type="character" w:customStyle="1" w:styleId="149">
    <w:name w:val="正文文本 Char"/>
    <w:link w:val="34"/>
    <w:qFormat/>
    <w:uiPriority w:val="0"/>
    <w:rPr>
      <w:rFonts w:eastAsia="宋体"/>
      <w:kern w:val="2"/>
      <w:sz w:val="24"/>
      <w:szCs w:val="22"/>
      <w:lang w:val="en-US" w:eastAsia="zh-CN" w:bidi="ar-SA"/>
    </w:rPr>
  </w:style>
  <w:style w:type="character" w:customStyle="1" w:styleId="150">
    <w:name w:val="正文样式 Char"/>
    <w:link w:val="151"/>
    <w:qFormat/>
    <w:uiPriority w:val="0"/>
    <w:rPr>
      <w:rFonts w:ascii="Times New Roman" w:hAnsi="Times New Roman"/>
      <w:sz w:val="24"/>
      <w:szCs w:val="24"/>
      <w:lang w:val="en-US" w:eastAsia="zh-CN" w:bidi="ar-SA"/>
    </w:rPr>
  </w:style>
  <w:style w:type="paragraph" w:customStyle="1" w:styleId="151">
    <w:name w:val="正文样式"/>
    <w:link w:val="150"/>
    <w:qFormat/>
    <w:uiPriority w:val="0"/>
    <w:pPr>
      <w:tabs>
        <w:tab w:val="left" w:pos="630"/>
        <w:tab w:val="left" w:pos="1260"/>
      </w:tabs>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character" w:customStyle="1" w:styleId="152">
    <w:name w:val="样式 首行缩进:  2 字符 Char"/>
    <w:link w:val="153"/>
    <w:qFormat/>
    <w:uiPriority w:val="0"/>
    <w:rPr>
      <w:rFonts w:eastAsia="宋体" w:cs="宋体"/>
      <w:sz w:val="24"/>
      <w:lang w:val="en-US" w:eastAsia="zh-CN" w:bidi="ar-SA"/>
    </w:rPr>
  </w:style>
  <w:style w:type="paragraph" w:customStyle="1" w:styleId="153">
    <w:name w:val="样式 首行缩进:  2 字符"/>
    <w:basedOn w:val="1"/>
    <w:link w:val="152"/>
    <w:qFormat/>
    <w:uiPriority w:val="0"/>
    <w:pPr>
      <w:adjustRightInd w:val="0"/>
      <w:snapToGrid w:val="0"/>
      <w:spacing w:line="360" w:lineRule="auto"/>
      <w:ind w:firstLine="480" w:firstLineChars="200"/>
    </w:pPr>
    <w:rPr>
      <w:rFonts w:ascii="Times New Roman" w:hAnsi="Times New Roman" w:cs="宋体"/>
      <w:kern w:val="0"/>
      <w:sz w:val="24"/>
      <w:szCs w:val="20"/>
    </w:rPr>
  </w:style>
  <w:style w:type="character" w:customStyle="1" w:styleId="154">
    <w:name w:val="1正文1 Char"/>
    <w:link w:val="155"/>
    <w:qFormat/>
    <w:uiPriority w:val="0"/>
    <w:rPr>
      <w:rFonts w:eastAsia="宋体"/>
      <w:kern w:val="2"/>
      <w:sz w:val="28"/>
      <w:szCs w:val="24"/>
      <w:lang w:val="en-US" w:eastAsia="zh-CN" w:bidi="ar-SA"/>
    </w:rPr>
  </w:style>
  <w:style w:type="paragraph" w:customStyle="1" w:styleId="155">
    <w:name w:val="1正文1"/>
    <w:basedOn w:val="1"/>
    <w:link w:val="154"/>
    <w:qFormat/>
    <w:uiPriority w:val="0"/>
    <w:pPr>
      <w:tabs>
        <w:tab w:val="left" w:pos="5430"/>
      </w:tabs>
      <w:adjustRightInd w:val="0"/>
      <w:snapToGrid w:val="0"/>
      <w:spacing w:line="360" w:lineRule="auto"/>
      <w:ind w:firstLine="200" w:firstLineChars="200"/>
    </w:pPr>
    <w:rPr>
      <w:rFonts w:ascii="Times New Roman" w:hAnsi="Times New Roman"/>
      <w:sz w:val="28"/>
      <w:szCs w:val="24"/>
    </w:rPr>
  </w:style>
  <w:style w:type="character" w:customStyle="1" w:styleId="156">
    <w:name w:val="表头及表尾 Char"/>
    <w:link w:val="157"/>
    <w:qFormat/>
    <w:uiPriority w:val="0"/>
    <w:rPr>
      <w:rFonts w:ascii="Times New Roman" w:hAnsi="Times New Roman"/>
      <w:b/>
      <w:snapToGrid w:val="0"/>
      <w:sz w:val="21"/>
      <w:szCs w:val="21"/>
      <w:lang w:val="en-US" w:eastAsia="zh-CN" w:bidi="ar-SA"/>
    </w:rPr>
  </w:style>
  <w:style w:type="paragraph" w:customStyle="1" w:styleId="157">
    <w:name w:val="表头及表尾"/>
    <w:link w:val="156"/>
    <w:qFormat/>
    <w:uiPriority w:val="0"/>
    <w:pPr>
      <w:tabs>
        <w:tab w:val="center" w:pos="4200"/>
        <w:tab w:val="right" w:pos="8400"/>
      </w:tabs>
      <w:adjustRightInd w:val="0"/>
      <w:snapToGrid w:val="0"/>
    </w:pPr>
    <w:rPr>
      <w:rFonts w:ascii="Times New Roman" w:hAnsi="Times New Roman" w:eastAsia="宋体" w:cs="Times New Roman"/>
      <w:b/>
      <w:snapToGrid w:val="0"/>
      <w:sz w:val="21"/>
      <w:szCs w:val="21"/>
      <w:lang w:val="en-US" w:eastAsia="zh-CN" w:bidi="ar-SA"/>
    </w:rPr>
  </w:style>
  <w:style w:type="character" w:customStyle="1" w:styleId="158">
    <w:name w:val="正文缩进 Char"/>
    <w:link w:val="21"/>
    <w:qFormat/>
    <w:uiPriority w:val="0"/>
    <w:rPr>
      <w:kern w:val="2"/>
      <w:sz w:val="21"/>
      <w:szCs w:val="22"/>
    </w:rPr>
  </w:style>
  <w:style w:type="character" w:customStyle="1" w:styleId="159">
    <w:name w:val="正文文本缩进 Char1"/>
    <w:link w:val="35"/>
    <w:semiHidden/>
    <w:qFormat/>
    <w:uiPriority w:val="99"/>
    <w:rPr>
      <w:kern w:val="2"/>
      <w:sz w:val="21"/>
      <w:szCs w:val="22"/>
    </w:rPr>
  </w:style>
  <w:style w:type="character" w:customStyle="1" w:styleId="160">
    <w:name w:val="style11"/>
    <w:qFormat/>
    <w:uiPriority w:val="0"/>
    <w:rPr>
      <w:sz w:val="18"/>
      <w:szCs w:val="18"/>
    </w:rPr>
  </w:style>
  <w:style w:type="character" w:styleId="161">
    <w:name w:val="Placeholder Text"/>
    <w:semiHidden/>
    <w:qFormat/>
    <w:uiPriority w:val="99"/>
    <w:rPr>
      <w:color w:val="808080"/>
    </w:rPr>
  </w:style>
  <w:style w:type="character" w:customStyle="1" w:styleId="162">
    <w:name w:val="批注框文本 Char"/>
    <w:link w:val="51"/>
    <w:semiHidden/>
    <w:qFormat/>
    <w:uiPriority w:val="99"/>
    <w:rPr>
      <w:kern w:val="2"/>
      <w:sz w:val="18"/>
      <w:szCs w:val="18"/>
    </w:rPr>
  </w:style>
  <w:style w:type="character" w:customStyle="1" w:styleId="163">
    <w:name w:val="纯文本 Char"/>
    <w:qFormat/>
    <w:uiPriority w:val="0"/>
    <w:rPr>
      <w:rFonts w:ascii="宋体" w:hAnsi="Courier New" w:cs="Courier New"/>
      <w:kern w:val="2"/>
      <w:sz w:val="21"/>
      <w:szCs w:val="21"/>
    </w:rPr>
  </w:style>
  <w:style w:type="character" w:customStyle="1" w:styleId="164">
    <w:name w:val="纯文本 Char1"/>
    <w:link w:val="43"/>
    <w:qFormat/>
    <w:uiPriority w:val="0"/>
    <w:rPr>
      <w:rFonts w:ascii="宋体" w:hAnsi="Courier New" w:cs="Courier New"/>
      <w:kern w:val="2"/>
      <w:sz w:val="21"/>
      <w:szCs w:val="21"/>
    </w:rPr>
  </w:style>
  <w:style w:type="character" w:customStyle="1" w:styleId="165">
    <w:name w:val="正文文本缩进 3 Char"/>
    <w:link w:val="65"/>
    <w:qFormat/>
    <w:uiPriority w:val="0"/>
    <w:rPr>
      <w:rFonts w:eastAsia="宋体"/>
      <w:color w:val="0000FF"/>
      <w:kern w:val="2"/>
      <w:sz w:val="24"/>
      <w:szCs w:val="24"/>
      <w:lang w:val="en-US" w:eastAsia="zh-CN" w:bidi="ar-SA"/>
    </w:rPr>
  </w:style>
  <w:style w:type="character" w:customStyle="1" w:styleId="166">
    <w:name w:val="标题 2 Char Char Char Char Char Char"/>
    <w:qFormat/>
    <w:uiPriority w:val="0"/>
    <w:rPr>
      <w:rFonts w:ascii="Arial" w:hAnsi="Arial" w:eastAsia="黑体"/>
      <w:b/>
      <w:bCs/>
      <w:kern w:val="2"/>
      <w:sz w:val="32"/>
      <w:szCs w:val="32"/>
      <w:lang w:val="en-US" w:eastAsia="zh-CN" w:bidi="ar-SA"/>
    </w:rPr>
  </w:style>
  <w:style w:type="character" w:customStyle="1" w:styleId="167">
    <w:name w:val="节 Char"/>
    <w:semiHidden/>
    <w:qFormat/>
    <w:uiPriority w:val="0"/>
    <w:rPr>
      <w:rFonts w:ascii="Arial" w:hAnsi="Arial" w:eastAsia="黑体"/>
      <w:b/>
      <w:bCs/>
      <w:kern w:val="2"/>
      <w:sz w:val="32"/>
      <w:szCs w:val="32"/>
      <w:lang w:val="en-US" w:eastAsia="zh-CN" w:bidi="ar-SA"/>
    </w:rPr>
  </w:style>
  <w:style w:type="character" w:customStyle="1" w:styleId="168">
    <w:name w:val="页脚 Char"/>
    <w:link w:val="52"/>
    <w:qFormat/>
    <w:uiPriority w:val="0"/>
    <w:rPr>
      <w:rFonts w:ascii="Calibri" w:hAnsi="Calibri" w:eastAsia="宋体"/>
      <w:kern w:val="2"/>
      <w:sz w:val="18"/>
      <w:szCs w:val="18"/>
      <w:lang w:val="en-US" w:eastAsia="zh-CN" w:bidi="ar-SA"/>
    </w:rPr>
  </w:style>
  <w:style w:type="character" w:customStyle="1" w:styleId="169">
    <w:name w:val="正文文本缩进 2 Char"/>
    <w:link w:val="48"/>
    <w:qFormat/>
    <w:uiPriority w:val="0"/>
    <w:rPr>
      <w:rFonts w:ascii="Calibri" w:hAnsi="Calibri" w:eastAsia="宋体"/>
      <w:snapToGrid w:val="0"/>
      <w:sz w:val="24"/>
      <w:szCs w:val="24"/>
      <w:lang w:val="en-US" w:eastAsia="zh-CN" w:bidi="ar-SA"/>
    </w:rPr>
  </w:style>
  <w:style w:type="character" w:customStyle="1" w:styleId="170">
    <w:name w:val="表标题 Char"/>
    <w:link w:val="171"/>
    <w:qFormat/>
    <w:uiPriority w:val="0"/>
    <w:rPr>
      <w:rFonts w:ascii="仿宋_GB2312" w:eastAsia="仿宋_GB2312"/>
      <w:b/>
      <w:kern w:val="2"/>
      <w:sz w:val="24"/>
      <w:lang w:val="en-US" w:eastAsia="zh-CN" w:bidi="ar-SA"/>
    </w:rPr>
  </w:style>
  <w:style w:type="paragraph" w:customStyle="1" w:styleId="171">
    <w:name w:val="表标题"/>
    <w:basedOn w:val="1"/>
    <w:link w:val="170"/>
    <w:qFormat/>
    <w:uiPriority w:val="0"/>
    <w:pPr>
      <w:spacing w:line="500" w:lineRule="exact"/>
      <w:jc w:val="center"/>
    </w:pPr>
    <w:rPr>
      <w:rFonts w:ascii="仿宋_GB2312" w:hAnsi="Times New Roman" w:eastAsia="仿宋_GB2312"/>
      <w:b/>
      <w:sz w:val="24"/>
      <w:szCs w:val="20"/>
    </w:rPr>
  </w:style>
  <w:style w:type="character" w:customStyle="1" w:styleId="172">
    <w:name w:val="页眉 Char"/>
    <w:link w:val="54"/>
    <w:qFormat/>
    <w:uiPriority w:val="0"/>
    <w:rPr>
      <w:rFonts w:eastAsia="宋体"/>
      <w:kern w:val="2"/>
      <w:sz w:val="18"/>
      <w:szCs w:val="18"/>
      <w:lang w:val="en-US" w:eastAsia="zh-CN" w:bidi="ar-SA"/>
    </w:rPr>
  </w:style>
  <w:style w:type="character" w:customStyle="1" w:styleId="173">
    <w:name w:val="正文2 Char Char"/>
    <w:qFormat/>
    <w:uiPriority w:val="0"/>
    <w:rPr>
      <w:rFonts w:eastAsia="宋体"/>
      <w:spacing w:val="18"/>
      <w:sz w:val="32"/>
      <w:lang w:val="en-US" w:eastAsia="zh-CN" w:bidi="ar-SA"/>
    </w:rPr>
  </w:style>
  <w:style w:type="character" w:customStyle="1" w:styleId="174">
    <w:name w:val="样式 首行缩进:  2 字符 Char Char"/>
    <w:qFormat/>
    <w:uiPriority w:val="0"/>
    <w:rPr>
      <w:rFonts w:cs="宋体"/>
      <w:sz w:val="24"/>
    </w:rPr>
  </w:style>
  <w:style w:type="character" w:customStyle="1" w:styleId="175">
    <w:name w:val="样式 (中文) 黑体 五号 加粗 居中 行距: 单倍行距 Char Char"/>
    <w:link w:val="176"/>
    <w:qFormat/>
    <w:uiPriority w:val="0"/>
    <w:rPr>
      <w:rFonts w:eastAsia="黑体" w:cs="宋体"/>
      <w:b/>
      <w:bCs/>
      <w:kern w:val="2"/>
      <w:sz w:val="21"/>
      <w:lang w:val="en-US" w:eastAsia="zh-CN" w:bidi="ar-SA"/>
    </w:rPr>
  </w:style>
  <w:style w:type="paragraph" w:customStyle="1" w:styleId="176">
    <w:name w:val="样式 (中文) 黑体 五号 加粗 居中 行距: 单倍行距 Char"/>
    <w:basedOn w:val="1"/>
    <w:link w:val="175"/>
    <w:qFormat/>
    <w:uiPriority w:val="0"/>
    <w:pPr>
      <w:adjustRightInd w:val="0"/>
      <w:snapToGrid w:val="0"/>
      <w:jc w:val="center"/>
    </w:pPr>
    <w:rPr>
      <w:rFonts w:ascii="Times New Roman" w:hAnsi="Times New Roman" w:eastAsia="黑体" w:cs="宋体"/>
      <w:b/>
      <w:bCs/>
      <w:szCs w:val="20"/>
    </w:rPr>
  </w:style>
  <w:style w:type="character" w:customStyle="1" w:styleId="177">
    <w:name w:val="样式 五号 居中 行距: 单倍行距 Char Char"/>
    <w:qFormat/>
    <w:uiPriority w:val="0"/>
    <w:rPr>
      <w:rFonts w:cs="宋体"/>
      <w:kern w:val="2"/>
      <w:sz w:val="21"/>
    </w:rPr>
  </w:style>
  <w:style w:type="character" w:customStyle="1" w:styleId="178">
    <w:name w:val="样式1 Char"/>
    <w:link w:val="179"/>
    <w:qFormat/>
    <w:uiPriority w:val="0"/>
    <w:rPr>
      <w:rFonts w:eastAsia="宋体"/>
      <w:spacing w:val="18"/>
      <w:sz w:val="32"/>
      <w:lang w:val="en-US" w:eastAsia="zh-CN" w:bidi="ar-SA"/>
    </w:rPr>
  </w:style>
  <w:style w:type="paragraph" w:customStyle="1" w:styleId="179">
    <w:name w:val="样式1"/>
    <w:basedOn w:val="146"/>
    <w:link w:val="178"/>
    <w:qFormat/>
    <w:uiPriority w:val="0"/>
    <w:pPr>
      <w:ind w:firstLine="0"/>
    </w:pPr>
  </w:style>
  <w:style w:type="character" w:customStyle="1" w:styleId="180">
    <w:name w:val="称呼 Char"/>
    <w:link w:val="30"/>
    <w:qFormat/>
    <w:uiPriority w:val="0"/>
    <w:rPr>
      <w:rFonts w:eastAsia="宋体"/>
      <w:kern w:val="2"/>
      <w:sz w:val="21"/>
      <w:szCs w:val="24"/>
      <w:lang w:val="en-US" w:eastAsia="zh-CN" w:bidi="ar-SA"/>
    </w:rPr>
  </w:style>
  <w:style w:type="character" w:customStyle="1" w:styleId="181">
    <w:name w:val="标题 5 Char"/>
    <w:link w:val="8"/>
    <w:qFormat/>
    <w:uiPriority w:val="0"/>
    <w:rPr>
      <w:rFonts w:eastAsia="宋体"/>
      <w:kern w:val="2"/>
      <w:sz w:val="28"/>
      <w:szCs w:val="24"/>
      <w:lang w:val="en-US" w:eastAsia="zh-CN" w:bidi="ar-SA"/>
    </w:rPr>
  </w:style>
  <w:style w:type="character" w:customStyle="1" w:styleId="182">
    <w:name w:val="标题 6 Char"/>
    <w:link w:val="9"/>
    <w:qFormat/>
    <w:uiPriority w:val="0"/>
    <w:rPr>
      <w:rFonts w:ascii="Arial" w:hAnsi="Arial" w:eastAsia="黑体"/>
      <w:b/>
      <w:bCs/>
      <w:kern w:val="2"/>
      <w:sz w:val="24"/>
      <w:szCs w:val="24"/>
      <w:lang w:val="en-US" w:eastAsia="zh-CN" w:bidi="ar-SA"/>
    </w:rPr>
  </w:style>
  <w:style w:type="character" w:customStyle="1" w:styleId="183">
    <w:name w:val="标题 7 Char"/>
    <w:link w:val="10"/>
    <w:qFormat/>
    <w:uiPriority w:val="0"/>
    <w:rPr>
      <w:rFonts w:eastAsia="宋体"/>
      <w:kern w:val="2"/>
      <w:sz w:val="28"/>
      <w:szCs w:val="24"/>
      <w:lang w:val="en-US" w:eastAsia="zh-CN" w:bidi="ar-SA"/>
    </w:rPr>
  </w:style>
  <w:style w:type="character" w:customStyle="1" w:styleId="184">
    <w:name w:val="标题 8 Char"/>
    <w:link w:val="11"/>
    <w:qFormat/>
    <w:uiPriority w:val="0"/>
    <w:rPr>
      <w:rFonts w:ascii="Arial" w:hAnsi="Arial" w:eastAsia="黑体"/>
      <w:kern w:val="2"/>
      <w:sz w:val="24"/>
      <w:szCs w:val="24"/>
      <w:lang w:val="en-US" w:eastAsia="zh-CN" w:bidi="ar-SA"/>
    </w:rPr>
  </w:style>
  <w:style w:type="character" w:customStyle="1" w:styleId="185">
    <w:name w:val="标题 9 Char"/>
    <w:link w:val="12"/>
    <w:qFormat/>
    <w:uiPriority w:val="0"/>
    <w:rPr>
      <w:rFonts w:ascii="Arial" w:hAnsi="Arial" w:eastAsia="黑体"/>
      <w:kern w:val="2"/>
      <w:sz w:val="21"/>
      <w:szCs w:val="21"/>
      <w:lang w:val="en-US" w:eastAsia="zh-CN" w:bidi="ar-SA"/>
    </w:rPr>
  </w:style>
  <w:style w:type="character" w:customStyle="1" w:styleId="186">
    <w:name w:val="标题 4 Char Char1"/>
    <w:qFormat/>
    <w:uiPriority w:val="9"/>
    <w:rPr>
      <w:rFonts w:ascii="Arial" w:hAnsi="Arial" w:eastAsia="黑体"/>
      <w:b/>
      <w:bCs/>
      <w:kern w:val="2"/>
      <w:sz w:val="28"/>
      <w:szCs w:val="28"/>
    </w:rPr>
  </w:style>
  <w:style w:type="character" w:customStyle="1" w:styleId="187">
    <w:name w:val="文档结构图 Char"/>
    <w:link w:val="26"/>
    <w:semiHidden/>
    <w:qFormat/>
    <w:uiPriority w:val="99"/>
    <w:rPr>
      <w:rFonts w:ascii="Calibri" w:hAnsi="Calibri" w:eastAsia="宋体"/>
      <w:kern w:val="2"/>
      <w:sz w:val="21"/>
      <w:szCs w:val="22"/>
      <w:lang w:val="en-US" w:eastAsia="zh-CN" w:bidi="ar-SA"/>
    </w:rPr>
  </w:style>
  <w:style w:type="character" w:customStyle="1" w:styleId="188">
    <w:name w:val="正文文本缩进 Char"/>
    <w:qFormat/>
    <w:uiPriority w:val="99"/>
    <w:rPr>
      <w:rFonts w:eastAsia="宋体"/>
      <w:kern w:val="2"/>
      <w:sz w:val="24"/>
      <w:szCs w:val="24"/>
      <w:lang w:val="en-US" w:eastAsia="zh-CN" w:bidi="ar-SA"/>
    </w:rPr>
  </w:style>
  <w:style w:type="character" w:customStyle="1" w:styleId="189">
    <w:name w:val="样式1 Char Char"/>
    <w:qFormat/>
    <w:uiPriority w:val="0"/>
    <w:rPr>
      <w:rFonts w:eastAsia="宋体"/>
      <w:spacing w:val="18"/>
      <w:sz w:val="32"/>
      <w:lang w:val="en-US" w:eastAsia="zh-CN" w:bidi="ar-SA"/>
    </w:rPr>
  </w:style>
  <w:style w:type="character" w:customStyle="1" w:styleId="190">
    <w:name w:val="正文文本 3 Char"/>
    <w:link w:val="31"/>
    <w:qFormat/>
    <w:uiPriority w:val="0"/>
    <w:rPr>
      <w:rFonts w:eastAsia="宋体"/>
      <w:kern w:val="2"/>
      <w:sz w:val="28"/>
      <w:szCs w:val="24"/>
      <w:lang w:val="en-US" w:eastAsia="zh-CN" w:bidi="ar-SA"/>
    </w:rPr>
  </w:style>
  <w:style w:type="character" w:customStyle="1" w:styleId="191">
    <w:name w:val="日期 Char"/>
    <w:link w:val="47"/>
    <w:qFormat/>
    <w:uiPriority w:val="99"/>
    <w:rPr>
      <w:rFonts w:eastAsia="宋体"/>
      <w:kern w:val="2"/>
      <w:sz w:val="21"/>
      <w:szCs w:val="24"/>
      <w:lang w:val="en-US" w:eastAsia="zh-CN" w:bidi="ar-SA"/>
    </w:rPr>
  </w:style>
  <w:style w:type="character" w:customStyle="1" w:styleId="192">
    <w:name w:val="Char Char18"/>
    <w:qFormat/>
    <w:uiPriority w:val="0"/>
    <w:rPr>
      <w:sz w:val="18"/>
      <w:szCs w:val="18"/>
      <w:lang w:bidi="ar-SA"/>
    </w:rPr>
  </w:style>
  <w:style w:type="character" w:customStyle="1" w:styleId="193">
    <w:name w:val="批注框文本 Char1"/>
    <w:qFormat/>
    <w:uiPriority w:val="99"/>
    <w:rPr>
      <w:kern w:val="2"/>
      <w:sz w:val="18"/>
      <w:szCs w:val="18"/>
    </w:rPr>
  </w:style>
  <w:style w:type="character" w:customStyle="1" w:styleId="194">
    <w:name w:val="正文文本 2 Char"/>
    <w:link w:val="70"/>
    <w:qFormat/>
    <w:uiPriority w:val="0"/>
    <w:rPr>
      <w:rFonts w:eastAsia="宋体"/>
      <w:kern w:val="2"/>
      <w:sz w:val="21"/>
      <w:szCs w:val="24"/>
      <w:lang w:val="en-US" w:eastAsia="zh-CN" w:bidi="ar-SA"/>
    </w:rPr>
  </w:style>
  <w:style w:type="character" w:customStyle="1" w:styleId="195">
    <w:name w:val="HTML 地址 Char"/>
    <w:link w:val="41"/>
    <w:qFormat/>
    <w:uiPriority w:val="0"/>
    <w:rPr>
      <w:rFonts w:eastAsia="宋体"/>
      <w:i/>
      <w:iCs/>
      <w:kern w:val="2"/>
      <w:sz w:val="21"/>
      <w:szCs w:val="24"/>
      <w:lang w:val="en-US" w:eastAsia="zh-CN" w:bidi="ar-SA"/>
    </w:rPr>
  </w:style>
  <w:style w:type="character" w:customStyle="1" w:styleId="196">
    <w:name w:val="HTML 预设格式 Char"/>
    <w:link w:val="74"/>
    <w:qFormat/>
    <w:uiPriority w:val="0"/>
    <w:rPr>
      <w:rFonts w:ascii="黑体" w:hAnsi="Courier New" w:eastAsia="黑体"/>
      <w:lang w:val="en-US" w:eastAsia="zh-CN" w:bidi="ar-SA"/>
    </w:rPr>
  </w:style>
  <w:style w:type="character" w:customStyle="1" w:styleId="197">
    <w:name w:val="标题 Char"/>
    <w:link w:val="78"/>
    <w:qFormat/>
    <w:uiPriority w:val="0"/>
    <w:rPr>
      <w:rFonts w:ascii="Arial" w:hAnsi="Arial" w:eastAsia="宋体" w:cs="Arial"/>
      <w:b/>
      <w:bCs/>
      <w:kern w:val="2"/>
      <w:sz w:val="32"/>
      <w:szCs w:val="32"/>
      <w:lang w:val="en-US" w:eastAsia="zh-CN" w:bidi="ar-SA"/>
    </w:rPr>
  </w:style>
  <w:style w:type="character" w:customStyle="1" w:styleId="198">
    <w:name w:val="电子邮件签名 Char"/>
    <w:link w:val="19"/>
    <w:qFormat/>
    <w:uiPriority w:val="0"/>
    <w:rPr>
      <w:rFonts w:eastAsia="宋体"/>
      <w:kern w:val="2"/>
      <w:sz w:val="21"/>
      <w:szCs w:val="24"/>
      <w:lang w:val="en-US" w:eastAsia="zh-CN" w:bidi="ar-SA"/>
    </w:rPr>
  </w:style>
  <w:style w:type="character" w:customStyle="1" w:styleId="199">
    <w:name w:val="宏文本 Char"/>
    <w:link w:val="3"/>
    <w:qFormat/>
    <w:uiPriority w:val="0"/>
    <w:rPr>
      <w:rFonts w:ascii="Courier New" w:hAnsi="Courier New" w:eastAsia="Times New Roman" w:cs="Courier New"/>
      <w:kern w:val="2"/>
      <w:sz w:val="24"/>
      <w:szCs w:val="24"/>
      <w:lang w:val="en-US" w:eastAsia="zh-CN" w:bidi="ar-SA"/>
    </w:rPr>
  </w:style>
  <w:style w:type="character" w:customStyle="1" w:styleId="200">
    <w:name w:val="宏文本 Char1"/>
    <w:qFormat/>
    <w:uiPriority w:val="0"/>
    <w:rPr>
      <w:rFonts w:ascii="Courier New" w:hAnsi="Courier New" w:cs="Courier New"/>
      <w:kern w:val="2"/>
      <w:sz w:val="24"/>
      <w:szCs w:val="24"/>
    </w:rPr>
  </w:style>
  <w:style w:type="character" w:customStyle="1" w:styleId="201">
    <w:name w:val="脚注文本 Char"/>
    <w:link w:val="63"/>
    <w:qFormat/>
    <w:uiPriority w:val="0"/>
    <w:rPr>
      <w:sz w:val="18"/>
      <w:szCs w:val="18"/>
      <w:lang w:bidi="ar-SA"/>
    </w:rPr>
  </w:style>
  <w:style w:type="character" w:customStyle="1" w:styleId="202">
    <w:name w:val="脚注文本 Char1"/>
    <w:qFormat/>
    <w:uiPriority w:val="0"/>
    <w:rPr>
      <w:kern w:val="2"/>
      <w:sz w:val="18"/>
      <w:szCs w:val="18"/>
    </w:rPr>
  </w:style>
  <w:style w:type="character" w:customStyle="1" w:styleId="203">
    <w:name w:val="结束语 Char"/>
    <w:link w:val="32"/>
    <w:qFormat/>
    <w:uiPriority w:val="0"/>
    <w:rPr>
      <w:rFonts w:eastAsia="宋体"/>
      <w:kern w:val="2"/>
      <w:sz w:val="21"/>
      <w:szCs w:val="24"/>
      <w:lang w:val="en-US" w:eastAsia="zh-CN" w:bidi="ar-SA"/>
    </w:rPr>
  </w:style>
  <w:style w:type="character" w:customStyle="1" w:styleId="204">
    <w:name w:val="批注文字 Char"/>
    <w:link w:val="28"/>
    <w:qFormat/>
    <w:uiPriority w:val="0"/>
    <w:rPr>
      <w:szCs w:val="24"/>
      <w:lang w:bidi="ar-SA"/>
    </w:rPr>
  </w:style>
  <w:style w:type="character" w:customStyle="1" w:styleId="205">
    <w:name w:val="批注文字 Char1"/>
    <w:qFormat/>
    <w:uiPriority w:val="0"/>
    <w:rPr>
      <w:kern w:val="2"/>
      <w:sz w:val="21"/>
      <w:szCs w:val="24"/>
    </w:rPr>
  </w:style>
  <w:style w:type="character" w:customStyle="1" w:styleId="206">
    <w:name w:val="签名 Char"/>
    <w:link w:val="55"/>
    <w:qFormat/>
    <w:uiPriority w:val="0"/>
    <w:rPr>
      <w:rFonts w:eastAsia="宋体"/>
      <w:kern w:val="2"/>
      <w:sz w:val="21"/>
      <w:szCs w:val="24"/>
      <w:lang w:val="en-US" w:eastAsia="zh-CN" w:bidi="ar-SA"/>
    </w:rPr>
  </w:style>
  <w:style w:type="character" w:customStyle="1" w:styleId="207">
    <w:name w:val="副标题 Char"/>
    <w:link w:val="60"/>
    <w:qFormat/>
    <w:uiPriority w:val="0"/>
    <w:rPr>
      <w:rFonts w:ascii="Arial" w:hAnsi="Arial" w:eastAsia="宋体" w:cs="Arial"/>
      <w:b/>
      <w:bCs/>
      <w:kern w:val="28"/>
      <w:sz w:val="32"/>
      <w:szCs w:val="32"/>
      <w:lang w:val="en-US" w:eastAsia="zh-CN" w:bidi="ar-SA"/>
    </w:rPr>
  </w:style>
  <w:style w:type="character" w:customStyle="1" w:styleId="208">
    <w:name w:val="尾注文本 Char"/>
    <w:link w:val="49"/>
    <w:qFormat/>
    <w:uiPriority w:val="0"/>
    <w:rPr>
      <w:szCs w:val="24"/>
      <w:lang w:bidi="ar-SA"/>
    </w:rPr>
  </w:style>
  <w:style w:type="character" w:customStyle="1" w:styleId="209">
    <w:name w:val="尾注文本 Char1"/>
    <w:qFormat/>
    <w:uiPriority w:val="0"/>
    <w:rPr>
      <w:kern w:val="2"/>
      <w:sz w:val="21"/>
      <w:szCs w:val="24"/>
    </w:rPr>
  </w:style>
  <w:style w:type="character" w:customStyle="1" w:styleId="210">
    <w:name w:val="信息标题 Char"/>
    <w:link w:val="73"/>
    <w:qFormat/>
    <w:uiPriority w:val="0"/>
    <w:rPr>
      <w:rFonts w:ascii="Arial" w:hAnsi="Arial" w:eastAsia="宋体" w:cs="Arial"/>
      <w:kern w:val="2"/>
      <w:sz w:val="24"/>
      <w:szCs w:val="24"/>
      <w:lang w:val="en-US" w:eastAsia="zh-CN" w:bidi="ar-SA"/>
    </w:rPr>
  </w:style>
  <w:style w:type="character" w:customStyle="1" w:styleId="211">
    <w:name w:val="正文首行缩进 Char"/>
    <w:link w:val="212"/>
    <w:qFormat/>
    <w:uiPriority w:val="0"/>
    <w:rPr>
      <w:rFonts w:eastAsia="宋体"/>
      <w:kern w:val="2"/>
      <w:sz w:val="21"/>
      <w:szCs w:val="24"/>
      <w:lang w:val="en-US" w:eastAsia="zh-CN" w:bidi="ar-SA"/>
    </w:rPr>
  </w:style>
  <w:style w:type="paragraph" w:customStyle="1" w:styleId="212">
    <w:name w:val="正文首行缩进11"/>
    <w:basedOn w:val="34"/>
    <w:link w:val="211"/>
    <w:qFormat/>
    <w:uiPriority w:val="0"/>
    <w:pPr>
      <w:spacing w:line="240" w:lineRule="auto"/>
      <w:ind w:firstLine="420" w:firstLineChars="100"/>
    </w:pPr>
    <w:rPr>
      <w:sz w:val="21"/>
      <w:szCs w:val="24"/>
    </w:rPr>
  </w:style>
  <w:style w:type="character" w:customStyle="1" w:styleId="213">
    <w:name w:val="正文文字 21 Char1"/>
    <w:qFormat/>
    <w:uiPriority w:val="0"/>
    <w:rPr>
      <w:rFonts w:ascii="仿宋_GB2312" w:eastAsia="仿宋_GB2312"/>
      <w:kern w:val="2"/>
      <w:sz w:val="28"/>
    </w:rPr>
  </w:style>
  <w:style w:type="character" w:customStyle="1" w:styleId="214">
    <w:name w:val="正文首行缩进 2 Char"/>
    <w:link w:val="215"/>
    <w:qFormat/>
    <w:uiPriority w:val="0"/>
    <w:rPr>
      <w:rFonts w:ascii="仿宋_GB2312" w:eastAsia="宋体"/>
      <w:kern w:val="2"/>
      <w:sz w:val="21"/>
      <w:szCs w:val="24"/>
      <w:lang w:val="en-US" w:eastAsia="zh-CN" w:bidi="ar-SA"/>
    </w:rPr>
  </w:style>
  <w:style w:type="paragraph" w:customStyle="1" w:styleId="215">
    <w:name w:val="正文首行缩进 21"/>
    <w:basedOn w:val="35"/>
    <w:link w:val="214"/>
    <w:qFormat/>
    <w:uiPriority w:val="0"/>
    <w:pPr>
      <w:ind w:firstLine="210" w:firstLineChars="200"/>
    </w:pPr>
    <w:rPr>
      <w:rFonts w:ascii="Times New Roman" w:hAnsi="Times New Roman"/>
      <w:szCs w:val="24"/>
    </w:rPr>
  </w:style>
  <w:style w:type="character" w:customStyle="1" w:styleId="216">
    <w:name w:val="注释标题 Char"/>
    <w:link w:val="16"/>
    <w:qFormat/>
    <w:uiPriority w:val="0"/>
    <w:rPr>
      <w:rFonts w:eastAsia="宋体"/>
      <w:kern w:val="2"/>
      <w:sz w:val="21"/>
      <w:szCs w:val="24"/>
      <w:lang w:val="en-US" w:eastAsia="zh-CN" w:bidi="ar-SA"/>
    </w:rPr>
  </w:style>
  <w:style w:type="character" w:customStyle="1" w:styleId="217">
    <w:name w:val="正文样式 Char Char"/>
    <w:qFormat/>
    <w:uiPriority w:val="0"/>
    <w:rPr>
      <w:rFonts w:eastAsia="宋体"/>
      <w:bCs/>
      <w:kern w:val="2"/>
      <w:sz w:val="28"/>
      <w:szCs w:val="28"/>
      <w:lang w:val="en-US" w:eastAsia="zh-CN" w:bidi="ar-SA"/>
    </w:rPr>
  </w:style>
  <w:style w:type="character" w:customStyle="1" w:styleId="218">
    <w:name w:val="批注主题 Char"/>
    <w:link w:val="79"/>
    <w:qFormat/>
    <w:uiPriority w:val="0"/>
    <w:rPr>
      <w:b/>
      <w:bCs/>
      <w:kern w:val="2"/>
      <w:sz w:val="21"/>
      <w:szCs w:val="24"/>
      <w:lang w:bidi="ar-SA"/>
    </w:rPr>
  </w:style>
  <w:style w:type="character" w:customStyle="1" w:styleId="219">
    <w:name w:val="表标题 Char Char"/>
    <w:qFormat/>
    <w:uiPriority w:val="0"/>
    <w:rPr>
      <w:b/>
      <w:bCs/>
      <w:sz w:val="24"/>
      <w:szCs w:val="24"/>
      <w:lang w:val="en-GB" w:bidi="ar-SA"/>
    </w:rPr>
  </w:style>
  <w:style w:type="character" w:customStyle="1" w:styleId="220">
    <w:name w:val="正文1-1 Char Char"/>
    <w:link w:val="221"/>
    <w:qFormat/>
    <w:uiPriority w:val="0"/>
    <w:rPr>
      <w:rFonts w:eastAsia="宋体" w:cs="宋体"/>
      <w:sz w:val="24"/>
      <w:szCs w:val="24"/>
      <w:lang w:val="en-US" w:eastAsia="zh-CN" w:bidi="ar-SA"/>
    </w:rPr>
  </w:style>
  <w:style w:type="paragraph" w:customStyle="1" w:styleId="221">
    <w:name w:val="正文1-1 Char"/>
    <w:basedOn w:val="1"/>
    <w:next w:val="1"/>
    <w:link w:val="220"/>
    <w:qFormat/>
    <w:uiPriority w:val="0"/>
    <w:pPr>
      <w:widowControl/>
      <w:adjustRightInd w:val="0"/>
      <w:snapToGrid w:val="0"/>
      <w:spacing w:line="360" w:lineRule="auto"/>
      <w:ind w:firstLine="200" w:firstLineChars="200"/>
      <w:jc w:val="left"/>
    </w:pPr>
    <w:rPr>
      <w:rFonts w:ascii="Times New Roman" w:hAnsi="Times New Roman" w:cs="宋体"/>
      <w:kern w:val="0"/>
      <w:sz w:val="24"/>
      <w:szCs w:val="24"/>
    </w:rPr>
  </w:style>
  <w:style w:type="character" w:customStyle="1" w:styleId="222">
    <w:name w:val="样式5 Char Char"/>
    <w:link w:val="223"/>
    <w:qFormat/>
    <w:uiPriority w:val="0"/>
    <w:rPr>
      <w:rFonts w:eastAsia="宋体" w:cs="宋体"/>
      <w:snapToGrid w:val="0"/>
      <w:sz w:val="21"/>
      <w:szCs w:val="24"/>
      <w:lang w:val="en-US" w:eastAsia="zh-CN" w:bidi="ar-SA"/>
    </w:rPr>
  </w:style>
  <w:style w:type="paragraph" w:customStyle="1" w:styleId="223">
    <w:name w:val="样式5 Char"/>
    <w:basedOn w:val="1"/>
    <w:link w:val="222"/>
    <w:qFormat/>
    <w:uiPriority w:val="0"/>
    <w:pPr>
      <w:adjustRightInd w:val="0"/>
      <w:snapToGrid w:val="0"/>
      <w:jc w:val="center"/>
    </w:pPr>
    <w:rPr>
      <w:rFonts w:ascii="Times New Roman" w:hAnsi="Times New Roman" w:cs="宋体"/>
      <w:snapToGrid w:val="0"/>
      <w:kern w:val="0"/>
      <w:szCs w:val="24"/>
    </w:rPr>
  </w:style>
  <w:style w:type="character" w:customStyle="1" w:styleId="224">
    <w:name w:val="注释 Char Char"/>
    <w:link w:val="225"/>
    <w:semiHidden/>
    <w:qFormat/>
    <w:uiPriority w:val="0"/>
    <w:rPr>
      <w:rFonts w:ascii="宋体" w:hAnsi="宋体" w:eastAsia="仿宋_GB2312" w:cs="宋体"/>
      <w:snapToGrid w:val="0"/>
      <w:spacing w:val="-4"/>
      <w:sz w:val="24"/>
      <w:szCs w:val="24"/>
      <w:lang w:val="en-US" w:eastAsia="zh-CN" w:bidi="ar-SA"/>
    </w:rPr>
  </w:style>
  <w:style w:type="paragraph" w:customStyle="1" w:styleId="225">
    <w:name w:val="注释 Char"/>
    <w:basedOn w:val="1"/>
    <w:link w:val="224"/>
    <w:semiHidden/>
    <w:qFormat/>
    <w:uiPriority w:val="0"/>
    <w:pPr>
      <w:widowControl/>
      <w:snapToGrid w:val="0"/>
      <w:spacing w:line="360" w:lineRule="auto"/>
      <w:jc w:val="center"/>
    </w:pPr>
    <w:rPr>
      <w:rFonts w:ascii="宋体" w:hAnsi="宋体" w:eastAsia="仿宋_GB2312" w:cs="宋体"/>
      <w:snapToGrid w:val="0"/>
      <w:spacing w:val="-4"/>
      <w:kern w:val="0"/>
      <w:sz w:val="24"/>
      <w:szCs w:val="24"/>
    </w:rPr>
  </w:style>
  <w:style w:type="character" w:customStyle="1" w:styleId="226">
    <w:name w:val="样式 (中文) 华文楷体 四号 首行缩进:  1.01 厘米 行距: 1.5 倍行距 Char Char"/>
    <w:link w:val="227"/>
    <w:semiHidden/>
    <w:qFormat/>
    <w:uiPriority w:val="0"/>
    <w:rPr>
      <w:rFonts w:ascii="宋体" w:hAnsi="宋体" w:eastAsia="宋体" w:cs="宋体"/>
      <w:sz w:val="28"/>
      <w:szCs w:val="24"/>
      <w:lang w:val="en-US" w:eastAsia="zh-CN" w:bidi="ar-SA"/>
    </w:rPr>
  </w:style>
  <w:style w:type="paragraph" w:customStyle="1" w:styleId="227">
    <w:name w:val="样式 (中文) 华文楷体 四号 首行缩进:  1.01 厘米 行距: 1.5 倍行距 Char"/>
    <w:basedOn w:val="1"/>
    <w:link w:val="226"/>
    <w:semiHidden/>
    <w:qFormat/>
    <w:uiPriority w:val="0"/>
    <w:pPr>
      <w:widowControl/>
      <w:snapToGrid w:val="0"/>
      <w:spacing w:line="360" w:lineRule="auto"/>
      <w:ind w:firstLine="200" w:firstLineChars="200"/>
      <w:jc w:val="left"/>
    </w:pPr>
    <w:rPr>
      <w:rFonts w:ascii="宋体" w:hAnsi="宋体" w:cs="宋体"/>
      <w:kern w:val="0"/>
      <w:sz w:val="28"/>
      <w:szCs w:val="24"/>
    </w:rPr>
  </w:style>
  <w:style w:type="character" w:customStyle="1" w:styleId="228">
    <w:name w:val="正文1 Char Char"/>
    <w:link w:val="229"/>
    <w:qFormat/>
    <w:uiPriority w:val="0"/>
    <w:rPr>
      <w:rFonts w:ascii="仿宋_GB2312" w:eastAsia="仿宋_GB2312"/>
      <w:kern w:val="2"/>
      <w:sz w:val="24"/>
      <w:lang w:val="en-US" w:eastAsia="zh-CN" w:bidi="ar-SA"/>
    </w:rPr>
  </w:style>
  <w:style w:type="paragraph" w:customStyle="1" w:styleId="229">
    <w:name w:val="正文1 Char"/>
    <w:basedOn w:val="1"/>
    <w:link w:val="228"/>
    <w:qFormat/>
    <w:uiPriority w:val="0"/>
    <w:pPr>
      <w:spacing w:line="360" w:lineRule="auto"/>
    </w:pPr>
    <w:rPr>
      <w:rFonts w:ascii="仿宋_GB2312" w:hAnsi="Times New Roman" w:eastAsia="仿宋_GB2312"/>
      <w:sz w:val="24"/>
      <w:szCs w:val="20"/>
    </w:rPr>
  </w:style>
  <w:style w:type="character" w:customStyle="1" w:styleId="230">
    <w:name w:val="Char Char32"/>
    <w:qFormat/>
    <w:uiPriority w:val="0"/>
    <w:rPr>
      <w:rFonts w:ascii="Arial" w:hAnsi="Arial" w:eastAsia="黑体" w:cs="Times New Roman"/>
      <w:b/>
      <w:bCs/>
      <w:sz w:val="28"/>
      <w:szCs w:val="28"/>
    </w:rPr>
  </w:style>
  <w:style w:type="character" w:customStyle="1" w:styleId="231">
    <w:name w:val="style51"/>
    <w:qFormat/>
    <w:uiPriority w:val="0"/>
    <w:rPr>
      <w:b/>
      <w:bCs/>
      <w:color w:val="FF0000"/>
      <w:sz w:val="24"/>
      <w:szCs w:val="24"/>
    </w:rPr>
  </w:style>
  <w:style w:type="character" w:customStyle="1" w:styleId="232">
    <w:name w:val="style21"/>
    <w:qFormat/>
    <w:uiPriority w:val="0"/>
    <w:rPr>
      <w:sz w:val="21"/>
      <w:szCs w:val="21"/>
    </w:rPr>
  </w:style>
  <w:style w:type="character" w:customStyle="1" w:styleId="233">
    <w:name w:val="表格 Char"/>
    <w:link w:val="234"/>
    <w:qFormat/>
    <w:uiPriority w:val="0"/>
    <w:rPr>
      <w:rFonts w:ascii="宋体" w:eastAsia="宋体"/>
      <w:spacing w:val="5"/>
      <w:sz w:val="24"/>
      <w:szCs w:val="25"/>
      <w:lang w:val="en-US" w:eastAsia="zh-CN" w:bidi="ar-SA"/>
    </w:rPr>
  </w:style>
  <w:style w:type="paragraph" w:customStyle="1" w:styleId="234">
    <w:name w:val="表格"/>
    <w:basedOn w:val="1"/>
    <w:next w:val="1"/>
    <w:link w:val="233"/>
    <w:qFormat/>
    <w:uiPriority w:val="0"/>
    <w:pPr>
      <w:spacing w:line="400" w:lineRule="exact"/>
      <w:jc w:val="center"/>
    </w:pPr>
    <w:rPr>
      <w:rFonts w:ascii="宋体" w:hAnsi="Times New Roman"/>
      <w:spacing w:val="5"/>
      <w:kern w:val="0"/>
      <w:sz w:val="24"/>
      <w:szCs w:val="25"/>
    </w:rPr>
  </w:style>
  <w:style w:type="character" w:customStyle="1" w:styleId="235">
    <w:name w:val="样式 正文文字 + 首行缩进:  2 字符 行距: 最小值 24 磅 Char"/>
    <w:link w:val="236"/>
    <w:qFormat/>
    <w:uiPriority w:val="0"/>
    <w:rPr>
      <w:rFonts w:ascii="宋体" w:eastAsia="宋体" w:cs="宋体"/>
      <w:spacing w:val="5"/>
      <w:kern w:val="2"/>
      <w:sz w:val="24"/>
      <w:szCs w:val="25"/>
      <w:lang w:val="en-US" w:eastAsia="zh-CN" w:bidi="ar-SA"/>
    </w:rPr>
  </w:style>
  <w:style w:type="paragraph" w:customStyle="1" w:styleId="236">
    <w:name w:val="样式 正文文字 + 首行缩进:  2 字符 行距: 最小值 24 磅"/>
    <w:basedOn w:val="1"/>
    <w:link w:val="235"/>
    <w:qFormat/>
    <w:uiPriority w:val="0"/>
    <w:pPr>
      <w:snapToGrid w:val="0"/>
      <w:spacing w:line="480" w:lineRule="atLeast"/>
      <w:ind w:firstLine="480" w:firstLineChars="200"/>
    </w:pPr>
    <w:rPr>
      <w:rFonts w:ascii="宋体" w:hAnsi="Times New Roman" w:cs="宋体"/>
      <w:spacing w:val="5"/>
      <w:sz w:val="24"/>
      <w:szCs w:val="25"/>
    </w:rPr>
  </w:style>
  <w:style w:type="character" w:customStyle="1" w:styleId="237">
    <w:name w:val="珠江啤酒正文 Char"/>
    <w:link w:val="238"/>
    <w:qFormat/>
    <w:uiPriority w:val="0"/>
    <w:rPr>
      <w:rFonts w:ascii="宋体" w:eastAsia="宋体"/>
      <w:spacing w:val="5"/>
      <w:sz w:val="24"/>
      <w:szCs w:val="24"/>
      <w:lang w:val="en-US" w:eastAsia="zh-CN" w:bidi="ar-SA"/>
    </w:rPr>
  </w:style>
  <w:style w:type="paragraph" w:customStyle="1" w:styleId="238">
    <w:name w:val="珠江啤酒正文"/>
    <w:basedOn w:val="1"/>
    <w:link w:val="237"/>
    <w:qFormat/>
    <w:uiPriority w:val="0"/>
    <w:pPr>
      <w:spacing w:line="480" w:lineRule="exact"/>
      <w:ind w:firstLine="200" w:firstLineChars="200"/>
    </w:pPr>
    <w:rPr>
      <w:rFonts w:ascii="宋体" w:hAnsi="Times New Roman"/>
      <w:spacing w:val="5"/>
      <w:kern w:val="0"/>
      <w:sz w:val="24"/>
      <w:szCs w:val="24"/>
    </w:rPr>
  </w:style>
  <w:style w:type="character" w:customStyle="1" w:styleId="239">
    <w:name w:val="热电厂正文 Char"/>
    <w:link w:val="240"/>
    <w:qFormat/>
    <w:uiPriority w:val="0"/>
    <w:rPr>
      <w:rFonts w:ascii="宋体" w:eastAsia="宋体"/>
      <w:spacing w:val="5"/>
      <w:kern w:val="2"/>
      <w:sz w:val="24"/>
      <w:szCs w:val="24"/>
      <w:lang w:val="en-US" w:eastAsia="zh-CN" w:bidi="ar-SA"/>
    </w:rPr>
  </w:style>
  <w:style w:type="paragraph" w:customStyle="1" w:styleId="240">
    <w:name w:val="热电厂正文"/>
    <w:basedOn w:val="1"/>
    <w:link w:val="239"/>
    <w:qFormat/>
    <w:uiPriority w:val="0"/>
    <w:pPr>
      <w:spacing w:line="440" w:lineRule="exact"/>
      <w:ind w:firstLine="480" w:firstLineChars="200"/>
    </w:pPr>
    <w:rPr>
      <w:rFonts w:ascii="宋体" w:hAnsi="Times New Roman"/>
      <w:spacing w:val="5"/>
      <w:sz w:val="24"/>
      <w:szCs w:val="24"/>
    </w:rPr>
  </w:style>
  <w:style w:type="character" w:customStyle="1" w:styleId="241">
    <w:name w:val="热电厂正文 Char Char Char Char Char"/>
    <w:link w:val="242"/>
    <w:qFormat/>
    <w:uiPriority w:val="0"/>
    <w:rPr>
      <w:rFonts w:ascii="宋体" w:eastAsia="宋体"/>
      <w:spacing w:val="5"/>
      <w:kern w:val="2"/>
      <w:sz w:val="24"/>
      <w:szCs w:val="24"/>
      <w:lang w:val="en-US" w:eastAsia="zh-CN" w:bidi="ar-SA"/>
    </w:rPr>
  </w:style>
  <w:style w:type="paragraph" w:customStyle="1" w:styleId="242">
    <w:name w:val="热电厂正文 Char Char Char Char"/>
    <w:basedOn w:val="1"/>
    <w:link w:val="241"/>
    <w:qFormat/>
    <w:uiPriority w:val="0"/>
    <w:pPr>
      <w:spacing w:line="440" w:lineRule="exact"/>
      <w:ind w:firstLine="480" w:firstLineChars="200"/>
    </w:pPr>
    <w:rPr>
      <w:rFonts w:ascii="宋体" w:hAnsi="Times New Roman"/>
      <w:spacing w:val="5"/>
      <w:sz w:val="24"/>
      <w:szCs w:val="24"/>
    </w:rPr>
  </w:style>
  <w:style w:type="character" w:customStyle="1" w:styleId="243">
    <w:name w:val="样式 正文样式 + 宋体 Char"/>
    <w:link w:val="244"/>
    <w:qFormat/>
    <w:uiPriority w:val="0"/>
    <w:rPr>
      <w:rFonts w:ascii="宋体" w:hAnsi="宋体" w:eastAsia="宋体" w:cs="宋体"/>
      <w:kern w:val="2"/>
      <w:sz w:val="24"/>
      <w:szCs w:val="24"/>
      <w:lang w:val="en-US" w:eastAsia="zh-CN" w:bidi="ar-SA"/>
    </w:rPr>
  </w:style>
  <w:style w:type="paragraph" w:customStyle="1" w:styleId="244">
    <w:name w:val="样式 正文样式 + 宋体"/>
    <w:basedOn w:val="151"/>
    <w:link w:val="243"/>
    <w:qFormat/>
    <w:uiPriority w:val="0"/>
    <w:pPr>
      <w:tabs>
        <w:tab w:val="clear" w:pos="630"/>
        <w:tab w:val="clear" w:pos="1260"/>
      </w:tabs>
      <w:adjustRightInd/>
      <w:snapToGrid/>
      <w:spacing w:line="460" w:lineRule="atLeast"/>
      <w:jc w:val="center"/>
    </w:pPr>
    <w:rPr>
      <w:rFonts w:ascii="宋体" w:hAnsi="宋体" w:cs="宋体"/>
      <w:kern w:val="2"/>
    </w:rPr>
  </w:style>
  <w:style w:type="character" w:customStyle="1" w:styleId="245">
    <w:name w:val="样式 首行缩进:  2 字符 行距: 最小值 24 磅 Char Char Char"/>
    <w:link w:val="246"/>
    <w:qFormat/>
    <w:uiPriority w:val="0"/>
    <w:rPr>
      <w:rFonts w:ascii="宋体" w:eastAsia="宋体" w:cs="宋体"/>
      <w:spacing w:val="6"/>
      <w:sz w:val="24"/>
      <w:szCs w:val="25"/>
      <w:lang w:val="en-US" w:eastAsia="zh-CN" w:bidi="ar-SA"/>
    </w:rPr>
  </w:style>
  <w:style w:type="paragraph" w:customStyle="1" w:styleId="246">
    <w:name w:val="样式 首行缩进:  2 字符 行距: 最小值 24 磅 Char Char"/>
    <w:basedOn w:val="1"/>
    <w:link w:val="245"/>
    <w:qFormat/>
    <w:uiPriority w:val="0"/>
    <w:pPr>
      <w:overflowPunct w:val="0"/>
      <w:topLinePunct/>
      <w:autoSpaceDE w:val="0"/>
      <w:autoSpaceDN w:val="0"/>
      <w:snapToGrid w:val="0"/>
      <w:spacing w:line="480" w:lineRule="atLeast"/>
      <w:ind w:firstLine="560" w:firstLineChars="200"/>
      <w:jc w:val="left"/>
    </w:pPr>
    <w:rPr>
      <w:rFonts w:ascii="宋体" w:hAnsi="Times New Roman" w:cs="宋体"/>
      <w:spacing w:val="6"/>
      <w:kern w:val="0"/>
      <w:sz w:val="24"/>
      <w:szCs w:val="25"/>
    </w:rPr>
  </w:style>
  <w:style w:type="character" w:customStyle="1" w:styleId="247">
    <w:name w:val="无间隔 Char"/>
    <w:link w:val="248"/>
    <w:qFormat/>
    <w:uiPriority w:val="0"/>
    <w:rPr>
      <w:kern w:val="2"/>
      <w:sz w:val="24"/>
      <w:szCs w:val="22"/>
      <w:lang w:val="en-US" w:eastAsia="zh-CN" w:bidi="ar-SA"/>
    </w:rPr>
  </w:style>
  <w:style w:type="paragraph" w:styleId="248">
    <w:name w:val="No Spacing"/>
    <w:next w:val="1"/>
    <w:link w:val="247"/>
    <w:qFormat/>
    <w:uiPriority w:val="0"/>
    <w:pPr>
      <w:widowControl w:val="0"/>
      <w:spacing w:line="240" w:lineRule="atLeast"/>
      <w:ind w:firstLine="200" w:firstLineChars="200"/>
      <w:jc w:val="both"/>
    </w:pPr>
    <w:rPr>
      <w:rFonts w:ascii="Calibri" w:hAnsi="Calibri" w:eastAsia="宋体" w:cs="Times New Roman"/>
      <w:kern w:val="2"/>
      <w:sz w:val="24"/>
      <w:szCs w:val="22"/>
      <w:lang w:val="en-US" w:eastAsia="zh-CN" w:bidi="ar-SA"/>
    </w:rPr>
  </w:style>
  <w:style w:type="character" w:customStyle="1" w:styleId="249">
    <w:name w:val="style41"/>
    <w:qFormat/>
    <w:uiPriority w:val="0"/>
    <w:rPr>
      <w:b/>
      <w:bCs/>
      <w:color w:val="CC0000"/>
      <w:sz w:val="21"/>
      <w:szCs w:val="21"/>
    </w:rPr>
  </w:style>
  <w:style w:type="character" w:customStyle="1" w:styleId="250">
    <w:name w:val="正文文字缩进 Char Char Char Char Char"/>
    <w:qFormat/>
    <w:uiPriority w:val="0"/>
    <w:rPr>
      <w:rFonts w:ascii="宋体" w:eastAsia="宋体"/>
      <w:spacing w:val="5"/>
      <w:kern w:val="2"/>
      <w:sz w:val="25"/>
      <w:szCs w:val="44"/>
      <w:lang w:val="en-US" w:eastAsia="zh-CN" w:bidi="ar-SA"/>
    </w:rPr>
  </w:style>
  <w:style w:type="character" w:customStyle="1" w:styleId="251">
    <w:name w:val="样式21"/>
    <w:qFormat/>
    <w:uiPriority w:val="0"/>
    <w:rPr>
      <w:rFonts w:hint="default" w:ascii="Times New Roman" w:hAnsi="Times New Roman" w:cs="Times New Roman"/>
    </w:rPr>
  </w:style>
  <w:style w:type="character" w:customStyle="1" w:styleId="252">
    <w:name w:val="tpc_content"/>
    <w:basedOn w:val="122"/>
    <w:qFormat/>
    <w:uiPriority w:val="0"/>
  </w:style>
  <w:style w:type="character" w:customStyle="1" w:styleId="253">
    <w:name w:val="标题1"/>
    <w:basedOn w:val="122"/>
    <w:qFormat/>
    <w:uiPriority w:val="0"/>
  </w:style>
  <w:style w:type="character" w:customStyle="1" w:styleId="254">
    <w:name w:val="content151"/>
    <w:qFormat/>
    <w:uiPriority w:val="0"/>
    <w:rPr>
      <w:sz w:val="18"/>
      <w:szCs w:val="18"/>
      <w:u w:val="none"/>
    </w:rPr>
  </w:style>
  <w:style w:type="character" w:customStyle="1" w:styleId="255">
    <w:name w:val="13h-duanluo"/>
    <w:basedOn w:val="122"/>
    <w:qFormat/>
    <w:uiPriority w:val="0"/>
  </w:style>
  <w:style w:type="character" w:customStyle="1" w:styleId="256">
    <w:name w:val="fontstyle"/>
    <w:basedOn w:val="122"/>
    <w:qFormat/>
    <w:uiPriority w:val="0"/>
  </w:style>
  <w:style w:type="character" w:customStyle="1" w:styleId="257">
    <w:name w:val="表格正文 Char"/>
    <w:link w:val="258"/>
    <w:qFormat/>
    <w:uiPriority w:val="0"/>
    <w:rPr>
      <w:rFonts w:eastAsia="宋体"/>
      <w:kern w:val="2"/>
      <w:sz w:val="24"/>
      <w:szCs w:val="24"/>
      <w:lang w:val="en-US" w:eastAsia="zh-CN" w:bidi="ar-SA"/>
    </w:rPr>
  </w:style>
  <w:style w:type="paragraph" w:customStyle="1" w:styleId="258">
    <w:name w:val="表格正文"/>
    <w:basedOn w:val="1"/>
    <w:link w:val="257"/>
    <w:qFormat/>
    <w:uiPriority w:val="0"/>
    <w:pPr>
      <w:jc w:val="center"/>
    </w:pPr>
    <w:rPr>
      <w:rFonts w:ascii="Times New Roman" w:hAnsi="Times New Roman"/>
      <w:sz w:val="24"/>
      <w:szCs w:val="24"/>
    </w:rPr>
  </w:style>
  <w:style w:type="character" w:customStyle="1" w:styleId="259">
    <w:name w:val="middle1"/>
    <w:qFormat/>
    <w:uiPriority w:val="0"/>
    <w:rPr>
      <w:rFonts w:hint="eastAsia" w:ascii="宋体" w:hAnsi="宋体" w:eastAsia="宋体"/>
      <w:sz w:val="24"/>
      <w:szCs w:val="24"/>
    </w:rPr>
  </w:style>
  <w:style w:type="character" w:customStyle="1" w:styleId="260">
    <w:name w:val="WW-普通文字 Char"/>
    <w:link w:val="261"/>
    <w:qFormat/>
    <w:uiPriority w:val="0"/>
    <w:rPr>
      <w:rFonts w:ascii="宋体" w:hAnsi="宋体" w:eastAsia="宋体"/>
      <w:kern w:val="1"/>
      <w:sz w:val="24"/>
      <w:lang w:val="en-US" w:eastAsia="zh-CN" w:bidi="ar-SA"/>
    </w:rPr>
  </w:style>
  <w:style w:type="paragraph" w:customStyle="1" w:styleId="261">
    <w:name w:val="WW-普通文字"/>
    <w:basedOn w:val="1"/>
    <w:link w:val="260"/>
    <w:qFormat/>
    <w:uiPriority w:val="0"/>
    <w:pPr>
      <w:suppressAutoHyphens/>
      <w:spacing w:line="360" w:lineRule="auto"/>
      <w:ind w:firstLine="200" w:firstLineChars="200"/>
    </w:pPr>
    <w:rPr>
      <w:rFonts w:ascii="宋体" w:hAnsi="宋体"/>
      <w:kern w:val="1"/>
      <w:sz w:val="24"/>
      <w:szCs w:val="20"/>
    </w:rPr>
  </w:style>
  <w:style w:type="character" w:customStyle="1" w:styleId="262">
    <w:name w:val="大妹正文 Char Char"/>
    <w:link w:val="263"/>
    <w:qFormat/>
    <w:uiPriority w:val="0"/>
    <w:rPr>
      <w:rFonts w:ascii="黑体" w:hAnsi="宋体" w:eastAsia="宋体" w:cs="宋体"/>
      <w:b/>
      <w:bCs/>
      <w:color w:val="000000"/>
      <w:kern w:val="44"/>
      <w:sz w:val="21"/>
      <w:szCs w:val="21"/>
      <w:lang w:val="en-US" w:eastAsia="zh-CN" w:bidi="ar-SA"/>
    </w:rPr>
  </w:style>
  <w:style w:type="paragraph" w:customStyle="1" w:styleId="263">
    <w:name w:val="大妹正文 Char"/>
    <w:basedOn w:val="4"/>
    <w:link w:val="262"/>
    <w:qFormat/>
    <w:uiPriority w:val="0"/>
    <w:pPr>
      <w:keepNext w:val="0"/>
      <w:keepLines w:val="0"/>
      <w:spacing w:before="0" w:after="0" w:line="360" w:lineRule="auto"/>
      <w:ind w:right="-36" w:rightChars="-15" w:firstLine="412" w:firstLineChars="196"/>
      <w:outlineLvl w:val="9"/>
    </w:pPr>
    <w:rPr>
      <w:rFonts w:ascii="黑体" w:hAnsi="宋体" w:cs="宋体"/>
      <w:color w:val="000000"/>
      <w:sz w:val="21"/>
      <w:szCs w:val="21"/>
    </w:rPr>
  </w:style>
  <w:style w:type="character" w:customStyle="1" w:styleId="264">
    <w:name w:val="WW8Num4z1"/>
    <w:qFormat/>
    <w:uiPriority w:val="0"/>
    <w:rPr>
      <w:lang w:val="en-US"/>
    </w:rPr>
  </w:style>
  <w:style w:type="character" w:customStyle="1" w:styleId="265">
    <w:name w:val="WW8Num10z0"/>
    <w:qFormat/>
    <w:uiPriority w:val="0"/>
    <w:rPr>
      <w:rFonts w:ascii="Wingdings" w:hAnsi="Wingdings"/>
    </w:rPr>
  </w:style>
  <w:style w:type="character" w:customStyle="1" w:styleId="266">
    <w:name w:val="WW8Num14z0"/>
    <w:qFormat/>
    <w:uiPriority w:val="0"/>
    <w:rPr>
      <w:rFonts w:ascii="Wingdings" w:hAnsi="Wingdings"/>
    </w:rPr>
  </w:style>
  <w:style w:type="character" w:customStyle="1" w:styleId="267">
    <w:name w:val="WW-默认段落字体"/>
    <w:qFormat/>
    <w:uiPriority w:val="0"/>
  </w:style>
  <w:style w:type="character" w:customStyle="1" w:styleId="268">
    <w:name w:val="WW-批注引用"/>
    <w:qFormat/>
    <w:uiPriority w:val="0"/>
    <w:rPr>
      <w:sz w:val="21"/>
      <w:szCs w:val="21"/>
    </w:rPr>
  </w:style>
  <w:style w:type="character" w:customStyle="1" w:styleId="269">
    <w:name w:val="引用文章 Char"/>
    <w:qFormat/>
    <w:uiPriority w:val="0"/>
    <w:rPr>
      <w:rFonts w:eastAsia="楷体_GB2312" w:cs="宋体"/>
      <w:kern w:val="2"/>
      <w:sz w:val="24"/>
      <w:szCs w:val="24"/>
      <w:lang w:val="en-US" w:eastAsia="zh-CN" w:bidi="ar-SA"/>
    </w:rPr>
  </w:style>
  <w:style w:type="character" w:customStyle="1" w:styleId="270">
    <w:name w:val="表格用字 +  六号 Char"/>
    <w:link w:val="271"/>
    <w:qFormat/>
    <w:uiPriority w:val="0"/>
    <w:rPr>
      <w:rFonts w:ascii="宋体" w:eastAsia="仿宋_GB2312" w:cs="宋体"/>
      <w:kern w:val="2"/>
      <w:sz w:val="15"/>
      <w:szCs w:val="21"/>
      <w:lang w:val="en-US" w:eastAsia="zh-CN" w:bidi="ar-SA"/>
    </w:rPr>
  </w:style>
  <w:style w:type="paragraph" w:customStyle="1" w:styleId="271">
    <w:name w:val="表格用字 +  六号"/>
    <w:basedOn w:val="1"/>
    <w:link w:val="270"/>
    <w:qFormat/>
    <w:uiPriority w:val="0"/>
    <w:pPr>
      <w:spacing w:line="0" w:lineRule="atLeast"/>
    </w:pPr>
    <w:rPr>
      <w:rFonts w:ascii="宋体" w:hAnsi="Times New Roman" w:eastAsia="仿宋_GB2312" w:cs="宋体"/>
      <w:sz w:val="15"/>
      <w:szCs w:val="21"/>
    </w:rPr>
  </w:style>
  <w:style w:type="character" w:customStyle="1" w:styleId="272">
    <w:name w:val="w"/>
    <w:basedOn w:val="122"/>
    <w:qFormat/>
    <w:uiPriority w:val="0"/>
  </w:style>
  <w:style w:type="character" w:customStyle="1" w:styleId="273">
    <w:name w:val="ourfont1"/>
    <w:basedOn w:val="122"/>
    <w:qFormat/>
    <w:uiPriority w:val="0"/>
  </w:style>
  <w:style w:type="character" w:customStyle="1" w:styleId="274">
    <w:name w:val="postbody1"/>
    <w:qFormat/>
    <w:uiPriority w:val="0"/>
    <w:rPr>
      <w:sz w:val="23"/>
      <w:szCs w:val="23"/>
    </w:rPr>
  </w:style>
  <w:style w:type="character" w:customStyle="1" w:styleId="275">
    <w:name w:val="modtit1"/>
    <w:qFormat/>
    <w:uiPriority w:val="0"/>
    <w:rPr>
      <w:b/>
      <w:bCs/>
      <w:color w:val="773333"/>
      <w:sz w:val="21"/>
      <w:szCs w:val="21"/>
    </w:rPr>
  </w:style>
  <w:style w:type="character" w:customStyle="1" w:styleId="276">
    <w:name w:val="date6"/>
    <w:basedOn w:val="122"/>
    <w:qFormat/>
    <w:uiPriority w:val="0"/>
  </w:style>
  <w:style w:type="character" w:customStyle="1" w:styleId="277">
    <w:name w:val="fb1"/>
    <w:qFormat/>
    <w:uiPriority w:val="0"/>
    <w:rPr>
      <w:b/>
      <w:bCs/>
    </w:rPr>
  </w:style>
  <w:style w:type="character" w:customStyle="1" w:styleId="278">
    <w:name w:val="arr"/>
    <w:basedOn w:val="122"/>
    <w:qFormat/>
    <w:uiPriority w:val="0"/>
  </w:style>
  <w:style w:type="character" w:customStyle="1" w:styleId="279">
    <w:name w:val="declare"/>
    <w:basedOn w:val="122"/>
    <w:qFormat/>
    <w:uiPriority w:val="0"/>
  </w:style>
  <w:style w:type="character" w:customStyle="1" w:styleId="280">
    <w:name w:val="add f12"/>
    <w:basedOn w:val="122"/>
    <w:qFormat/>
    <w:uiPriority w:val="0"/>
  </w:style>
  <w:style w:type="character" w:customStyle="1" w:styleId="281">
    <w:name w:val="word_more1"/>
    <w:basedOn w:val="122"/>
    <w:qFormat/>
    <w:uiPriority w:val="0"/>
  </w:style>
  <w:style w:type="character" w:customStyle="1" w:styleId="282">
    <w:name w:val="Char Char Char"/>
    <w:qFormat/>
    <w:uiPriority w:val="0"/>
    <w:rPr>
      <w:rFonts w:eastAsia="宋体"/>
      <w:kern w:val="2"/>
      <w:sz w:val="21"/>
      <w:szCs w:val="24"/>
      <w:lang w:val="en-US" w:eastAsia="zh-CN" w:bidi="ar-SA"/>
    </w:rPr>
  </w:style>
  <w:style w:type="character" w:customStyle="1" w:styleId="283">
    <w:name w:val="Char Char31"/>
    <w:qFormat/>
    <w:uiPriority w:val="0"/>
    <w:rPr>
      <w:rFonts w:ascii="Arial" w:hAnsi="Arial" w:eastAsia="黑体"/>
      <w:b/>
      <w:bCs/>
      <w:kern w:val="2"/>
      <w:sz w:val="28"/>
      <w:szCs w:val="28"/>
      <w:lang w:val="en-US" w:eastAsia="zh-CN" w:bidi="ar-SA"/>
    </w:rPr>
  </w:style>
  <w:style w:type="character" w:customStyle="1" w:styleId="284">
    <w:name w:val="Char Char30"/>
    <w:qFormat/>
    <w:uiPriority w:val="0"/>
    <w:rPr>
      <w:rFonts w:eastAsia="宋体"/>
      <w:kern w:val="2"/>
      <w:sz w:val="28"/>
      <w:szCs w:val="24"/>
      <w:lang w:val="en-US" w:eastAsia="zh-CN" w:bidi="ar-SA"/>
    </w:rPr>
  </w:style>
  <w:style w:type="character" w:customStyle="1" w:styleId="285">
    <w:name w:val="Char Char29"/>
    <w:qFormat/>
    <w:uiPriority w:val="0"/>
    <w:rPr>
      <w:rFonts w:ascii="Arial" w:hAnsi="Arial" w:eastAsia="黑体"/>
      <w:b/>
      <w:bCs/>
      <w:kern w:val="2"/>
      <w:sz w:val="24"/>
      <w:szCs w:val="24"/>
      <w:lang w:val="en-US" w:eastAsia="zh-CN" w:bidi="ar-SA"/>
    </w:rPr>
  </w:style>
  <w:style w:type="character" w:customStyle="1" w:styleId="286">
    <w:name w:val="Char Char28"/>
    <w:qFormat/>
    <w:uiPriority w:val="0"/>
    <w:rPr>
      <w:rFonts w:eastAsia="宋体"/>
      <w:kern w:val="2"/>
      <w:sz w:val="28"/>
      <w:szCs w:val="24"/>
      <w:lang w:val="en-US" w:eastAsia="zh-CN" w:bidi="ar-SA"/>
    </w:rPr>
  </w:style>
  <w:style w:type="character" w:customStyle="1" w:styleId="287">
    <w:name w:val="Char Char27"/>
    <w:qFormat/>
    <w:uiPriority w:val="0"/>
    <w:rPr>
      <w:rFonts w:ascii="Arial" w:hAnsi="Arial" w:eastAsia="黑体"/>
      <w:kern w:val="2"/>
      <w:sz w:val="24"/>
      <w:szCs w:val="24"/>
      <w:lang w:val="en-US" w:eastAsia="zh-CN" w:bidi="ar-SA"/>
    </w:rPr>
  </w:style>
  <w:style w:type="character" w:customStyle="1" w:styleId="288">
    <w:name w:val="Char Char26"/>
    <w:qFormat/>
    <w:uiPriority w:val="0"/>
    <w:rPr>
      <w:rFonts w:ascii="Calibri" w:hAnsi="Calibri" w:eastAsia="宋体"/>
      <w:kern w:val="2"/>
      <w:sz w:val="21"/>
      <w:szCs w:val="22"/>
      <w:lang w:val="en-US" w:eastAsia="zh-CN" w:bidi="ar-SA"/>
    </w:rPr>
  </w:style>
  <w:style w:type="character" w:customStyle="1" w:styleId="289">
    <w:name w:val="Char Char25"/>
    <w:qFormat/>
    <w:uiPriority w:val="0"/>
    <w:rPr>
      <w:rFonts w:ascii="Calibri" w:hAnsi="Calibri" w:eastAsia="宋体"/>
      <w:kern w:val="2"/>
      <w:sz w:val="18"/>
      <w:szCs w:val="18"/>
      <w:lang w:val="en-US" w:eastAsia="zh-CN" w:bidi="ar-SA"/>
    </w:rPr>
  </w:style>
  <w:style w:type="character" w:customStyle="1" w:styleId="290">
    <w:name w:val="Char Char24"/>
    <w:qFormat/>
    <w:uiPriority w:val="0"/>
    <w:rPr>
      <w:rFonts w:ascii="Calibri" w:hAnsi="Calibri" w:eastAsia="宋体"/>
      <w:kern w:val="2"/>
      <w:sz w:val="18"/>
      <w:szCs w:val="18"/>
      <w:lang w:val="en-US" w:eastAsia="zh-CN" w:bidi="ar-SA"/>
    </w:rPr>
  </w:style>
  <w:style w:type="character" w:customStyle="1" w:styleId="291">
    <w:name w:val="Char Char23"/>
    <w:qFormat/>
    <w:uiPriority w:val="0"/>
    <w:rPr>
      <w:rFonts w:eastAsia="宋体"/>
      <w:color w:val="0000FF"/>
      <w:kern w:val="2"/>
      <w:sz w:val="24"/>
      <w:szCs w:val="24"/>
      <w:lang w:val="en-US" w:eastAsia="zh-CN" w:bidi="ar-SA"/>
    </w:rPr>
  </w:style>
  <w:style w:type="character" w:customStyle="1" w:styleId="292">
    <w:name w:val="short_text1"/>
    <w:qFormat/>
    <w:uiPriority w:val="0"/>
    <w:rPr>
      <w:rFonts w:cs="Times New Roman"/>
      <w:sz w:val="29"/>
      <w:szCs w:val="29"/>
    </w:rPr>
  </w:style>
  <w:style w:type="character" w:customStyle="1" w:styleId="293">
    <w:name w:val="正文文本 Char1"/>
    <w:qFormat/>
    <w:uiPriority w:val="0"/>
    <w:rPr>
      <w:kern w:val="2"/>
      <w:sz w:val="21"/>
      <w:szCs w:val="24"/>
    </w:rPr>
  </w:style>
  <w:style w:type="character" w:customStyle="1" w:styleId="294">
    <w:name w:val="表格内容 Char Char"/>
    <w:qFormat/>
    <w:uiPriority w:val="0"/>
    <w:rPr>
      <w:rFonts w:ascii="宋体" w:hAnsi="Courier New" w:eastAsia="宋体"/>
      <w:kern w:val="2"/>
      <w:lang w:val="en-US" w:eastAsia="zh-CN" w:bidi="ar-SA"/>
    </w:rPr>
  </w:style>
  <w:style w:type="character" w:customStyle="1" w:styleId="295">
    <w:name w:val="cucd-0 Char"/>
    <w:link w:val="296"/>
    <w:qFormat/>
    <w:uiPriority w:val="0"/>
    <w:rPr>
      <w:rFonts w:ascii="Times New Roman" w:hAnsi="Times New Roman"/>
      <w:kern w:val="2"/>
      <w:sz w:val="24"/>
      <w:szCs w:val="24"/>
      <w:lang w:val="en-US" w:eastAsia="zh-CN" w:bidi="ar-SA"/>
    </w:rPr>
  </w:style>
  <w:style w:type="paragraph" w:customStyle="1" w:styleId="296">
    <w:name w:val="cucd-0"/>
    <w:link w:val="295"/>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297">
    <w:name w:val="fontstyle01"/>
    <w:qFormat/>
    <w:uiPriority w:val="0"/>
    <w:rPr>
      <w:rFonts w:hint="eastAsia" w:ascii="宋体" w:hAnsi="宋体" w:eastAsia="宋体"/>
      <w:color w:val="000000"/>
      <w:sz w:val="24"/>
      <w:szCs w:val="24"/>
    </w:rPr>
  </w:style>
  <w:style w:type="character" w:customStyle="1" w:styleId="298">
    <w:name w:val="fontstyle21"/>
    <w:qFormat/>
    <w:uiPriority w:val="0"/>
    <w:rPr>
      <w:rFonts w:hint="default" w:ascii="TimesNewRomanPSMT" w:hAnsi="TimesNewRomanPSMT"/>
      <w:color w:val="000000"/>
      <w:sz w:val="24"/>
      <w:szCs w:val="24"/>
    </w:rPr>
  </w:style>
  <w:style w:type="character" w:customStyle="1" w:styleId="299">
    <w:name w:val="5-正文 Char"/>
    <w:link w:val="300"/>
    <w:qFormat/>
    <w:uiPriority w:val="0"/>
    <w:rPr>
      <w:kern w:val="2"/>
      <w:sz w:val="24"/>
    </w:rPr>
  </w:style>
  <w:style w:type="paragraph" w:customStyle="1" w:styleId="300">
    <w:name w:val="5-正文"/>
    <w:basedOn w:val="1"/>
    <w:link w:val="299"/>
    <w:qFormat/>
    <w:uiPriority w:val="0"/>
    <w:pPr>
      <w:spacing w:line="360" w:lineRule="auto"/>
      <w:ind w:firstLine="200" w:firstLineChars="200"/>
      <w:jc w:val="left"/>
    </w:pPr>
    <w:rPr>
      <w:sz w:val="24"/>
      <w:szCs w:val="20"/>
      <w:lang w:val="zh-CN"/>
    </w:rPr>
  </w:style>
  <w:style w:type="character" w:customStyle="1" w:styleId="301">
    <w:name w:val="我的表格文字 Char"/>
    <w:link w:val="302"/>
    <w:qFormat/>
    <w:uiPriority w:val="0"/>
    <w:rPr>
      <w:szCs w:val="21"/>
    </w:rPr>
  </w:style>
  <w:style w:type="paragraph" w:customStyle="1" w:styleId="302">
    <w:name w:val="我的表格文字"/>
    <w:basedOn w:val="1"/>
    <w:link w:val="301"/>
    <w:qFormat/>
    <w:uiPriority w:val="0"/>
    <w:pPr>
      <w:adjustRightInd w:val="0"/>
      <w:snapToGrid w:val="0"/>
      <w:spacing w:line="300" w:lineRule="exact"/>
      <w:jc w:val="center"/>
    </w:pPr>
    <w:rPr>
      <w:kern w:val="0"/>
      <w:sz w:val="20"/>
      <w:szCs w:val="21"/>
      <w:lang w:val="zh-CN"/>
    </w:rPr>
  </w:style>
  <w:style w:type="character" w:customStyle="1" w:styleId="303">
    <w:name w:val="fontstyle11"/>
    <w:qFormat/>
    <w:uiPriority w:val="0"/>
    <w:rPr>
      <w:rFonts w:hint="default" w:ascii="TimesNewRomanPSMT" w:hAnsi="TimesNewRomanPSMT"/>
      <w:color w:val="000000"/>
      <w:sz w:val="14"/>
      <w:szCs w:val="14"/>
    </w:rPr>
  </w:style>
  <w:style w:type="character" w:customStyle="1" w:styleId="304">
    <w:name w:val="fontstyle31"/>
    <w:qFormat/>
    <w:uiPriority w:val="0"/>
    <w:rPr>
      <w:rFonts w:hint="default" w:ascii="TimesNewRomanPS-ItalicMT" w:hAnsi="TimesNewRomanPS-ItalicMT"/>
      <w:i/>
      <w:iCs/>
      <w:color w:val="000000"/>
      <w:sz w:val="14"/>
      <w:szCs w:val="14"/>
    </w:rPr>
  </w:style>
  <w:style w:type="character" w:customStyle="1" w:styleId="305">
    <w:name w:val="fontstyle41"/>
    <w:qFormat/>
    <w:uiPriority w:val="0"/>
    <w:rPr>
      <w:rFonts w:hint="default" w:ascii="SymbolMT" w:hAnsi="SymbolMT"/>
      <w:color w:val="000000"/>
      <w:sz w:val="24"/>
      <w:szCs w:val="24"/>
    </w:rPr>
  </w:style>
  <w:style w:type="character" w:customStyle="1" w:styleId="306">
    <w:name w:val="fontstyle51"/>
    <w:qFormat/>
    <w:uiPriority w:val="0"/>
    <w:rPr>
      <w:rFonts w:hint="eastAsia" w:ascii="仿宋_GB2312" w:eastAsia="仿宋_GB2312"/>
      <w:color w:val="000000"/>
      <w:sz w:val="18"/>
      <w:szCs w:val="18"/>
    </w:rPr>
  </w:style>
  <w:style w:type="character" w:customStyle="1" w:styleId="307">
    <w:name w:val="样式 首行缩进:  2 字符 行距: 最小值 24 磅 Char Char Char Char"/>
    <w:qFormat/>
    <w:uiPriority w:val="0"/>
    <w:rPr>
      <w:rFonts w:cs="宋体"/>
      <w:spacing w:val="6"/>
      <w:sz w:val="24"/>
    </w:rPr>
  </w:style>
  <w:style w:type="character" w:customStyle="1" w:styleId="308">
    <w:name w:val="表格样式 Char"/>
    <w:link w:val="309"/>
    <w:qFormat/>
    <w:uiPriority w:val="0"/>
    <w:rPr>
      <w:rFonts w:ascii="Times New Roman" w:hAnsi="Times New Roman"/>
      <w:kern w:val="2"/>
      <w:sz w:val="21"/>
      <w:szCs w:val="21"/>
    </w:rPr>
  </w:style>
  <w:style w:type="paragraph" w:customStyle="1" w:styleId="309">
    <w:name w:val="表格样式"/>
    <w:basedOn w:val="1"/>
    <w:link w:val="308"/>
    <w:qFormat/>
    <w:uiPriority w:val="0"/>
    <w:pPr>
      <w:adjustRightInd w:val="0"/>
      <w:snapToGrid w:val="0"/>
      <w:jc w:val="center"/>
    </w:pPr>
    <w:rPr>
      <w:rFonts w:ascii="Times New Roman" w:hAnsi="Times New Roman"/>
      <w:szCs w:val="21"/>
    </w:rPr>
  </w:style>
  <w:style w:type="character" w:customStyle="1" w:styleId="310">
    <w:name w:val="标题 1 Char1"/>
    <w:qFormat/>
    <w:uiPriority w:val="9"/>
    <w:rPr>
      <w:b/>
      <w:bCs/>
      <w:kern w:val="44"/>
      <w:sz w:val="44"/>
      <w:szCs w:val="44"/>
    </w:rPr>
  </w:style>
  <w:style w:type="character" w:customStyle="1" w:styleId="311">
    <w:name w:val="标题 3 Char1"/>
    <w:semiHidden/>
    <w:qFormat/>
    <w:uiPriority w:val="0"/>
    <w:rPr>
      <w:b/>
      <w:bCs/>
      <w:kern w:val="2"/>
      <w:sz w:val="32"/>
      <w:szCs w:val="32"/>
    </w:rPr>
  </w:style>
  <w:style w:type="character" w:customStyle="1" w:styleId="312">
    <w:name w:val="标题 5 Char1"/>
    <w:semiHidden/>
    <w:qFormat/>
    <w:uiPriority w:val="0"/>
    <w:rPr>
      <w:b/>
      <w:bCs/>
      <w:kern w:val="2"/>
      <w:sz w:val="28"/>
      <w:szCs w:val="28"/>
    </w:rPr>
  </w:style>
  <w:style w:type="character" w:customStyle="1" w:styleId="313">
    <w:name w:val="标题 6 Char1"/>
    <w:semiHidden/>
    <w:qFormat/>
    <w:uiPriority w:val="0"/>
    <w:rPr>
      <w:rFonts w:ascii="Cambria" w:hAnsi="Cambria" w:eastAsia="宋体" w:cs="Times New Roman"/>
      <w:b/>
      <w:bCs/>
      <w:kern w:val="2"/>
      <w:sz w:val="24"/>
      <w:szCs w:val="24"/>
    </w:rPr>
  </w:style>
  <w:style w:type="character" w:customStyle="1" w:styleId="314">
    <w:name w:val="标题 7 Char1"/>
    <w:semiHidden/>
    <w:qFormat/>
    <w:uiPriority w:val="0"/>
    <w:rPr>
      <w:b/>
      <w:bCs/>
      <w:kern w:val="2"/>
      <w:sz w:val="24"/>
      <w:szCs w:val="24"/>
    </w:rPr>
  </w:style>
  <w:style w:type="character" w:customStyle="1" w:styleId="315">
    <w:name w:val="标题 8 Char1"/>
    <w:semiHidden/>
    <w:qFormat/>
    <w:uiPriority w:val="0"/>
    <w:rPr>
      <w:rFonts w:ascii="Cambria" w:hAnsi="Cambria" w:eastAsia="宋体" w:cs="Times New Roman"/>
      <w:kern w:val="2"/>
      <w:sz w:val="24"/>
      <w:szCs w:val="24"/>
    </w:rPr>
  </w:style>
  <w:style w:type="character" w:customStyle="1" w:styleId="316">
    <w:name w:val="标题 9 Char1"/>
    <w:semiHidden/>
    <w:qFormat/>
    <w:uiPriority w:val="0"/>
    <w:rPr>
      <w:rFonts w:ascii="Cambria" w:hAnsi="Cambria" w:eastAsia="宋体" w:cs="Times New Roman"/>
      <w:kern w:val="2"/>
      <w:sz w:val="21"/>
      <w:szCs w:val="21"/>
    </w:rPr>
  </w:style>
  <w:style w:type="character" w:customStyle="1" w:styleId="317">
    <w:name w:val="页眉 Char1"/>
    <w:semiHidden/>
    <w:qFormat/>
    <w:uiPriority w:val="99"/>
    <w:rPr>
      <w:kern w:val="2"/>
      <w:sz w:val="18"/>
      <w:szCs w:val="18"/>
    </w:rPr>
  </w:style>
  <w:style w:type="character" w:customStyle="1" w:styleId="318">
    <w:name w:val="页脚 Char1"/>
    <w:semiHidden/>
    <w:qFormat/>
    <w:uiPriority w:val="99"/>
    <w:rPr>
      <w:kern w:val="2"/>
      <w:sz w:val="18"/>
      <w:szCs w:val="18"/>
    </w:rPr>
  </w:style>
  <w:style w:type="character" w:customStyle="1" w:styleId="319">
    <w:name w:val="正文首行缩进 Char1"/>
    <w:semiHidden/>
    <w:qFormat/>
    <w:uiPriority w:val="0"/>
    <w:rPr>
      <w:kern w:val="2"/>
      <w:sz w:val="21"/>
      <w:szCs w:val="22"/>
    </w:rPr>
  </w:style>
  <w:style w:type="character" w:customStyle="1" w:styleId="320">
    <w:name w:val="正文文本缩进 2 Char1"/>
    <w:semiHidden/>
    <w:qFormat/>
    <w:uiPriority w:val="0"/>
    <w:rPr>
      <w:kern w:val="2"/>
      <w:sz w:val="21"/>
      <w:szCs w:val="22"/>
    </w:rPr>
  </w:style>
  <w:style w:type="character" w:customStyle="1" w:styleId="321">
    <w:name w:val="正文文本缩进 3 Char1"/>
    <w:semiHidden/>
    <w:qFormat/>
    <w:uiPriority w:val="0"/>
    <w:rPr>
      <w:kern w:val="2"/>
      <w:sz w:val="16"/>
      <w:szCs w:val="16"/>
    </w:rPr>
  </w:style>
  <w:style w:type="character" w:customStyle="1" w:styleId="322">
    <w:name w:val="普通(网站) Char"/>
    <w:qFormat/>
    <w:uiPriority w:val="0"/>
    <w:rPr>
      <w:kern w:val="2"/>
      <w:sz w:val="24"/>
      <w:szCs w:val="22"/>
    </w:rPr>
  </w:style>
  <w:style w:type="character" w:customStyle="1" w:styleId="323">
    <w:name w:val="签名 Char1"/>
    <w:semiHidden/>
    <w:qFormat/>
    <w:uiPriority w:val="0"/>
    <w:rPr>
      <w:kern w:val="2"/>
      <w:sz w:val="21"/>
      <w:szCs w:val="22"/>
    </w:rPr>
  </w:style>
  <w:style w:type="character" w:customStyle="1" w:styleId="324">
    <w:name w:val="文档结构图 Char1"/>
    <w:semiHidden/>
    <w:qFormat/>
    <w:uiPriority w:val="0"/>
    <w:rPr>
      <w:rFonts w:ascii="宋体"/>
      <w:kern w:val="2"/>
      <w:sz w:val="18"/>
      <w:szCs w:val="18"/>
    </w:rPr>
  </w:style>
  <w:style w:type="character" w:customStyle="1" w:styleId="325">
    <w:name w:val="称呼 Char1"/>
    <w:semiHidden/>
    <w:qFormat/>
    <w:uiPriority w:val="0"/>
    <w:rPr>
      <w:kern w:val="2"/>
      <w:sz w:val="21"/>
      <w:szCs w:val="22"/>
    </w:rPr>
  </w:style>
  <w:style w:type="character" w:customStyle="1" w:styleId="326">
    <w:name w:val="正文文本 3 Char1"/>
    <w:semiHidden/>
    <w:qFormat/>
    <w:uiPriority w:val="0"/>
    <w:rPr>
      <w:kern w:val="2"/>
      <w:sz w:val="16"/>
      <w:szCs w:val="16"/>
    </w:rPr>
  </w:style>
  <w:style w:type="character" w:customStyle="1" w:styleId="327">
    <w:name w:val="日期 Char1"/>
    <w:semiHidden/>
    <w:qFormat/>
    <w:uiPriority w:val="0"/>
    <w:rPr>
      <w:kern w:val="2"/>
      <w:sz w:val="21"/>
      <w:szCs w:val="22"/>
    </w:rPr>
  </w:style>
  <w:style w:type="character" w:customStyle="1" w:styleId="328">
    <w:name w:val="Char Char181"/>
    <w:qFormat/>
    <w:uiPriority w:val="0"/>
    <w:rPr>
      <w:sz w:val="18"/>
      <w:szCs w:val="18"/>
      <w:lang w:bidi="ar-SA"/>
    </w:rPr>
  </w:style>
  <w:style w:type="character" w:customStyle="1" w:styleId="329">
    <w:name w:val="正文文本 2 Char1"/>
    <w:semiHidden/>
    <w:qFormat/>
    <w:uiPriority w:val="0"/>
    <w:rPr>
      <w:kern w:val="2"/>
      <w:sz w:val="21"/>
      <w:szCs w:val="22"/>
    </w:rPr>
  </w:style>
  <w:style w:type="character" w:customStyle="1" w:styleId="330">
    <w:name w:val="标题 Char1"/>
    <w:qFormat/>
    <w:uiPriority w:val="0"/>
    <w:rPr>
      <w:rFonts w:ascii="Cambria" w:hAnsi="Cambria" w:cs="Times New Roman"/>
      <w:b/>
      <w:bCs/>
      <w:kern w:val="2"/>
      <w:sz w:val="32"/>
      <w:szCs w:val="32"/>
    </w:rPr>
  </w:style>
  <w:style w:type="character" w:customStyle="1" w:styleId="331">
    <w:name w:val="电子邮件签名 Char1"/>
    <w:semiHidden/>
    <w:qFormat/>
    <w:uiPriority w:val="0"/>
    <w:rPr>
      <w:kern w:val="2"/>
      <w:sz w:val="21"/>
      <w:szCs w:val="22"/>
    </w:rPr>
  </w:style>
  <w:style w:type="character" w:customStyle="1" w:styleId="332">
    <w:name w:val="结束语 Char1"/>
    <w:semiHidden/>
    <w:qFormat/>
    <w:uiPriority w:val="0"/>
    <w:rPr>
      <w:kern w:val="2"/>
      <w:sz w:val="21"/>
      <w:szCs w:val="22"/>
    </w:rPr>
  </w:style>
  <w:style w:type="character" w:customStyle="1" w:styleId="333">
    <w:name w:val="副标题 Char1"/>
    <w:qFormat/>
    <w:uiPriority w:val="0"/>
    <w:rPr>
      <w:rFonts w:ascii="Cambria" w:hAnsi="Cambria" w:cs="Times New Roman"/>
      <w:b/>
      <w:bCs/>
      <w:kern w:val="28"/>
      <w:sz w:val="32"/>
      <w:szCs w:val="32"/>
    </w:rPr>
  </w:style>
  <w:style w:type="character" w:customStyle="1" w:styleId="334">
    <w:name w:val="信息标题 Char1"/>
    <w:semiHidden/>
    <w:qFormat/>
    <w:uiPriority w:val="0"/>
    <w:rPr>
      <w:rFonts w:ascii="Cambria" w:hAnsi="Cambria" w:eastAsia="宋体" w:cs="Times New Roman"/>
      <w:kern w:val="2"/>
      <w:sz w:val="24"/>
      <w:szCs w:val="24"/>
      <w:shd w:val="pct20" w:color="auto" w:fill="auto"/>
    </w:rPr>
  </w:style>
  <w:style w:type="character" w:customStyle="1" w:styleId="335">
    <w:name w:val="正文首行缩进 2 Char1"/>
    <w:semiHidden/>
    <w:qFormat/>
    <w:uiPriority w:val="0"/>
    <w:rPr>
      <w:rFonts w:eastAsia="宋体"/>
      <w:kern w:val="2"/>
      <w:sz w:val="21"/>
      <w:szCs w:val="22"/>
      <w:lang w:val="en-US" w:eastAsia="zh-CN" w:bidi="ar-SA"/>
    </w:rPr>
  </w:style>
  <w:style w:type="character" w:customStyle="1" w:styleId="336">
    <w:name w:val="注释标题 Char1"/>
    <w:semiHidden/>
    <w:qFormat/>
    <w:uiPriority w:val="0"/>
    <w:rPr>
      <w:kern w:val="2"/>
      <w:sz w:val="21"/>
      <w:szCs w:val="22"/>
    </w:rPr>
  </w:style>
  <w:style w:type="character" w:customStyle="1" w:styleId="337">
    <w:name w:val="批注主题 Char1"/>
    <w:semiHidden/>
    <w:qFormat/>
    <w:uiPriority w:val="0"/>
    <w:rPr>
      <w:b/>
      <w:bCs/>
      <w:kern w:val="2"/>
      <w:sz w:val="21"/>
      <w:szCs w:val="22"/>
    </w:rPr>
  </w:style>
  <w:style w:type="character" w:customStyle="1" w:styleId="338">
    <w:name w:val="Char Char321"/>
    <w:qFormat/>
    <w:uiPriority w:val="0"/>
    <w:rPr>
      <w:rFonts w:hint="default" w:ascii="Arial" w:hAnsi="Arial" w:eastAsia="黑体" w:cs="Times New Roman"/>
      <w:b/>
      <w:bCs/>
      <w:sz w:val="28"/>
      <w:szCs w:val="28"/>
    </w:rPr>
  </w:style>
  <w:style w:type="character" w:customStyle="1" w:styleId="339">
    <w:name w:val="z-窗体顶端 Char"/>
    <w:link w:val="340"/>
    <w:qFormat/>
    <w:uiPriority w:val="0"/>
    <w:rPr>
      <w:rFonts w:ascii="Cambria" w:hAnsi="Cambria"/>
      <w:b/>
      <w:bCs/>
      <w:sz w:val="32"/>
      <w:szCs w:val="32"/>
      <w:lang w:val="en-US" w:eastAsia="zh-CN"/>
    </w:rPr>
  </w:style>
  <w:style w:type="paragraph" w:customStyle="1" w:styleId="340">
    <w:name w:val="z-窗体顶端1"/>
    <w:basedOn w:val="1"/>
    <w:next w:val="1"/>
    <w:link w:val="339"/>
    <w:qFormat/>
    <w:uiPriority w:val="0"/>
    <w:pPr>
      <w:widowControl/>
      <w:pBdr>
        <w:bottom w:val="single" w:color="auto" w:sz="6" w:space="1"/>
      </w:pBdr>
      <w:jc w:val="center"/>
    </w:pPr>
    <w:rPr>
      <w:rFonts w:ascii="Cambria" w:hAnsi="Cambria"/>
      <w:b/>
      <w:bCs/>
      <w:kern w:val="0"/>
      <w:sz w:val="32"/>
      <w:szCs w:val="32"/>
    </w:rPr>
  </w:style>
  <w:style w:type="character" w:customStyle="1" w:styleId="341">
    <w:name w:val="z-窗体底端 Char"/>
    <w:link w:val="342"/>
    <w:qFormat/>
    <w:uiPriority w:val="0"/>
    <w:rPr>
      <w:rFonts w:ascii="Arial" w:hAnsi="Arial" w:cs="Arial"/>
      <w:vanish/>
      <w:sz w:val="16"/>
      <w:szCs w:val="16"/>
    </w:rPr>
  </w:style>
  <w:style w:type="paragraph" w:customStyle="1" w:styleId="342">
    <w:name w:val="z-窗体底端1"/>
    <w:basedOn w:val="1"/>
    <w:next w:val="1"/>
    <w:link w:val="341"/>
    <w:qFormat/>
    <w:uiPriority w:val="0"/>
    <w:pPr>
      <w:widowControl/>
      <w:pBdr>
        <w:top w:val="single" w:color="auto" w:sz="6" w:space="1"/>
      </w:pBdr>
      <w:jc w:val="center"/>
    </w:pPr>
    <w:rPr>
      <w:rFonts w:ascii="Arial" w:hAnsi="Arial" w:cs="Arial"/>
      <w:vanish/>
      <w:kern w:val="0"/>
      <w:sz w:val="16"/>
      <w:szCs w:val="16"/>
    </w:rPr>
  </w:style>
  <w:style w:type="character" w:customStyle="1" w:styleId="343">
    <w:name w:val="Char Char Char1"/>
    <w:qFormat/>
    <w:uiPriority w:val="0"/>
    <w:rPr>
      <w:rFonts w:hint="eastAsia" w:ascii="宋体" w:hAnsi="宋体" w:eastAsia="宋体"/>
      <w:kern w:val="2"/>
      <w:sz w:val="21"/>
      <w:szCs w:val="24"/>
      <w:lang w:val="en-US" w:eastAsia="zh-CN" w:bidi="ar-SA"/>
    </w:rPr>
  </w:style>
  <w:style w:type="character" w:customStyle="1" w:styleId="344">
    <w:name w:val="Char Char311"/>
    <w:qFormat/>
    <w:uiPriority w:val="0"/>
    <w:rPr>
      <w:rFonts w:hint="default" w:ascii="Arial" w:hAnsi="Arial" w:eastAsia="黑体" w:cs="Arial"/>
      <w:b/>
      <w:bCs/>
      <w:kern w:val="2"/>
      <w:sz w:val="28"/>
      <w:szCs w:val="28"/>
      <w:lang w:val="en-US" w:eastAsia="zh-CN" w:bidi="ar-SA"/>
    </w:rPr>
  </w:style>
  <w:style w:type="character" w:customStyle="1" w:styleId="345">
    <w:name w:val="Char Char301"/>
    <w:qFormat/>
    <w:uiPriority w:val="0"/>
    <w:rPr>
      <w:rFonts w:hint="eastAsia" w:ascii="宋体" w:hAnsi="宋体" w:eastAsia="宋体"/>
      <w:kern w:val="2"/>
      <w:sz w:val="28"/>
      <w:szCs w:val="24"/>
      <w:lang w:val="en-US" w:eastAsia="zh-CN" w:bidi="ar-SA"/>
    </w:rPr>
  </w:style>
  <w:style w:type="character" w:customStyle="1" w:styleId="346">
    <w:name w:val="Char Char291"/>
    <w:qFormat/>
    <w:uiPriority w:val="0"/>
    <w:rPr>
      <w:rFonts w:hint="default" w:ascii="Arial" w:hAnsi="Arial" w:eastAsia="黑体" w:cs="Arial"/>
      <w:b/>
      <w:bCs/>
      <w:kern w:val="2"/>
      <w:sz w:val="24"/>
      <w:szCs w:val="24"/>
      <w:lang w:val="en-US" w:eastAsia="zh-CN" w:bidi="ar-SA"/>
    </w:rPr>
  </w:style>
  <w:style w:type="character" w:customStyle="1" w:styleId="347">
    <w:name w:val="Char Char281"/>
    <w:qFormat/>
    <w:uiPriority w:val="0"/>
    <w:rPr>
      <w:rFonts w:hint="eastAsia" w:ascii="宋体" w:hAnsi="宋体" w:eastAsia="宋体"/>
      <w:kern w:val="2"/>
      <w:sz w:val="28"/>
      <w:szCs w:val="24"/>
      <w:lang w:val="en-US" w:eastAsia="zh-CN" w:bidi="ar-SA"/>
    </w:rPr>
  </w:style>
  <w:style w:type="character" w:customStyle="1" w:styleId="348">
    <w:name w:val="Char Char271"/>
    <w:qFormat/>
    <w:uiPriority w:val="0"/>
    <w:rPr>
      <w:rFonts w:hint="default" w:ascii="Arial" w:hAnsi="Arial" w:eastAsia="黑体" w:cs="Arial"/>
      <w:kern w:val="2"/>
      <w:sz w:val="24"/>
      <w:szCs w:val="24"/>
      <w:lang w:val="en-US" w:eastAsia="zh-CN" w:bidi="ar-SA"/>
    </w:rPr>
  </w:style>
  <w:style w:type="character" w:customStyle="1" w:styleId="349">
    <w:name w:val="Char Char261"/>
    <w:qFormat/>
    <w:uiPriority w:val="0"/>
    <w:rPr>
      <w:rFonts w:hint="default" w:ascii="Calibri" w:hAnsi="Calibri" w:eastAsia="宋体" w:cs="Calibri"/>
      <w:kern w:val="2"/>
      <w:sz w:val="21"/>
      <w:szCs w:val="22"/>
      <w:lang w:val="en-US" w:eastAsia="zh-CN" w:bidi="ar-SA"/>
    </w:rPr>
  </w:style>
  <w:style w:type="character" w:customStyle="1" w:styleId="350">
    <w:name w:val="Char Char251"/>
    <w:qFormat/>
    <w:uiPriority w:val="0"/>
    <w:rPr>
      <w:rFonts w:hint="default" w:ascii="Calibri" w:hAnsi="Calibri" w:eastAsia="宋体" w:cs="Calibri"/>
      <w:kern w:val="2"/>
      <w:sz w:val="18"/>
      <w:szCs w:val="18"/>
      <w:lang w:val="en-US" w:eastAsia="zh-CN" w:bidi="ar-SA"/>
    </w:rPr>
  </w:style>
  <w:style w:type="character" w:customStyle="1" w:styleId="351">
    <w:name w:val="Char Char241"/>
    <w:qFormat/>
    <w:uiPriority w:val="0"/>
    <w:rPr>
      <w:rFonts w:hint="default" w:ascii="Calibri" w:hAnsi="Calibri" w:eastAsia="宋体" w:cs="Calibri"/>
      <w:kern w:val="2"/>
      <w:sz w:val="18"/>
      <w:szCs w:val="18"/>
      <w:lang w:val="en-US" w:eastAsia="zh-CN" w:bidi="ar-SA"/>
    </w:rPr>
  </w:style>
  <w:style w:type="character" w:customStyle="1" w:styleId="352">
    <w:name w:val="Char Char231"/>
    <w:qFormat/>
    <w:uiPriority w:val="0"/>
    <w:rPr>
      <w:rFonts w:hint="eastAsia" w:ascii="宋体" w:hAnsi="宋体" w:eastAsia="宋体"/>
      <w:color w:val="0000FF"/>
      <w:kern w:val="2"/>
      <w:sz w:val="24"/>
      <w:szCs w:val="24"/>
      <w:lang w:val="en-US" w:eastAsia="zh-CN" w:bidi="ar-SA"/>
    </w:rPr>
  </w:style>
  <w:style w:type="character" w:customStyle="1" w:styleId="353">
    <w:name w:val="明显强调1"/>
    <w:qFormat/>
    <w:uiPriority w:val="21"/>
    <w:rPr>
      <w:b/>
      <w:bCs/>
      <w:i/>
      <w:iCs/>
      <w:color w:val="4F81BD"/>
    </w:rPr>
  </w:style>
  <w:style w:type="paragraph" w:customStyle="1" w:styleId="354">
    <w:name w:val="目录 41"/>
    <w:basedOn w:val="1"/>
    <w:next w:val="1"/>
    <w:qFormat/>
    <w:uiPriority w:val="0"/>
    <w:pPr>
      <w:ind w:left="630"/>
      <w:jc w:val="left"/>
    </w:pPr>
    <w:rPr>
      <w:sz w:val="18"/>
      <w:szCs w:val="18"/>
    </w:rPr>
  </w:style>
  <w:style w:type="paragraph" w:customStyle="1" w:styleId="355">
    <w:name w:val="目录 81"/>
    <w:basedOn w:val="1"/>
    <w:next w:val="1"/>
    <w:qFormat/>
    <w:uiPriority w:val="0"/>
    <w:pPr>
      <w:ind w:left="1470"/>
      <w:jc w:val="left"/>
    </w:pPr>
    <w:rPr>
      <w:sz w:val="18"/>
      <w:szCs w:val="18"/>
    </w:rPr>
  </w:style>
  <w:style w:type="paragraph" w:customStyle="1" w:styleId="356">
    <w:name w:val="目录 21"/>
    <w:basedOn w:val="1"/>
    <w:next w:val="1"/>
    <w:unhideWhenUsed/>
    <w:qFormat/>
    <w:uiPriority w:val="39"/>
    <w:pPr>
      <w:ind w:left="420" w:leftChars="200"/>
    </w:pPr>
  </w:style>
  <w:style w:type="paragraph" w:customStyle="1" w:styleId="357">
    <w:name w:val="目录 31"/>
    <w:basedOn w:val="1"/>
    <w:next w:val="1"/>
    <w:unhideWhenUsed/>
    <w:qFormat/>
    <w:uiPriority w:val="39"/>
    <w:pPr>
      <w:ind w:left="840" w:leftChars="400"/>
    </w:pPr>
  </w:style>
  <w:style w:type="paragraph" w:customStyle="1" w:styleId="358">
    <w:name w:val="目录 11"/>
    <w:basedOn w:val="1"/>
    <w:next w:val="1"/>
    <w:unhideWhenUsed/>
    <w:qFormat/>
    <w:uiPriority w:val="39"/>
    <w:pPr>
      <w:tabs>
        <w:tab w:val="right" w:leader="dot" w:pos="8302"/>
      </w:tabs>
      <w:jc w:val="center"/>
    </w:pPr>
    <w:rPr>
      <w:b/>
      <w:snapToGrid w:val="0"/>
      <w:kern w:val="0"/>
      <w:sz w:val="32"/>
      <w:szCs w:val="32"/>
    </w:rPr>
  </w:style>
  <w:style w:type="paragraph" w:customStyle="1" w:styleId="359">
    <w:name w:val="目录 91"/>
    <w:basedOn w:val="1"/>
    <w:next w:val="1"/>
    <w:qFormat/>
    <w:uiPriority w:val="0"/>
    <w:pPr>
      <w:ind w:left="1680"/>
      <w:jc w:val="left"/>
    </w:pPr>
    <w:rPr>
      <w:sz w:val="18"/>
      <w:szCs w:val="18"/>
    </w:rPr>
  </w:style>
  <w:style w:type="paragraph" w:customStyle="1" w:styleId="360">
    <w:name w:val="目录 51"/>
    <w:basedOn w:val="1"/>
    <w:next w:val="1"/>
    <w:qFormat/>
    <w:uiPriority w:val="0"/>
    <w:pPr>
      <w:ind w:left="840"/>
      <w:jc w:val="left"/>
    </w:pPr>
    <w:rPr>
      <w:sz w:val="18"/>
      <w:szCs w:val="18"/>
    </w:rPr>
  </w:style>
  <w:style w:type="paragraph" w:customStyle="1" w:styleId="361">
    <w:name w:val="目录 71"/>
    <w:basedOn w:val="1"/>
    <w:next w:val="1"/>
    <w:qFormat/>
    <w:uiPriority w:val="0"/>
    <w:pPr>
      <w:ind w:left="1260"/>
      <w:jc w:val="left"/>
    </w:pPr>
    <w:rPr>
      <w:sz w:val="18"/>
      <w:szCs w:val="18"/>
    </w:rPr>
  </w:style>
  <w:style w:type="paragraph" w:customStyle="1" w:styleId="362">
    <w:name w:val="目录 61"/>
    <w:basedOn w:val="1"/>
    <w:next w:val="1"/>
    <w:qFormat/>
    <w:uiPriority w:val="0"/>
    <w:pPr>
      <w:ind w:left="1050"/>
      <w:jc w:val="left"/>
    </w:pPr>
    <w:rPr>
      <w:sz w:val="18"/>
      <w:szCs w:val="18"/>
    </w:rPr>
  </w:style>
  <w:style w:type="paragraph" w:customStyle="1" w:styleId="363">
    <w:name w:val="xl32"/>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364">
    <w:name w:val="xl31"/>
    <w:basedOn w:val="1"/>
    <w:qFormat/>
    <w:uiPriority w:val="0"/>
    <w:pPr>
      <w:widowControl/>
      <w:spacing w:before="100" w:beforeAutospacing="1" w:after="100" w:afterAutospacing="1" w:line="240" w:lineRule="atLeast"/>
      <w:jc w:val="left"/>
    </w:pPr>
    <w:rPr>
      <w:rFonts w:hint="eastAsia" w:ascii="宋体" w:hAnsi="宋体" w:cs="Century"/>
      <w:color w:val="000000"/>
      <w:kern w:val="0"/>
      <w:sz w:val="32"/>
      <w:szCs w:val="32"/>
    </w:rPr>
  </w:style>
  <w:style w:type="paragraph" w:customStyle="1" w:styleId="365">
    <w:name w:val="xl34"/>
    <w:basedOn w:val="1"/>
    <w:qFormat/>
    <w:uiPriority w:val="0"/>
    <w:pPr>
      <w:widowControl/>
      <w:spacing w:before="100" w:beforeAutospacing="1" w:after="100" w:afterAutospacing="1" w:line="240" w:lineRule="atLeast"/>
      <w:jc w:val="left"/>
      <w:textAlignment w:val="center"/>
    </w:pPr>
    <w:rPr>
      <w:rFonts w:ascii="Times New Roman" w:hAnsi="Times New Roman" w:eastAsia="Arial Unicode MS"/>
      <w:color w:val="000000"/>
      <w:kern w:val="0"/>
      <w:sz w:val="32"/>
      <w:szCs w:val="32"/>
    </w:rPr>
  </w:style>
  <w:style w:type="paragraph" w:customStyle="1" w:styleId="366">
    <w:name w:val="7"/>
    <w:basedOn w:val="1"/>
    <w:next w:val="21"/>
    <w:qFormat/>
    <w:uiPriority w:val="0"/>
    <w:pPr>
      <w:spacing w:line="240" w:lineRule="atLeast"/>
      <w:ind w:firstLine="420"/>
    </w:pPr>
    <w:rPr>
      <w:rFonts w:ascii="宋体" w:hAnsi="Times New Roman"/>
      <w:spacing w:val="5"/>
      <w:sz w:val="24"/>
      <w:szCs w:val="25"/>
    </w:rPr>
  </w:style>
  <w:style w:type="paragraph" w:customStyle="1" w:styleId="367">
    <w:name w:val="xl35"/>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368">
    <w:name w:val="Char Char Char Char Char Char Char Char Char Char Char Char Char Char Char Char Char Char Char Char Char Char"/>
    <w:basedOn w:val="6"/>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spacing w:val="5"/>
      <w:sz w:val="24"/>
      <w:szCs w:val="24"/>
    </w:rPr>
  </w:style>
  <w:style w:type="paragraph" w:customStyle="1" w:styleId="369">
    <w:name w:val="样式 样式 标题 3标题 3 Char Char标题 3 Char Char Char Char Char标题 3 Char C..."/>
    <w:basedOn w:val="1"/>
    <w:qFormat/>
    <w:uiPriority w:val="0"/>
    <w:pPr>
      <w:tabs>
        <w:tab w:val="left" w:pos="4500"/>
      </w:tabs>
      <w:snapToGrid w:val="0"/>
      <w:spacing w:before="120" w:after="120" w:line="440" w:lineRule="exact"/>
      <w:outlineLvl w:val="2"/>
    </w:pPr>
    <w:rPr>
      <w:rFonts w:ascii="宋体" w:hAnsi="Times New Roman" w:cs="宋体"/>
      <w:b/>
      <w:bCs/>
      <w:spacing w:val="5"/>
      <w:kern w:val="0"/>
      <w:sz w:val="24"/>
      <w:szCs w:val="24"/>
    </w:rPr>
  </w:style>
  <w:style w:type="paragraph" w:customStyle="1" w:styleId="370">
    <w:name w:val="样式 样式2 + 首行缩进:  2 字符"/>
    <w:basedOn w:val="371"/>
    <w:qFormat/>
    <w:uiPriority w:val="0"/>
    <w:pPr>
      <w:adjustRightInd/>
      <w:snapToGrid/>
      <w:spacing w:line="480" w:lineRule="atLeast"/>
      <w:ind w:firstLine="200" w:firstLineChars="200"/>
      <w:jc w:val="both"/>
      <w:outlineLvl w:val="9"/>
    </w:pPr>
    <w:rPr>
      <w:rFonts w:ascii="宋体" w:cs="宋体"/>
      <w:spacing w:val="5"/>
      <w:sz w:val="28"/>
      <w:szCs w:val="20"/>
    </w:rPr>
  </w:style>
  <w:style w:type="paragraph" w:customStyle="1" w:styleId="371">
    <w:name w:val="样式2"/>
    <w:basedOn w:val="4"/>
    <w:qFormat/>
    <w:uiPriority w:val="0"/>
    <w:pPr>
      <w:keepNext w:val="0"/>
      <w:keepLines w:val="0"/>
      <w:adjustRightInd w:val="0"/>
      <w:snapToGrid w:val="0"/>
      <w:spacing w:before="0" w:after="0" w:line="240" w:lineRule="auto"/>
      <w:jc w:val="center"/>
    </w:pPr>
    <w:rPr>
      <w:rFonts w:ascii="Times New Roman" w:hAnsi="Times New Roman"/>
      <w:b w:val="0"/>
      <w:bCs w:val="0"/>
      <w:kern w:val="2"/>
      <w:sz w:val="21"/>
      <w:szCs w:val="21"/>
    </w:rPr>
  </w:style>
  <w:style w:type="paragraph" w:customStyle="1" w:styleId="372">
    <w:name w:val="样式 报告正文 + 首行缩进:  2 字符"/>
    <w:basedOn w:val="1"/>
    <w:qFormat/>
    <w:uiPriority w:val="0"/>
    <w:pPr>
      <w:spacing w:line="480" w:lineRule="exact"/>
      <w:ind w:firstLine="480" w:firstLineChars="200"/>
    </w:pPr>
    <w:rPr>
      <w:rFonts w:ascii="宋体" w:hAnsi="Times New Roman" w:cs="宋体"/>
      <w:spacing w:val="5"/>
      <w:sz w:val="24"/>
      <w:szCs w:val="25"/>
    </w:rPr>
  </w:style>
  <w:style w:type="paragraph" w:customStyle="1" w:styleId="373">
    <w:name w:val="样式6"/>
    <w:basedOn w:val="374"/>
    <w:qFormat/>
    <w:uiPriority w:val="0"/>
    <w:pPr>
      <w:tabs>
        <w:tab w:val="left" w:pos="360"/>
      </w:tabs>
    </w:pPr>
    <w:rPr>
      <w:b/>
    </w:rPr>
  </w:style>
  <w:style w:type="paragraph" w:customStyle="1" w:styleId="374">
    <w:name w:val="样式4"/>
    <w:basedOn w:val="5"/>
    <w:qFormat/>
    <w:uiPriority w:val="0"/>
    <w:pPr>
      <w:tabs>
        <w:tab w:val="left" w:pos="360"/>
      </w:tabs>
      <w:spacing w:before="0" w:after="0" w:line="440" w:lineRule="atLeast"/>
    </w:pPr>
    <w:rPr>
      <w:rFonts w:ascii="宋体" w:hAnsi="Arial" w:eastAsia="黑体"/>
      <w:b w:val="0"/>
      <w:bCs w:val="0"/>
      <w:spacing w:val="5"/>
      <w:sz w:val="30"/>
      <w:szCs w:val="30"/>
    </w:rPr>
  </w:style>
  <w:style w:type="paragraph" w:customStyle="1" w:styleId="375">
    <w:name w:val="2"/>
    <w:basedOn w:val="1"/>
    <w:next w:val="65"/>
    <w:qFormat/>
    <w:uiPriority w:val="0"/>
    <w:pPr>
      <w:ind w:firstLine="527" w:firstLineChars="200"/>
    </w:pPr>
    <w:rPr>
      <w:rFonts w:ascii="宋体" w:hAnsi="Times New Roman"/>
      <w:spacing w:val="5"/>
      <w:sz w:val="25"/>
      <w:szCs w:val="25"/>
    </w:rPr>
  </w:style>
  <w:style w:type="paragraph" w:customStyle="1" w:styleId="376">
    <w:name w:val="Char2"/>
    <w:basedOn w:val="1"/>
    <w:qFormat/>
    <w:uiPriority w:val="0"/>
    <w:rPr>
      <w:rFonts w:ascii="宋体" w:hAnsi="宋体" w:cs="Courier New"/>
      <w:sz w:val="32"/>
      <w:szCs w:val="32"/>
    </w:rPr>
  </w:style>
  <w:style w:type="paragraph" w:customStyle="1" w:styleId="377">
    <w:name w:val="报告正文"/>
    <w:basedOn w:val="34"/>
    <w:qFormat/>
    <w:uiPriority w:val="0"/>
    <w:pPr>
      <w:snapToGrid w:val="0"/>
      <w:spacing w:after="0" w:line="460" w:lineRule="atLeast"/>
      <w:ind w:firstLine="200" w:firstLineChars="200"/>
    </w:pPr>
    <w:rPr>
      <w:rFonts w:ascii="宋体" w:cs="宋体"/>
      <w:spacing w:val="5"/>
      <w:szCs w:val="20"/>
    </w:rPr>
  </w:style>
  <w:style w:type="paragraph" w:customStyle="1" w:styleId="378">
    <w:name w:val="报告书表格5"/>
    <w:basedOn w:val="1"/>
    <w:qFormat/>
    <w:uiPriority w:val="0"/>
    <w:pPr>
      <w:adjustRightInd w:val="0"/>
      <w:spacing w:before="60" w:after="60" w:line="240" w:lineRule="atLeast"/>
      <w:ind w:left="-96" w:leftChars="-40" w:right="-110" w:rightChars="-46"/>
      <w:textAlignment w:val="baseline"/>
    </w:pPr>
    <w:rPr>
      <w:rFonts w:ascii="Times New Roman" w:hAnsi="Times New Roman"/>
      <w:kern w:val="0"/>
      <w:szCs w:val="20"/>
    </w:rPr>
  </w:style>
  <w:style w:type="paragraph" w:customStyle="1" w:styleId="379">
    <w:name w:val="论文正文"/>
    <w:basedOn w:val="21"/>
    <w:qFormat/>
    <w:uiPriority w:val="0"/>
    <w:pPr>
      <w:ind w:firstLine="480"/>
    </w:pPr>
    <w:rPr>
      <w:rFonts w:ascii="宋体" w:hAnsi="宋体"/>
      <w:sz w:val="28"/>
      <w:szCs w:val="24"/>
    </w:rPr>
  </w:style>
  <w:style w:type="paragraph" w:customStyle="1" w:styleId="380">
    <w:name w:val="表格内容"/>
    <w:basedOn w:val="1"/>
    <w:qFormat/>
    <w:uiPriority w:val="0"/>
    <w:pPr>
      <w:adjustRightInd w:val="0"/>
      <w:snapToGrid w:val="0"/>
      <w:spacing w:line="480" w:lineRule="exact"/>
      <w:jc w:val="center"/>
    </w:pPr>
    <w:rPr>
      <w:rFonts w:ascii="Times New Roman" w:hAnsi="Times New Roman"/>
      <w:szCs w:val="21"/>
    </w:rPr>
  </w:style>
  <w:style w:type="paragraph" w:customStyle="1" w:styleId="381">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382">
    <w:name w:val="Char21"/>
    <w:basedOn w:val="1"/>
    <w:qFormat/>
    <w:uiPriority w:val="0"/>
    <w:rPr>
      <w:rFonts w:ascii="宋体" w:hAnsi="宋体" w:cs="Courier New"/>
      <w:sz w:val="32"/>
      <w:szCs w:val="32"/>
    </w:rPr>
  </w:style>
  <w:style w:type="paragraph" w:customStyle="1" w:styleId="383">
    <w:name w:val="列出段落1"/>
    <w:basedOn w:val="1"/>
    <w:qFormat/>
    <w:uiPriority w:val="34"/>
    <w:pPr>
      <w:ind w:firstLine="420" w:firstLineChars="200"/>
    </w:pPr>
  </w:style>
  <w:style w:type="paragraph" w:customStyle="1" w:styleId="384">
    <w:name w:val="样式 (中文) 黑体 五号 加粗 居中 行距: 单倍行距"/>
    <w:basedOn w:val="1"/>
    <w:qFormat/>
    <w:uiPriority w:val="0"/>
    <w:pPr>
      <w:adjustRightInd w:val="0"/>
      <w:snapToGrid w:val="0"/>
      <w:jc w:val="center"/>
    </w:pPr>
    <w:rPr>
      <w:rFonts w:ascii="Times New Roman" w:hAnsi="Times New Roman" w:eastAsia="黑体" w:cs="宋体"/>
      <w:b/>
      <w:bCs/>
      <w:szCs w:val="20"/>
    </w:rPr>
  </w:style>
  <w:style w:type="paragraph" w:customStyle="1" w:styleId="385">
    <w:name w:val="样式 小四 首行缩进:  1.01 厘米 行距: 1.5 倍行距"/>
    <w:basedOn w:val="1"/>
    <w:qFormat/>
    <w:uiPriority w:val="0"/>
    <w:pPr>
      <w:adjustRightInd w:val="0"/>
      <w:snapToGrid w:val="0"/>
      <w:spacing w:line="360" w:lineRule="auto"/>
      <w:ind w:firstLine="200" w:firstLineChars="200"/>
    </w:pPr>
    <w:rPr>
      <w:rFonts w:ascii="Times New Roman" w:hAnsi="Times New Roman" w:cs="宋体"/>
      <w:kern w:val="24"/>
      <w:sz w:val="24"/>
      <w:szCs w:val="24"/>
    </w:rPr>
  </w:style>
  <w:style w:type="paragraph" w:customStyle="1" w:styleId="386">
    <w:name w:val="样式 标题 3 + 四号"/>
    <w:basedOn w:val="6"/>
    <w:qFormat/>
    <w:uiPriority w:val="0"/>
    <w:pPr>
      <w:adjustRightInd w:val="0"/>
      <w:snapToGrid w:val="0"/>
      <w:spacing w:before="0" w:after="0" w:line="360" w:lineRule="auto"/>
    </w:pPr>
    <w:rPr>
      <w:kern w:val="28"/>
      <w:sz w:val="28"/>
      <w:szCs w:val="28"/>
    </w:rPr>
  </w:style>
  <w:style w:type="paragraph" w:customStyle="1" w:styleId="387">
    <w:name w:val="图表文字"/>
    <w:basedOn w:val="1"/>
    <w:qFormat/>
    <w:uiPriority w:val="0"/>
    <w:pPr>
      <w:spacing w:line="300" w:lineRule="exact"/>
      <w:jc w:val="center"/>
    </w:pPr>
    <w:rPr>
      <w:rFonts w:ascii="仿宋_GB2312" w:hAnsi="Times New Roman" w:eastAsia="仿宋_GB2312"/>
      <w:szCs w:val="20"/>
    </w:rPr>
  </w:style>
  <w:style w:type="paragraph" w:customStyle="1" w:styleId="388">
    <w:name w:val="样式 标题 2 + (西文) Times New Roman (中文) 宋体 小三 段前: 6 磅 段后: 6 磅 行..."/>
    <w:basedOn w:val="5"/>
    <w:qFormat/>
    <w:uiPriority w:val="0"/>
    <w:pPr>
      <w:adjustRightInd w:val="0"/>
      <w:snapToGrid w:val="0"/>
      <w:spacing w:before="0" w:after="0" w:line="360" w:lineRule="auto"/>
    </w:pPr>
    <w:rPr>
      <w:rFonts w:ascii="Times New Roman" w:hAnsi="Times New Roman" w:cs="宋体"/>
      <w:kern w:val="0"/>
      <w:sz w:val="30"/>
      <w:szCs w:val="30"/>
    </w:rPr>
  </w:style>
  <w:style w:type="paragraph" w:customStyle="1" w:styleId="389">
    <w:name w:val="表格的文字"/>
    <w:basedOn w:val="1"/>
    <w:qFormat/>
    <w:uiPriority w:val="0"/>
    <w:pPr>
      <w:spacing w:line="300" w:lineRule="exact"/>
      <w:jc w:val="center"/>
    </w:pPr>
    <w:rPr>
      <w:rFonts w:ascii="仿宋_GB2312" w:hAnsi="Times New Roman" w:eastAsia="仿宋_GB2312"/>
      <w:szCs w:val="20"/>
    </w:rPr>
  </w:style>
  <w:style w:type="paragraph" w:customStyle="1" w:styleId="390">
    <w:name w:val="本报告所用正文格式"/>
    <w:basedOn w:val="1"/>
    <w:qFormat/>
    <w:uiPriority w:val="0"/>
    <w:pPr>
      <w:topLinePunct/>
      <w:adjustRightInd w:val="0"/>
      <w:snapToGrid w:val="0"/>
      <w:spacing w:line="360" w:lineRule="auto"/>
      <w:ind w:firstLine="200" w:firstLineChars="200"/>
      <w:textAlignment w:val="baseline"/>
    </w:pPr>
    <w:rPr>
      <w:rFonts w:ascii="Times New Roman" w:hAnsi="Times New Roman"/>
      <w:kern w:val="0"/>
      <w:sz w:val="24"/>
      <w:szCs w:val="20"/>
    </w:rPr>
  </w:style>
  <w:style w:type="paragraph" w:customStyle="1" w:styleId="391">
    <w:name w:val="样式 标题 2节标题1.1标题 2节标题 1.1H2节标题 1.1 Char第一层条H21 + 段前: 2.4 磅..."/>
    <w:basedOn w:val="5"/>
    <w:qFormat/>
    <w:uiPriority w:val="0"/>
    <w:pPr>
      <w:widowControl/>
      <w:tabs>
        <w:tab w:val="left" w:pos="360"/>
      </w:tabs>
      <w:snapToGrid w:val="0"/>
      <w:spacing w:before="0" w:after="0" w:line="420" w:lineRule="atLeast"/>
      <w:jc w:val="left"/>
    </w:pPr>
    <w:rPr>
      <w:rFonts w:ascii="宋体" w:hAnsi="Times New Roman" w:eastAsia="黑体" w:cs="宋体"/>
      <w:b w:val="0"/>
      <w:bCs w:val="0"/>
      <w:spacing w:val="-10"/>
      <w:kern w:val="28"/>
      <w:sz w:val="30"/>
      <w:szCs w:val="20"/>
    </w:rPr>
  </w:style>
  <w:style w:type="paragraph" w:customStyle="1" w:styleId="392">
    <w:name w:val="图标题"/>
    <w:basedOn w:val="1"/>
    <w:qFormat/>
    <w:uiPriority w:val="0"/>
    <w:pPr>
      <w:overflowPunct w:val="0"/>
      <w:topLinePunct/>
      <w:autoSpaceDE w:val="0"/>
      <w:autoSpaceDN w:val="0"/>
      <w:adjustRightInd w:val="0"/>
      <w:snapToGrid w:val="0"/>
      <w:spacing w:line="520" w:lineRule="exact"/>
      <w:jc w:val="center"/>
      <w:textAlignment w:val="baseline"/>
    </w:pPr>
    <w:rPr>
      <w:rFonts w:ascii="黑体" w:hAnsi="Times New Roman" w:eastAsia="黑体"/>
      <w:b/>
      <w:spacing w:val="6"/>
      <w:kern w:val="0"/>
      <w:szCs w:val="20"/>
    </w:rPr>
  </w:style>
  <w:style w:type="paragraph" w:customStyle="1" w:styleId="393">
    <w:name w:val="xl11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right"/>
    </w:pPr>
    <w:rPr>
      <w:rFonts w:ascii="Times New Roman" w:hAnsi="Times New Roman"/>
      <w:kern w:val="0"/>
      <w:sz w:val="24"/>
      <w:szCs w:val="24"/>
    </w:rPr>
  </w:style>
  <w:style w:type="paragraph" w:customStyle="1" w:styleId="394">
    <w:name w:val="ｽﾀｲﾙ 3a"/>
    <w:basedOn w:val="395"/>
    <w:qFormat/>
    <w:uiPriority w:val="0"/>
    <w:pPr>
      <w:tabs>
        <w:tab w:val="left" w:pos="964"/>
        <w:tab w:val="left" w:pos="4394"/>
        <w:tab w:val="left" w:pos="4536"/>
      </w:tabs>
      <w:ind w:left="1208" w:hanging="851"/>
    </w:pPr>
  </w:style>
  <w:style w:type="paragraph" w:customStyle="1" w:styleId="395">
    <w:name w:val="ｽﾀｲﾙ 3"/>
    <w:basedOn w:val="1"/>
    <w:qFormat/>
    <w:uiPriority w:val="0"/>
    <w:pPr>
      <w:tabs>
        <w:tab w:val="left" w:pos="964"/>
        <w:tab w:val="left" w:pos="4394"/>
        <w:tab w:val="left" w:pos="4536"/>
      </w:tabs>
      <w:autoSpaceDE w:val="0"/>
      <w:autoSpaceDN w:val="0"/>
      <w:adjustRightInd w:val="0"/>
      <w:spacing w:line="368" w:lineRule="exact"/>
      <w:ind w:left="981" w:hanging="624"/>
      <w:textAlignment w:val="center"/>
    </w:pPr>
    <w:rPr>
      <w:rFonts w:ascii="Times New Roman" w:hAnsi="Times New Roman" w:eastAsia="Mincho"/>
      <w:kern w:val="0"/>
      <w:sz w:val="24"/>
      <w:szCs w:val="20"/>
      <w:lang w:eastAsia="ja-JP"/>
    </w:rPr>
  </w:style>
  <w:style w:type="paragraph" w:customStyle="1" w:styleId="396">
    <w:name w:val="正文1"/>
    <w:basedOn w:val="1"/>
    <w:qFormat/>
    <w:uiPriority w:val="0"/>
    <w:pPr>
      <w:spacing w:line="360" w:lineRule="auto"/>
    </w:pPr>
    <w:rPr>
      <w:rFonts w:ascii="仿宋_GB2312" w:hAnsi="Times New Roman" w:eastAsia="仿宋_GB2312"/>
      <w:sz w:val="24"/>
      <w:szCs w:val="20"/>
    </w:rPr>
  </w:style>
  <w:style w:type="paragraph" w:customStyle="1" w:styleId="397">
    <w:name w:val="xl8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398">
    <w:name w:val="样式 列表 + 首行缩进:  2 字符"/>
    <w:basedOn w:val="62"/>
    <w:qFormat/>
    <w:uiPriority w:val="0"/>
    <w:pPr>
      <w:keepNext/>
      <w:ind w:left="0" w:firstLine="0" w:firstLineChars="0"/>
      <w:jc w:val="center"/>
    </w:pPr>
    <w:rPr>
      <w:rFonts w:ascii="Times New Roman" w:hAnsi="Times New Roman" w:cs="宋体"/>
      <w:szCs w:val="21"/>
    </w:rPr>
  </w:style>
  <w:style w:type="paragraph" w:customStyle="1" w:styleId="399">
    <w:name w:val="正文编号"/>
    <w:basedOn w:val="1"/>
    <w:qFormat/>
    <w:uiPriority w:val="0"/>
    <w:pPr>
      <w:widowControl/>
      <w:tabs>
        <w:tab w:val="left" w:pos="425"/>
      </w:tabs>
      <w:adjustRightInd w:val="0"/>
      <w:spacing w:line="360" w:lineRule="auto"/>
      <w:ind w:left="425" w:hanging="425"/>
      <w:textAlignment w:val="baseline"/>
    </w:pPr>
    <w:rPr>
      <w:rFonts w:ascii="Times New Roman" w:hAnsi="Times New Roman"/>
      <w:kern w:val="0"/>
      <w:szCs w:val="20"/>
    </w:rPr>
  </w:style>
  <w:style w:type="paragraph" w:customStyle="1" w:styleId="400">
    <w:name w:val="xl54"/>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24"/>
      <w:szCs w:val="24"/>
    </w:rPr>
  </w:style>
  <w:style w:type="paragraph" w:customStyle="1" w:styleId="401">
    <w:name w:val="xl29"/>
    <w:basedOn w:val="1"/>
    <w:qFormat/>
    <w:uiPriority w:val="0"/>
    <w:pPr>
      <w:widowControl/>
      <w:pBdr>
        <w:bottom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402">
    <w:name w:val="正文内容"/>
    <w:basedOn w:val="1"/>
    <w:qFormat/>
    <w:uiPriority w:val="0"/>
    <w:pPr>
      <w:spacing w:line="360" w:lineRule="auto"/>
      <w:ind w:firstLine="200" w:firstLineChars="200"/>
    </w:pPr>
    <w:rPr>
      <w:rFonts w:ascii="Times New Roman" w:hAnsi="Times New Roman"/>
      <w:sz w:val="24"/>
      <w:szCs w:val="24"/>
    </w:rPr>
  </w:style>
  <w:style w:type="paragraph" w:customStyle="1" w:styleId="403">
    <w:name w:val="表头"/>
    <w:basedOn w:val="1"/>
    <w:qFormat/>
    <w:uiPriority w:val="0"/>
    <w:pPr>
      <w:widowControl/>
      <w:tabs>
        <w:tab w:val="left" w:pos="5520"/>
      </w:tabs>
      <w:snapToGrid w:val="0"/>
      <w:spacing w:line="460" w:lineRule="atLeast"/>
      <w:ind w:firstLine="480" w:firstLineChars="200"/>
    </w:pPr>
    <w:rPr>
      <w:rFonts w:ascii="黑体" w:hAnsi="Times New Roman" w:eastAsia="黑体"/>
      <w:bCs/>
      <w:spacing w:val="5"/>
      <w:kern w:val="0"/>
      <w:sz w:val="24"/>
      <w:szCs w:val="25"/>
    </w:rPr>
  </w:style>
  <w:style w:type="paragraph" w:customStyle="1" w:styleId="404">
    <w:name w:val="封面落款"/>
    <w:basedOn w:val="1"/>
    <w:qFormat/>
    <w:uiPriority w:val="0"/>
    <w:pPr>
      <w:tabs>
        <w:tab w:val="left" w:pos="1134"/>
        <w:tab w:val="right" w:pos="7371"/>
      </w:tabs>
      <w:overflowPunct w:val="0"/>
      <w:adjustRightInd w:val="0"/>
      <w:spacing w:line="360" w:lineRule="auto"/>
      <w:jc w:val="center"/>
      <w:textAlignment w:val="baseline"/>
    </w:pPr>
    <w:rPr>
      <w:rFonts w:ascii="Times New Roman" w:hAnsi="Times New Roman" w:eastAsia="黑体"/>
      <w:color w:val="0000FF"/>
      <w:spacing w:val="20"/>
      <w:kern w:val="0"/>
      <w:sz w:val="32"/>
      <w:szCs w:val="20"/>
    </w:rPr>
  </w:style>
  <w:style w:type="paragraph" w:customStyle="1" w:styleId="405">
    <w:name w:val="xl10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406">
    <w:name w:val="xl63"/>
    <w:basedOn w:val="1"/>
    <w:qFormat/>
    <w:uiPriority w:val="0"/>
    <w:pPr>
      <w:widowControl/>
      <w:spacing w:before="100" w:beforeAutospacing="1" w:after="100" w:afterAutospacing="1" w:line="240" w:lineRule="atLeast"/>
      <w:jc w:val="left"/>
      <w:textAlignment w:val="center"/>
    </w:pPr>
    <w:rPr>
      <w:rFonts w:hint="eastAsia" w:ascii="宋体" w:hAnsi="宋体" w:cs="Century"/>
      <w:b/>
      <w:bCs/>
      <w:color w:val="000000"/>
      <w:kern w:val="0"/>
      <w:sz w:val="32"/>
      <w:szCs w:val="32"/>
    </w:rPr>
  </w:style>
  <w:style w:type="paragraph" w:customStyle="1" w:styleId="407">
    <w:name w:val="WW-正文首行缩进"/>
    <w:basedOn w:val="34"/>
    <w:qFormat/>
    <w:uiPriority w:val="0"/>
    <w:pPr>
      <w:suppressAutoHyphens/>
      <w:spacing w:after="0" w:line="312" w:lineRule="auto"/>
      <w:ind w:firstLine="567"/>
      <w:textAlignment w:val="baseline"/>
    </w:pPr>
    <w:rPr>
      <w:kern w:val="0"/>
      <w:sz w:val="28"/>
      <w:szCs w:val="20"/>
    </w:rPr>
  </w:style>
  <w:style w:type="paragraph" w:customStyle="1" w:styleId="408">
    <w:name w:val="正文表格"/>
    <w:basedOn w:val="1"/>
    <w:qFormat/>
    <w:uiPriority w:val="0"/>
    <w:pPr>
      <w:keepNext/>
      <w:keepLines/>
      <w:overflowPunct w:val="0"/>
      <w:adjustRightInd w:val="0"/>
      <w:spacing w:before="80" w:line="240" w:lineRule="atLeast"/>
      <w:jc w:val="center"/>
      <w:textAlignment w:val="bottom"/>
    </w:pPr>
    <w:rPr>
      <w:rFonts w:ascii="Times New Roman" w:hAnsi="Times New Roman"/>
      <w:kern w:val="0"/>
      <w:sz w:val="28"/>
      <w:szCs w:val="20"/>
    </w:rPr>
  </w:style>
  <w:style w:type="paragraph" w:customStyle="1" w:styleId="409">
    <w:name w:val="样式 正文（首行缩进两字） + 宋体 小三 首行缩进:  1 厘米 行距: 固定值 24 磅1"/>
    <w:basedOn w:val="21"/>
    <w:qFormat/>
    <w:uiPriority w:val="0"/>
    <w:pPr>
      <w:spacing w:line="480" w:lineRule="exact"/>
      <w:ind w:firstLine="567" w:firstLineChars="0"/>
    </w:pPr>
    <w:rPr>
      <w:rFonts w:ascii="宋体" w:hAnsi="宋体" w:cs="宋体"/>
      <w:spacing w:val="5"/>
      <w:sz w:val="28"/>
      <w:szCs w:val="25"/>
    </w:rPr>
  </w:style>
  <w:style w:type="paragraph" w:customStyle="1" w:styleId="410">
    <w:name w:val="样式 (符号) 宋体 小四 左 行距: 1.5 倍行距 首行缩进:  2 字符"/>
    <w:basedOn w:val="1"/>
    <w:qFormat/>
    <w:uiPriority w:val="0"/>
    <w:pPr>
      <w:spacing w:line="360" w:lineRule="auto"/>
      <w:ind w:firstLine="480" w:firstLineChars="200"/>
      <w:jc w:val="left"/>
    </w:pPr>
    <w:rPr>
      <w:rFonts w:ascii="Times New Roman" w:hAnsi="宋体" w:cs="宋体"/>
      <w:kern w:val="0"/>
      <w:sz w:val="24"/>
      <w:szCs w:val="20"/>
    </w:rPr>
  </w:style>
  <w:style w:type="paragraph" w:customStyle="1" w:styleId="411">
    <w:name w:val="xl66"/>
    <w:basedOn w:val="1"/>
    <w:qFormat/>
    <w:uiPriority w:val="0"/>
    <w:pPr>
      <w:widowControl/>
      <w:pBdr>
        <w:bottom w:val="single" w:color="auto" w:sz="8" w:space="0"/>
        <w:right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412">
    <w:name w:val="Default"/>
    <w:qFormat/>
    <w:uiPriority w:val="0"/>
    <w:pPr>
      <w:widowControl w:val="0"/>
      <w:autoSpaceDE w:val="0"/>
      <w:autoSpaceDN w:val="0"/>
      <w:adjustRightInd w:val="0"/>
      <w:spacing w:line="240" w:lineRule="atLeast"/>
      <w:jc w:val="center"/>
    </w:pPr>
    <w:rPr>
      <w:rFonts w:ascii="宋体" w:hAnsi="Times New Roman" w:eastAsia="宋体" w:cs="Times New Roman"/>
      <w:lang w:val="en-US" w:eastAsia="zh-CN" w:bidi="ar-SA"/>
    </w:rPr>
  </w:style>
  <w:style w:type="paragraph" w:customStyle="1" w:styleId="413">
    <w:name w:val="样式 样式 小四 加粗 居中 行距: 最小值 12 磅 首行缩进:  2 字符 + 两端对齐1"/>
    <w:basedOn w:val="1"/>
    <w:qFormat/>
    <w:uiPriority w:val="0"/>
    <w:pPr>
      <w:tabs>
        <w:tab w:val="left" w:pos="420"/>
        <w:tab w:val="center" w:pos="4200"/>
        <w:tab w:val="right" w:pos="7980"/>
      </w:tabs>
      <w:adjustRightInd w:val="0"/>
      <w:snapToGrid w:val="0"/>
    </w:pPr>
    <w:rPr>
      <w:rFonts w:ascii="Times New Roman" w:hAnsi="Times New Roman" w:cs="宋体"/>
      <w:b/>
      <w:bCs/>
      <w:kern w:val="0"/>
      <w:sz w:val="24"/>
      <w:szCs w:val="20"/>
    </w:rPr>
  </w:style>
  <w:style w:type="paragraph" w:customStyle="1" w:styleId="414">
    <w:name w:val="样式3"/>
    <w:basedOn w:val="371"/>
    <w:qFormat/>
    <w:uiPriority w:val="0"/>
    <w:pPr>
      <w:pBdr>
        <w:bottom w:val="thinThickLargeGap" w:color="auto" w:sz="12" w:space="2"/>
      </w:pBdr>
      <w:tabs>
        <w:tab w:val="center" w:pos="4153"/>
        <w:tab w:val="right" w:pos="8306"/>
      </w:tabs>
      <w:adjustRightInd/>
      <w:outlineLvl w:val="9"/>
    </w:pPr>
    <w:rPr>
      <w:rFonts w:ascii="楷体_GB2312" w:eastAsia="楷体_GB2312"/>
      <w:spacing w:val="5"/>
      <w:sz w:val="23"/>
      <w:szCs w:val="23"/>
    </w:rPr>
  </w:style>
  <w:style w:type="paragraph" w:customStyle="1" w:styleId="415">
    <w:name w:val="1"/>
    <w:basedOn w:val="1"/>
    <w:next w:val="65"/>
    <w:qFormat/>
    <w:uiPriority w:val="0"/>
    <w:pPr>
      <w:ind w:firstLine="527" w:firstLineChars="200"/>
    </w:pPr>
    <w:rPr>
      <w:rFonts w:ascii="宋体" w:hAnsi="Times New Roman"/>
      <w:spacing w:val="5"/>
      <w:sz w:val="25"/>
      <w:szCs w:val="25"/>
    </w:rPr>
  </w:style>
  <w:style w:type="paragraph" w:customStyle="1" w:styleId="416">
    <w:name w:val="默认段落字体 Para Char Char Char Char Char Char Char Char Char Char"/>
    <w:basedOn w:val="6"/>
    <w:qFormat/>
    <w:uiPriority w:val="0"/>
    <w:pPr>
      <w:tabs>
        <w:tab w:val="left" w:pos="360"/>
        <w:tab w:val="left" w:pos="900"/>
      </w:tabs>
      <w:snapToGrid w:val="0"/>
      <w:spacing w:before="0" w:after="0" w:line="360" w:lineRule="auto"/>
      <w:ind w:left="542" w:leftChars="-12" w:firstLine="200" w:firstLineChars="200"/>
      <w:jc w:val="left"/>
    </w:pPr>
    <w:rPr>
      <w:rFonts w:eastAsia="黑体"/>
      <w:b w:val="0"/>
      <w:bCs w:val="0"/>
      <w:snapToGrid w:val="0"/>
      <w:sz w:val="24"/>
      <w:szCs w:val="24"/>
    </w:rPr>
  </w:style>
  <w:style w:type="paragraph" w:customStyle="1" w:styleId="417">
    <w:name w:val="BIG BOLD"/>
    <w:basedOn w:val="1"/>
    <w:qFormat/>
    <w:uiPriority w:val="0"/>
    <w:pPr>
      <w:tabs>
        <w:tab w:val="left" w:leader="underscore" w:pos="1134"/>
      </w:tabs>
      <w:spacing w:line="240" w:lineRule="atLeast"/>
    </w:pPr>
    <w:rPr>
      <w:rFonts w:ascii="宋体" w:hAnsi="Times New Roman"/>
      <w:spacing w:val="5"/>
      <w:sz w:val="25"/>
      <w:szCs w:val="25"/>
    </w:rPr>
  </w:style>
  <w:style w:type="paragraph" w:customStyle="1" w:styleId="418">
    <w:name w:val="报告书正文"/>
    <w:basedOn w:val="1"/>
    <w:qFormat/>
    <w:uiPriority w:val="0"/>
    <w:pPr>
      <w:tabs>
        <w:tab w:val="left" w:pos="1950"/>
      </w:tabs>
      <w:snapToGrid w:val="0"/>
      <w:spacing w:line="360" w:lineRule="auto"/>
      <w:ind w:firstLine="560" w:firstLineChars="200"/>
    </w:pPr>
    <w:rPr>
      <w:rFonts w:ascii="宋体" w:hAnsi="宋体"/>
      <w:spacing w:val="5"/>
      <w:sz w:val="28"/>
      <w:szCs w:val="28"/>
    </w:rPr>
  </w:style>
  <w:style w:type="paragraph" w:customStyle="1" w:styleId="419">
    <w:name w:val="正文文本 21"/>
    <w:basedOn w:val="1"/>
    <w:qFormat/>
    <w:uiPriority w:val="0"/>
    <w:pPr>
      <w:spacing w:line="240" w:lineRule="atLeast"/>
      <w:ind w:firstLine="840"/>
    </w:pPr>
    <w:rPr>
      <w:rFonts w:ascii="宋体" w:hAnsi="Times New Roman"/>
      <w:spacing w:val="5"/>
      <w:sz w:val="30"/>
      <w:szCs w:val="25"/>
    </w:rPr>
  </w:style>
  <w:style w:type="paragraph" w:customStyle="1" w:styleId="420">
    <w:name w:val="样式 正文（首行缩进两字） + 宋体 小三 首行缩进:  1 厘米 行距: 固定值 24 磅"/>
    <w:basedOn w:val="21"/>
    <w:qFormat/>
    <w:uiPriority w:val="0"/>
    <w:pPr>
      <w:spacing w:line="480" w:lineRule="exact"/>
      <w:ind w:firstLine="567" w:firstLineChars="0"/>
    </w:pPr>
    <w:rPr>
      <w:rFonts w:ascii="宋体" w:hAnsi="宋体" w:cs="宋体"/>
      <w:spacing w:val="5"/>
      <w:sz w:val="28"/>
      <w:szCs w:val="25"/>
    </w:rPr>
  </w:style>
  <w:style w:type="paragraph" w:customStyle="1" w:styleId="421">
    <w:name w:val="正文文本缩进 21"/>
    <w:basedOn w:val="1"/>
    <w:qFormat/>
    <w:uiPriority w:val="0"/>
    <w:pPr>
      <w:spacing w:line="240" w:lineRule="atLeast"/>
      <w:ind w:firstLine="600"/>
    </w:pPr>
    <w:rPr>
      <w:rFonts w:ascii="宋体" w:hAnsi="Times New Roman"/>
      <w:spacing w:val="5"/>
      <w:sz w:val="30"/>
      <w:szCs w:val="25"/>
    </w:rPr>
  </w:style>
  <w:style w:type="paragraph" w:customStyle="1" w:styleId="422">
    <w:name w:val="TY"/>
    <w:basedOn w:val="1"/>
    <w:qFormat/>
    <w:uiPriority w:val="0"/>
    <w:pPr>
      <w:snapToGrid w:val="0"/>
      <w:spacing w:before="40" w:after="40" w:line="240" w:lineRule="atLeast"/>
    </w:pPr>
    <w:rPr>
      <w:rFonts w:ascii="宋体" w:hAnsi="宋体"/>
      <w:spacing w:val="5"/>
      <w:sz w:val="24"/>
      <w:szCs w:val="25"/>
    </w:rPr>
  </w:style>
  <w:style w:type="paragraph" w:customStyle="1" w:styleId="423">
    <w:name w:val="样式 标题 1 + 行距: 固定值 24 磅"/>
    <w:basedOn w:val="4"/>
    <w:qFormat/>
    <w:uiPriority w:val="0"/>
    <w:pPr>
      <w:tabs>
        <w:tab w:val="left" w:pos="360"/>
      </w:tabs>
      <w:spacing w:before="60" w:after="60" w:line="480" w:lineRule="exact"/>
      <w:ind w:hanging="200" w:hangingChars="200"/>
    </w:pPr>
    <w:rPr>
      <w:rFonts w:ascii="宋体" w:hAnsi="Times New Roman" w:eastAsia="黑体" w:cs="宋体"/>
      <w:b w:val="0"/>
      <w:spacing w:val="5"/>
      <w:sz w:val="30"/>
      <w:szCs w:val="30"/>
    </w:rPr>
  </w:style>
  <w:style w:type="paragraph" w:customStyle="1" w:styleId="424">
    <w:name w:val="样式 标题 2 + 首行缩进:  2 字符"/>
    <w:basedOn w:val="5"/>
    <w:qFormat/>
    <w:uiPriority w:val="0"/>
    <w:pPr>
      <w:tabs>
        <w:tab w:val="left" w:pos="360"/>
        <w:tab w:val="left" w:pos="576"/>
      </w:tabs>
      <w:spacing w:before="120" w:after="120" w:line="240" w:lineRule="auto"/>
    </w:pPr>
    <w:rPr>
      <w:rFonts w:ascii="Arial" w:hAnsi="Arial" w:eastAsia="黑体" w:cs="宋体"/>
      <w:spacing w:val="5"/>
      <w:sz w:val="28"/>
      <w:szCs w:val="28"/>
    </w:rPr>
  </w:style>
  <w:style w:type="paragraph" w:customStyle="1" w:styleId="425">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426">
    <w:name w:val="公式"/>
    <w:basedOn w:val="1"/>
    <w:qFormat/>
    <w:uiPriority w:val="0"/>
    <w:pPr>
      <w:spacing w:before="50" w:after="50" w:line="240" w:lineRule="atLeast"/>
      <w:ind w:firstLine="500" w:firstLineChars="500"/>
    </w:pPr>
    <w:rPr>
      <w:rFonts w:ascii="宋体" w:hAnsi="Times New Roman"/>
      <w:spacing w:val="5"/>
      <w:sz w:val="28"/>
      <w:szCs w:val="25"/>
    </w:rPr>
  </w:style>
  <w:style w:type="paragraph" w:customStyle="1" w:styleId="427">
    <w:name w:val="样式5"/>
    <w:basedOn w:val="374"/>
    <w:qFormat/>
    <w:uiPriority w:val="0"/>
  </w:style>
  <w:style w:type="paragraph" w:customStyle="1" w:styleId="428">
    <w:name w:val="表名"/>
    <w:basedOn w:val="1"/>
    <w:qFormat/>
    <w:uiPriority w:val="0"/>
    <w:pPr>
      <w:spacing w:line="480" w:lineRule="exact"/>
      <w:ind w:left="840"/>
    </w:pPr>
    <w:rPr>
      <w:rFonts w:ascii="宋体" w:hAnsi="Times New Roman"/>
      <w:b/>
      <w:bCs/>
      <w:spacing w:val="5"/>
      <w:sz w:val="24"/>
      <w:szCs w:val="25"/>
    </w:rPr>
  </w:style>
  <w:style w:type="paragraph" w:customStyle="1" w:styleId="429">
    <w:name w:val="样式 样式2 + 小三 首行缩进:  2 字符"/>
    <w:basedOn w:val="371"/>
    <w:qFormat/>
    <w:uiPriority w:val="0"/>
    <w:pPr>
      <w:adjustRightInd/>
      <w:snapToGrid/>
      <w:spacing w:line="460" w:lineRule="atLeast"/>
      <w:ind w:firstLine="200" w:firstLineChars="200"/>
      <w:jc w:val="both"/>
      <w:outlineLvl w:val="9"/>
    </w:pPr>
    <w:rPr>
      <w:rFonts w:ascii="宋体" w:cs="宋体"/>
      <w:spacing w:val="5"/>
      <w:sz w:val="28"/>
      <w:szCs w:val="20"/>
    </w:rPr>
  </w:style>
  <w:style w:type="paragraph" w:customStyle="1" w:styleId="430">
    <w:name w:val="样式 正文（首行缩进两字） + 小三 首行缩进:  1 厘米 行距: 固定值 24 磅"/>
    <w:basedOn w:val="21"/>
    <w:qFormat/>
    <w:uiPriority w:val="0"/>
    <w:pPr>
      <w:spacing w:line="480" w:lineRule="exact"/>
      <w:ind w:firstLine="567" w:firstLineChars="0"/>
    </w:pPr>
    <w:rPr>
      <w:rFonts w:ascii="宋体" w:hAnsi="Times New Roman"/>
      <w:spacing w:val="5"/>
      <w:sz w:val="28"/>
      <w:szCs w:val="25"/>
    </w:rPr>
  </w:style>
  <w:style w:type="paragraph" w:customStyle="1" w:styleId="431">
    <w:name w:val="样式 正文（首行缩进两字） + 首行缩进:  1 厘米 行距: 固定值 24 磅"/>
    <w:basedOn w:val="21"/>
    <w:qFormat/>
    <w:uiPriority w:val="0"/>
    <w:pPr>
      <w:spacing w:line="480" w:lineRule="exact"/>
      <w:ind w:firstLine="567" w:firstLineChars="0"/>
    </w:pPr>
    <w:rPr>
      <w:rFonts w:ascii="宋体" w:hAnsi="Times New Roman" w:cs="宋体"/>
      <w:spacing w:val="5"/>
      <w:sz w:val="28"/>
      <w:szCs w:val="25"/>
    </w:rPr>
  </w:style>
  <w:style w:type="paragraph" w:customStyle="1" w:styleId="432">
    <w:name w:val="表格1"/>
    <w:basedOn w:val="1"/>
    <w:qFormat/>
    <w:uiPriority w:val="0"/>
    <w:pPr>
      <w:spacing w:line="400" w:lineRule="atLeast"/>
      <w:jc w:val="center"/>
    </w:pPr>
    <w:rPr>
      <w:rFonts w:ascii="宋体" w:hAnsi="Times New Roman"/>
      <w:spacing w:val="5"/>
      <w:kern w:val="0"/>
      <w:sz w:val="24"/>
      <w:szCs w:val="24"/>
    </w:rPr>
  </w:style>
  <w:style w:type="paragraph" w:customStyle="1" w:styleId="433">
    <w:name w:val="样式 标题 3 + 首行缩进:  2 字符"/>
    <w:basedOn w:val="6"/>
    <w:qFormat/>
    <w:uiPriority w:val="0"/>
    <w:pPr>
      <w:tabs>
        <w:tab w:val="left" w:pos="360"/>
        <w:tab w:val="left" w:pos="720"/>
      </w:tabs>
      <w:spacing w:before="120" w:after="120" w:line="240" w:lineRule="auto"/>
      <w:ind w:left="720"/>
    </w:pPr>
    <w:rPr>
      <w:rFonts w:ascii="宋体" w:cs="宋体"/>
      <w:spacing w:val="5"/>
      <w:szCs w:val="20"/>
    </w:rPr>
  </w:style>
  <w:style w:type="paragraph" w:customStyle="1" w:styleId="434">
    <w:name w:val="样式7"/>
    <w:basedOn w:val="430"/>
    <w:qFormat/>
    <w:uiPriority w:val="0"/>
    <w:pPr>
      <w:spacing w:line="440" w:lineRule="atLeast"/>
      <w:ind w:firstLine="200" w:firstLineChars="200"/>
    </w:pPr>
    <w:rPr>
      <w:sz w:val="24"/>
      <w:szCs w:val="24"/>
    </w:rPr>
  </w:style>
  <w:style w:type="paragraph" w:customStyle="1" w:styleId="435">
    <w:name w:val="标题11"/>
    <w:basedOn w:val="4"/>
    <w:qFormat/>
    <w:uiPriority w:val="0"/>
    <w:pPr>
      <w:pageBreakBefore/>
      <w:tabs>
        <w:tab w:val="left" w:pos="1260"/>
      </w:tabs>
      <w:snapToGrid w:val="0"/>
      <w:spacing w:before="200" w:line="360" w:lineRule="auto"/>
      <w:ind w:firstLine="567"/>
    </w:pPr>
    <w:rPr>
      <w:rFonts w:ascii="宋体" w:hAnsi="Times New Roman" w:eastAsia="隶书"/>
      <w:bCs w:val="0"/>
      <w:i/>
      <w:spacing w:val="5"/>
      <w:sz w:val="32"/>
      <w:szCs w:val="20"/>
    </w:rPr>
  </w:style>
  <w:style w:type="paragraph" w:customStyle="1" w:styleId="436">
    <w:name w:val="设计文本"/>
    <w:basedOn w:val="1"/>
    <w:qFormat/>
    <w:uiPriority w:val="0"/>
    <w:pPr>
      <w:spacing w:line="240" w:lineRule="atLeast"/>
      <w:jc w:val="center"/>
    </w:pPr>
    <w:rPr>
      <w:rFonts w:ascii="宋体" w:hAnsi="Times New Roman"/>
      <w:spacing w:val="5"/>
      <w:sz w:val="24"/>
      <w:szCs w:val="25"/>
    </w:rPr>
  </w:style>
  <w:style w:type="paragraph" w:customStyle="1" w:styleId="437">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tLeast"/>
    </w:pPr>
    <w:rPr>
      <w:rFonts w:ascii="宋体" w:hAnsi="宋体"/>
      <w:spacing w:val="5"/>
      <w:kern w:val="0"/>
      <w:sz w:val="24"/>
      <w:szCs w:val="24"/>
    </w:rPr>
  </w:style>
  <w:style w:type="paragraph" w:customStyle="1" w:styleId="438">
    <w:name w:val="图片"/>
    <w:basedOn w:val="1"/>
    <w:qFormat/>
    <w:uiPriority w:val="0"/>
    <w:pPr>
      <w:spacing w:line="240" w:lineRule="atLeast"/>
      <w:jc w:val="center"/>
    </w:pPr>
    <w:rPr>
      <w:rFonts w:ascii="宋体" w:hAnsi="Times New Roman"/>
      <w:spacing w:val="5"/>
      <w:sz w:val="25"/>
      <w:szCs w:val="25"/>
    </w:rPr>
  </w:style>
  <w:style w:type="paragraph" w:customStyle="1" w:styleId="439">
    <w:name w:val="样式 标题 3 + 段后: 1 行"/>
    <w:basedOn w:val="6"/>
    <w:qFormat/>
    <w:uiPriority w:val="0"/>
    <w:pPr>
      <w:tabs>
        <w:tab w:val="left" w:pos="360"/>
        <w:tab w:val="left" w:pos="840"/>
        <w:tab w:val="left" w:pos="868"/>
        <w:tab w:val="left" w:pos="896"/>
        <w:tab w:val="left" w:pos="1041"/>
      </w:tabs>
      <w:spacing w:before="180" w:after="0" w:afterLines="100" w:line="416" w:lineRule="atLeast"/>
      <w:ind w:left="1041" w:hanging="720"/>
    </w:pPr>
    <w:rPr>
      <w:rFonts w:ascii="宋体" w:eastAsia="黑体" w:cs="宋体"/>
      <w:b w:val="0"/>
      <w:bCs w:val="0"/>
      <w:color w:val="000000"/>
      <w:spacing w:val="5"/>
      <w:kern w:val="0"/>
      <w:sz w:val="30"/>
      <w:szCs w:val="20"/>
    </w:rPr>
  </w:style>
  <w:style w:type="paragraph" w:customStyle="1" w:styleId="440">
    <w:name w:val="样式 标题 3标题 3 Char Char标题 3 Char Char Char Char Char标题 3 Char C...2"/>
    <w:basedOn w:val="6"/>
    <w:qFormat/>
    <w:uiPriority w:val="0"/>
    <w:pPr>
      <w:keepNext w:val="0"/>
      <w:keepLines w:val="0"/>
      <w:tabs>
        <w:tab w:val="left" w:pos="4500"/>
      </w:tabs>
      <w:snapToGrid w:val="0"/>
      <w:spacing w:before="120" w:after="120" w:line="520" w:lineRule="exact"/>
      <w:ind w:firstLine="480" w:firstLineChars="200"/>
    </w:pPr>
    <w:rPr>
      <w:rFonts w:ascii="宋体"/>
      <w:b w:val="0"/>
      <w:color w:val="000000"/>
      <w:spacing w:val="5"/>
      <w:kern w:val="0"/>
      <w:sz w:val="24"/>
      <w:szCs w:val="24"/>
    </w:rPr>
  </w:style>
  <w:style w:type="paragraph" w:customStyle="1" w:styleId="441">
    <w:name w:val="xl10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center"/>
      <w:textAlignment w:val="center"/>
    </w:pPr>
    <w:rPr>
      <w:rFonts w:ascii="Times New Roman" w:hAnsi="Times New Roman"/>
      <w:kern w:val="0"/>
      <w:sz w:val="24"/>
      <w:szCs w:val="24"/>
    </w:rPr>
  </w:style>
  <w:style w:type="paragraph" w:customStyle="1" w:styleId="442">
    <w:name w:val="xl68"/>
    <w:basedOn w:val="1"/>
    <w:qFormat/>
    <w:uiPriority w:val="0"/>
    <w:pPr>
      <w:widowControl/>
      <w:pBdr>
        <w:top w:val="single" w:color="auto" w:sz="8" w:space="0"/>
        <w:right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443">
    <w:name w:val="小四表文左齐"/>
    <w:basedOn w:val="1"/>
    <w:qFormat/>
    <w:uiPriority w:val="0"/>
    <w:pPr>
      <w:snapToGrid w:val="0"/>
      <w:spacing w:line="240" w:lineRule="atLeast"/>
      <w:jc w:val="center"/>
    </w:pPr>
    <w:rPr>
      <w:rFonts w:ascii="宋体" w:hAnsi="宋体"/>
      <w:spacing w:val="5"/>
      <w:sz w:val="18"/>
      <w:szCs w:val="24"/>
    </w:rPr>
  </w:style>
  <w:style w:type="paragraph" w:customStyle="1" w:styleId="444">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jc w:val="center"/>
      <w:textAlignment w:val="center"/>
    </w:pPr>
    <w:rPr>
      <w:rFonts w:ascii="Times New Roman" w:hAnsi="Times New Roman"/>
      <w:color w:val="FF0000"/>
      <w:kern w:val="0"/>
      <w:sz w:val="24"/>
      <w:szCs w:val="24"/>
    </w:rPr>
  </w:style>
  <w:style w:type="paragraph" w:customStyle="1" w:styleId="445">
    <w:name w:val="xl81"/>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line="240" w:lineRule="atLeast"/>
      <w:jc w:val="center"/>
      <w:textAlignment w:val="center"/>
    </w:pPr>
    <w:rPr>
      <w:rFonts w:ascii="Times New Roman" w:hAnsi="Times New Roman"/>
      <w:color w:val="000000"/>
      <w:kern w:val="0"/>
      <w:sz w:val="24"/>
      <w:szCs w:val="24"/>
    </w:rPr>
  </w:style>
  <w:style w:type="paragraph" w:customStyle="1" w:styleId="446">
    <w:name w:val="xl59"/>
    <w:basedOn w:val="1"/>
    <w:qFormat/>
    <w:uiPriority w:val="0"/>
    <w:pPr>
      <w:widowControl/>
      <w:spacing w:before="100" w:beforeAutospacing="1" w:after="100" w:afterAutospacing="1" w:line="240" w:lineRule="atLeast"/>
      <w:jc w:val="left"/>
      <w:textAlignment w:val="center"/>
    </w:pPr>
    <w:rPr>
      <w:rFonts w:hint="eastAsia" w:ascii="宋体" w:hAnsi="宋体" w:cs="Century"/>
      <w:color w:val="000000"/>
      <w:kern w:val="0"/>
      <w:sz w:val="32"/>
      <w:szCs w:val="32"/>
    </w:rPr>
  </w:style>
  <w:style w:type="paragraph" w:customStyle="1" w:styleId="447">
    <w:name w:val="基准页脚样式"/>
    <w:basedOn w:val="1"/>
    <w:qFormat/>
    <w:uiPriority w:val="0"/>
    <w:pPr>
      <w:keepLines/>
      <w:widowControl/>
      <w:snapToGrid w:val="0"/>
      <w:spacing w:after="220" w:line="200" w:lineRule="atLeast"/>
      <w:ind w:firstLine="476"/>
      <w:jc w:val="center"/>
    </w:pPr>
    <w:rPr>
      <w:rFonts w:ascii="宋体" w:hAnsi="Times New Roman"/>
      <w:spacing w:val="5"/>
      <w:kern w:val="0"/>
      <w:sz w:val="16"/>
      <w:szCs w:val="25"/>
    </w:rPr>
  </w:style>
  <w:style w:type="paragraph" w:customStyle="1" w:styleId="448">
    <w:name w:val="条题"/>
    <w:basedOn w:val="1"/>
    <w:qFormat/>
    <w:uiPriority w:val="0"/>
    <w:pPr>
      <w:numPr>
        <w:ilvl w:val="0"/>
        <w:numId w:val="1"/>
      </w:numPr>
      <w:spacing w:beforeLines="50" w:line="480" w:lineRule="exact"/>
    </w:pPr>
    <w:rPr>
      <w:rFonts w:ascii="Times New Roman" w:hAnsi="Times New Roman"/>
      <w:color w:val="000000"/>
      <w:sz w:val="24"/>
      <w:szCs w:val="24"/>
    </w:rPr>
  </w:style>
  <w:style w:type="paragraph" w:customStyle="1" w:styleId="449">
    <w:name w:val="Char Char Char1 Char Char Char Char1"/>
    <w:basedOn w:val="1"/>
    <w:qFormat/>
    <w:uiPriority w:val="0"/>
    <w:pPr>
      <w:spacing w:line="240" w:lineRule="atLeast"/>
    </w:pPr>
    <w:rPr>
      <w:rFonts w:ascii="Times New Roman" w:hAnsi="Times New Roman"/>
      <w:szCs w:val="24"/>
    </w:rPr>
  </w:style>
  <w:style w:type="paragraph" w:customStyle="1" w:styleId="450">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center"/>
      <w:textAlignment w:val="center"/>
    </w:pPr>
    <w:rPr>
      <w:rFonts w:ascii="宋体" w:hAnsi="宋体" w:cs="宋体"/>
      <w:color w:val="FF0000"/>
      <w:kern w:val="0"/>
      <w:sz w:val="24"/>
      <w:szCs w:val="24"/>
    </w:rPr>
  </w:style>
  <w:style w:type="paragraph" w:customStyle="1" w:styleId="451">
    <w:name w:val="ｽﾀｲﾙ 4"/>
    <w:basedOn w:val="1"/>
    <w:qFormat/>
    <w:uiPriority w:val="0"/>
    <w:pPr>
      <w:tabs>
        <w:tab w:val="left" w:pos="1333"/>
        <w:tab w:val="left" w:pos="4394"/>
        <w:tab w:val="left" w:pos="4536"/>
      </w:tabs>
      <w:autoSpaceDE w:val="0"/>
      <w:autoSpaceDN w:val="0"/>
      <w:adjustRightInd w:val="0"/>
      <w:spacing w:line="368" w:lineRule="exact"/>
      <w:ind w:left="1338" w:hanging="737"/>
      <w:textAlignment w:val="center"/>
    </w:pPr>
    <w:rPr>
      <w:rFonts w:ascii="Times New Roman" w:hAnsi="Times New Roman" w:eastAsia="Mincho"/>
      <w:kern w:val="0"/>
      <w:sz w:val="24"/>
      <w:szCs w:val="20"/>
      <w:lang w:eastAsia="ja-JP"/>
    </w:rPr>
  </w:style>
  <w:style w:type="paragraph" w:customStyle="1" w:styleId="452">
    <w:name w:val="xl61"/>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18"/>
      <w:szCs w:val="18"/>
    </w:rPr>
  </w:style>
  <w:style w:type="paragraph" w:customStyle="1" w:styleId="453">
    <w:name w:val="尾消息标题"/>
    <w:basedOn w:val="1"/>
    <w:next w:val="1"/>
    <w:qFormat/>
    <w:uiPriority w:val="0"/>
    <w:pPr>
      <w:widowControl/>
      <w:pBdr>
        <w:bottom w:val="single" w:color="auto" w:sz="6" w:space="19"/>
        <w:between w:val="single" w:color="auto" w:sz="6" w:space="19"/>
      </w:pBdr>
      <w:tabs>
        <w:tab w:val="left" w:pos="1260"/>
        <w:tab w:val="left" w:pos="2940"/>
      </w:tabs>
      <w:snapToGrid w:val="0"/>
      <w:spacing w:before="120" w:after="120" w:line="420" w:lineRule="atLeast"/>
    </w:pPr>
    <w:rPr>
      <w:rFonts w:ascii="宋体" w:hAnsi="Times New Roman"/>
      <w:spacing w:val="5"/>
      <w:kern w:val="0"/>
      <w:sz w:val="24"/>
      <w:szCs w:val="25"/>
    </w:rPr>
  </w:style>
  <w:style w:type="paragraph" w:customStyle="1" w:styleId="454">
    <w:name w:val="附录"/>
    <w:basedOn w:val="4"/>
    <w:next w:val="1"/>
    <w:qFormat/>
    <w:uiPriority w:val="0"/>
    <w:pPr>
      <w:widowControl/>
      <w:tabs>
        <w:tab w:val="left" w:pos="720"/>
      </w:tabs>
      <w:snapToGrid w:val="0"/>
      <w:spacing w:before="160" w:after="120" w:line="360" w:lineRule="auto"/>
      <w:ind w:left="680" w:hanging="680"/>
      <w:jc w:val="center"/>
    </w:pPr>
    <w:rPr>
      <w:rFonts w:ascii="宋体" w:hAnsi="Times New Roman"/>
      <w:bCs w:val="0"/>
      <w:spacing w:val="-10"/>
      <w:kern w:val="28"/>
      <w:sz w:val="30"/>
      <w:szCs w:val="20"/>
    </w:rPr>
  </w:style>
  <w:style w:type="paragraph" w:customStyle="1" w:styleId="455">
    <w:name w:val="样式 正文宋体小四 + 首行缩进:  2 字符"/>
    <w:basedOn w:val="1"/>
    <w:qFormat/>
    <w:uiPriority w:val="0"/>
    <w:pPr>
      <w:spacing w:line="480" w:lineRule="exact"/>
      <w:ind w:firstLine="480" w:firstLineChars="200"/>
    </w:pPr>
    <w:rPr>
      <w:rFonts w:ascii="宋体" w:hAnsi="Times New Roman" w:cs="宋体"/>
      <w:spacing w:val="5"/>
      <w:kern w:val="0"/>
      <w:sz w:val="24"/>
      <w:szCs w:val="24"/>
    </w:rPr>
  </w:style>
  <w:style w:type="paragraph" w:customStyle="1" w:styleId="456">
    <w:name w:val="TT"/>
    <w:basedOn w:val="1"/>
    <w:qFormat/>
    <w:uiPriority w:val="0"/>
    <w:pPr>
      <w:snapToGrid w:val="0"/>
      <w:spacing w:before="40" w:after="40" w:line="300" w:lineRule="auto"/>
    </w:pPr>
    <w:rPr>
      <w:rFonts w:ascii="宋体" w:hAnsi="Times New Roman"/>
      <w:b/>
      <w:spacing w:val="5"/>
      <w:sz w:val="24"/>
      <w:szCs w:val="25"/>
    </w:rPr>
  </w:style>
  <w:style w:type="paragraph" w:customStyle="1" w:styleId="457">
    <w:name w:val="xl67"/>
    <w:basedOn w:val="1"/>
    <w:qFormat/>
    <w:uiPriority w:val="0"/>
    <w:pPr>
      <w:widowControl/>
      <w:snapToGrid w:val="0"/>
      <w:spacing w:before="100" w:after="100" w:line="240" w:lineRule="atLeast"/>
      <w:jc w:val="left"/>
      <w:textAlignment w:val="center"/>
    </w:pPr>
    <w:rPr>
      <w:rFonts w:ascii="宋体" w:hAnsi="宋体"/>
      <w:spacing w:val="5"/>
      <w:kern w:val="0"/>
      <w:sz w:val="24"/>
      <w:szCs w:val="25"/>
    </w:rPr>
  </w:style>
  <w:style w:type="paragraph" w:customStyle="1" w:styleId="458">
    <w:name w:val="zwwz"/>
    <w:basedOn w:val="1"/>
    <w:qFormat/>
    <w:uiPriority w:val="0"/>
    <w:pPr>
      <w:snapToGrid w:val="0"/>
      <w:spacing w:line="288" w:lineRule="auto"/>
      <w:ind w:firstLine="567"/>
    </w:pPr>
    <w:rPr>
      <w:rFonts w:ascii="宋体" w:hAnsi="Times New Roman"/>
      <w:spacing w:val="10"/>
      <w:kern w:val="0"/>
      <w:sz w:val="28"/>
      <w:szCs w:val="25"/>
    </w:rPr>
  </w:style>
  <w:style w:type="paragraph" w:customStyle="1" w:styleId="459">
    <w:name w:val="xl53"/>
    <w:basedOn w:val="1"/>
    <w:qFormat/>
    <w:uiPriority w:val="0"/>
    <w:pPr>
      <w:widowControl/>
      <w:pBdr>
        <w:top w:val="single" w:color="auto" w:sz="4" w:space="0"/>
        <w:left w:val="single" w:color="auto" w:sz="8" w:space="0"/>
        <w:bottom w:val="single" w:color="auto" w:sz="4" w:space="0"/>
        <w:right w:val="single" w:color="auto" w:sz="4" w:space="0"/>
      </w:pBdr>
      <w:snapToGrid w:val="0"/>
      <w:spacing w:before="100" w:after="100" w:line="240" w:lineRule="atLeast"/>
      <w:textAlignment w:val="top"/>
    </w:pPr>
    <w:rPr>
      <w:rFonts w:ascii="宋体" w:hAnsi="Times New Roman"/>
      <w:spacing w:val="5"/>
      <w:kern w:val="0"/>
      <w:sz w:val="24"/>
      <w:szCs w:val="25"/>
    </w:rPr>
  </w:style>
  <w:style w:type="paragraph" w:customStyle="1" w:styleId="460">
    <w:name w:val="标题2 Char Char Char"/>
    <w:basedOn w:val="1"/>
    <w:qFormat/>
    <w:uiPriority w:val="0"/>
    <w:pPr>
      <w:spacing w:line="240" w:lineRule="atLeast"/>
    </w:pPr>
    <w:rPr>
      <w:rFonts w:ascii="宋体" w:hAnsi="Times New Roman"/>
      <w:spacing w:val="5"/>
      <w:sz w:val="30"/>
      <w:szCs w:val="24"/>
    </w:rPr>
  </w:style>
  <w:style w:type="paragraph" w:customStyle="1" w:styleId="461">
    <w:name w:val="样式 标题 3标题3小标题1.1.1标题 3 + 段后: 4 磅"/>
    <w:basedOn w:val="6"/>
    <w:qFormat/>
    <w:uiPriority w:val="0"/>
    <w:pPr>
      <w:widowControl/>
      <w:tabs>
        <w:tab w:val="left" w:pos="360"/>
      </w:tabs>
      <w:snapToGrid w:val="0"/>
      <w:spacing w:before="0" w:after="0" w:line="420" w:lineRule="atLeast"/>
      <w:ind w:left="805"/>
      <w:jc w:val="left"/>
    </w:pPr>
    <w:rPr>
      <w:rFonts w:ascii="宋体" w:eastAsia="黑体" w:cs="宋体"/>
      <w:b w:val="0"/>
      <w:bCs w:val="0"/>
      <w:spacing w:val="-5"/>
      <w:kern w:val="28"/>
      <w:sz w:val="28"/>
      <w:szCs w:val="20"/>
    </w:rPr>
  </w:style>
  <w:style w:type="paragraph" w:customStyle="1" w:styleId="462">
    <w:name w:val="font5"/>
    <w:basedOn w:val="1"/>
    <w:qFormat/>
    <w:uiPriority w:val="0"/>
    <w:pPr>
      <w:widowControl/>
      <w:snapToGrid w:val="0"/>
      <w:spacing w:beforeLines="50" w:beforeAutospacing="1" w:after="100" w:afterAutospacing="1" w:line="420" w:lineRule="atLeast"/>
    </w:pPr>
    <w:rPr>
      <w:rFonts w:hint="eastAsia" w:ascii="宋体" w:hAnsi="宋体"/>
      <w:spacing w:val="5"/>
      <w:kern w:val="0"/>
      <w:sz w:val="18"/>
      <w:szCs w:val="18"/>
    </w:rPr>
  </w:style>
  <w:style w:type="paragraph" w:customStyle="1" w:styleId="463">
    <w:name w:val="样式 标题 3标题3小标题1.1.1标题 3 + 段后: 4 磅1"/>
    <w:basedOn w:val="6"/>
    <w:qFormat/>
    <w:uiPriority w:val="0"/>
    <w:pPr>
      <w:widowControl/>
      <w:tabs>
        <w:tab w:val="left" w:pos="360"/>
      </w:tabs>
      <w:snapToGrid w:val="0"/>
      <w:spacing w:before="0" w:after="80" w:line="440" w:lineRule="exact"/>
      <w:ind w:left="805"/>
      <w:jc w:val="left"/>
    </w:pPr>
    <w:rPr>
      <w:rFonts w:ascii="宋体" w:eastAsia="黑体" w:cs="宋体"/>
      <w:b w:val="0"/>
      <w:bCs w:val="0"/>
      <w:spacing w:val="-5"/>
      <w:kern w:val="28"/>
      <w:sz w:val="24"/>
      <w:szCs w:val="20"/>
    </w:rPr>
  </w:style>
  <w:style w:type="paragraph" w:customStyle="1" w:styleId="464">
    <w:name w:val="样式 标题 3标题3小标题1.1.1标题 3 + 段后: 4 磅2"/>
    <w:basedOn w:val="6"/>
    <w:qFormat/>
    <w:uiPriority w:val="0"/>
    <w:pPr>
      <w:widowControl/>
      <w:tabs>
        <w:tab w:val="left" w:pos="360"/>
      </w:tabs>
      <w:snapToGrid w:val="0"/>
      <w:spacing w:before="0" w:after="80" w:line="440" w:lineRule="exact"/>
      <w:ind w:left="805"/>
      <w:jc w:val="left"/>
    </w:pPr>
    <w:rPr>
      <w:rFonts w:ascii="宋体" w:eastAsia="黑体" w:cs="宋体"/>
      <w:b w:val="0"/>
      <w:bCs w:val="0"/>
      <w:spacing w:val="-5"/>
      <w:kern w:val="28"/>
      <w:sz w:val="24"/>
      <w:szCs w:val="20"/>
    </w:rPr>
  </w:style>
  <w:style w:type="paragraph" w:customStyle="1" w:styleId="465">
    <w:name w:val="Body Text 22"/>
    <w:basedOn w:val="1"/>
    <w:qFormat/>
    <w:uiPriority w:val="0"/>
    <w:pPr>
      <w:snapToGrid w:val="0"/>
      <w:spacing w:line="480" w:lineRule="atLeast"/>
      <w:ind w:firstLine="595"/>
    </w:pPr>
    <w:rPr>
      <w:rFonts w:ascii="宋体" w:hAnsi="Times New Roman"/>
      <w:spacing w:val="5"/>
      <w:kern w:val="0"/>
      <w:sz w:val="28"/>
      <w:szCs w:val="25"/>
    </w:rPr>
  </w:style>
  <w:style w:type="paragraph" w:customStyle="1" w:styleId="466">
    <w:name w:val="样式 正文缩进正文（首行缩进两字） + 首行缩进:  2 字符1"/>
    <w:basedOn w:val="21"/>
    <w:qFormat/>
    <w:uiPriority w:val="0"/>
    <w:pPr>
      <w:snapToGrid w:val="0"/>
      <w:spacing w:line="480" w:lineRule="atLeast"/>
      <w:ind w:firstLine="200"/>
    </w:pPr>
    <w:rPr>
      <w:rFonts w:ascii="宋体" w:hAnsi="Times New Roman" w:cs="宋体"/>
      <w:spacing w:val="5"/>
      <w:kern w:val="0"/>
      <w:sz w:val="24"/>
      <w:szCs w:val="24"/>
    </w:rPr>
  </w:style>
  <w:style w:type="paragraph" w:customStyle="1" w:styleId="467">
    <w:name w:val="样式 标题 4款标题款标题1标题 4 Char标题 4 Char Char款标题1.1.1.1H4W4款标题1...."/>
    <w:basedOn w:val="7"/>
    <w:qFormat/>
    <w:uiPriority w:val="0"/>
    <w:pPr>
      <w:widowControl/>
      <w:tabs>
        <w:tab w:val="left" w:pos="360"/>
      </w:tabs>
      <w:snapToGrid w:val="0"/>
      <w:spacing w:before="0" w:after="0" w:line="420" w:lineRule="atLeast"/>
    </w:pPr>
    <w:rPr>
      <w:rFonts w:ascii="Times New Roman" w:hAnsi="Times New Roman" w:eastAsia="黑体" w:cs="宋体"/>
      <w:spacing w:val="-2"/>
      <w:kern w:val="28"/>
      <w:sz w:val="24"/>
      <w:szCs w:val="20"/>
    </w:rPr>
  </w:style>
  <w:style w:type="paragraph" w:customStyle="1" w:styleId="468">
    <w:name w:val="样式 正文缩进正文（首行缩进两字） + 首行缩进:  2 字符"/>
    <w:basedOn w:val="21"/>
    <w:qFormat/>
    <w:uiPriority w:val="0"/>
    <w:pPr>
      <w:snapToGrid w:val="0"/>
      <w:spacing w:line="480" w:lineRule="atLeast"/>
      <w:ind w:firstLine="560"/>
    </w:pPr>
    <w:rPr>
      <w:rFonts w:ascii="宋体" w:hAnsi="Times New Roman" w:cs="宋体"/>
      <w:spacing w:val="5"/>
      <w:kern w:val="0"/>
      <w:sz w:val="28"/>
      <w:szCs w:val="25"/>
    </w:rPr>
  </w:style>
  <w:style w:type="paragraph" w:customStyle="1" w:styleId="469">
    <w:name w:val="样式 四号 首行缩进:  2 字符"/>
    <w:basedOn w:val="1"/>
    <w:qFormat/>
    <w:uiPriority w:val="0"/>
    <w:pPr>
      <w:spacing w:line="480" w:lineRule="atLeast"/>
      <w:ind w:firstLine="480" w:firstLineChars="200"/>
    </w:pPr>
    <w:rPr>
      <w:rFonts w:ascii="宋体" w:hAnsi="Times New Roman"/>
      <w:spacing w:val="5"/>
      <w:sz w:val="24"/>
      <w:szCs w:val="24"/>
    </w:rPr>
  </w:style>
  <w:style w:type="paragraph" w:customStyle="1" w:styleId="470">
    <w:name w:val="样式 标题 1章标题1.1标题 1HTS 1H1Heading 11level 1Level 1 Head章章..."/>
    <w:basedOn w:val="4"/>
    <w:qFormat/>
    <w:uiPriority w:val="0"/>
    <w:pPr>
      <w:widowControl/>
      <w:tabs>
        <w:tab w:val="left" w:pos="360"/>
      </w:tabs>
      <w:snapToGrid w:val="0"/>
      <w:spacing w:before="120" w:after="120" w:line="240" w:lineRule="auto"/>
      <w:ind w:hanging="200" w:hangingChars="200"/>
      <w:jc w:val="left"/>
    </w:pPr>
    <w:rPr>
      <w:rFonts w:ascii="宋体" w:hAnsi="Times New Roman" w:eastAsia="黑体" w:cs="宋体"/>
      <w:b w:val="0"/>
      <w:spacing w:val="-10"/>
      <w:kern w:val="28"/>
      <w:sz w:val="32"/>
      <w:szCs w:val="20"/>
    </w:rPr>
  </w:style>
  <w:style w:type="paragraph" w:customStyle="1" w:styleId="471">
    <w:name w:val="标题4"/>
    <w:basedOn w:val="1"/>
    <w:qFormat/>
    <w:uiPriority w:val="0"/>
    <w:pPr>
      <w:tabs>
        <w:tab w:val="left" w:pos="851"/>
      </w:tabs>
      <w:spacing w:line="500" w:lineRule="exact"/>
      <w:ind w:left="851" w:hanging="851"/>
      <w:outlineLvl w:val="3"/>
    </w:pPr>
    <w:rPr>
      <w:rFonts w:ascii="宋体" w:hAnsi="Times New Roman"/>
      <w:spacing w:val="5"/>
      <w:kern w:val="0"/>
      <w:sz w:val="28"/>
      <w:szCs w:val="28"/>
    </w:rPr>
  </w:style>
  <w:style w:type="paragraph" w:customStyle="1" w:styleId="472">
    <w:name w:val="表格 + 五号"/>
    <w:basedOn w:val="234"/>
    <w:qFormat/>
    <w:uiPriority w:val="0"/>
    <w:rPr>
      <w:sz w:val="21"/>
      <w:szCs w:val="21"/>
    </w:rPr>
  </w:style>
  <w:style w:type="paragraph" w:customStyle="1" w:styleId="473">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pacing w:val="5"/>
      <w:sz w:val="25"/>
      <w:szCs w:val="25"/>
    </w:rPr>
  </w:style>
  <w:style w:type="paragraph" w:customStyle="1" w:styleId="474">
    <w:name w:val="自定义缩进"/>
    <w:basedOn w:val="1"/>
    <w:qFormat/>
    <w:uiPriority w:val="0"/>
    <w:pPr>
      <w:keepNext/>
      <w:spacing w:line="336" w:lineRule="auto"/>
      <w:ind w:firstLine="480" w:firstLineChars="200"/>
      <w:jc w:val="left"/>
    </w:pPr>
    <w:rPr>
      <w:rFonts w:ascii="宋体" w:hAnsi="宋体"/>
      <w:spacing w:val="5"/>
      <w:kern w:val="0"/>
      <w:sz w:val="24"/>
      <w:szCs w:val="24"/>
    </w:rPr>
  </w:style>
  <w:style w:type="paragraph" w:customStyle="1" w:styleId="475">
    <w:name w:val="xl12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tLeast"/>
      <w:jc w:val="right"/>
    </w:pPr>
    <w:rPr>
      <w:rFonts w:ascii="宋体" w:hAnsi="宋体" w:cs="宋体"/>
      <w:kern w:val="0"/>
      <w:sz w:val="24"/>
      <w:szCs w:val="24"/>
    </w:rPr>
  </w:style>
  <w:style w:type="paragraph" w:customStyle="1" w:styleId="476">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477">
    <w:name w:val="font7"/>
    <w:basedOn w:val="1"/>
    <w:qFormat/>
    <w:uiPriority w:val="0"/>
    <w:pPr>
      <w:widowControl/>
      <w:spacing w:before="100" w:beforeAutospacing="1" w:after="100" w:afterAutospacing="1" w:line="240" w:lineRule="atLeast"/>
      <w:jc w:val="left"/>
    </w:pPr>
    <w:rPr>
      <w:rFonts w:ascii="Times New Roman" w:hAnsi="Times New Roman" w:eastAsia="Arial Unicode MS"/>
      <w:color w:val="000000"/>
      <w:kern w:val="0"/>
      <w:sz w:val="32"/>
      <w:szCs w:val="32"/>
    </w:rPr>
  </w:style>
  <w:style w:type="paragraph" w:customStyle="1" w:styleId="478">
    <w:name w:val="Char Char Char Char Char Char Char"/>
    <w:basedOn w:val="1"/>
    <w:qFormat/>
    <w:uiPriority w:val="0"/>
    <w:pPr>
      <w:spacing w:line="240" w:lineRule="atLeast"/>
    </w:pPr>
    <w:rPr>
      <w:rFonts w:ascii="宋体" w:hAnsi="Times New Roman"/>
      <w:spacing w:val="5"/>
      <w:sz w:val="25"/>
      <w:szCs w:val="24"/>
    </w:rPr>
  </w:style>
  <w:style w:type="paragraph" w:customStyle="1" w:styleId="479">
    <w:name w:val="Char Char Char Char Char Char Char Char Char Char Char Char Char Char Char Char Char Char Char Char Char Char1"/>
    <w:basedOn w:val="6"/>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spacing w:val="5"/>
      <w:sz w:val="24"/>
      <w:szCs w:val="24"/>
    </w:rPr>
  </w:style>
  <w:style w:type="paragraph" w:customStyle="1" w:styleId="480">
    <w:name w:val="xl76"/>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481">
    <w:name w:val="xl39"/>
    <w:basedOn w:val="1"/>
    <w:qFormat/>
    <w:uiPriority w:val="0"/>
    <w:pPr>
      <w:widowControl/>
      <w:pBdr>
        <w:top w:val="single" w:color="auto" w:sz="8" w:space="0"/>
        <w:right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482">
    <w:name w:val="font13"/>
    <w:basedOn w:val="1"/>
    <w:qFormat/>
    <w:uiPriority w:val="0"/>
    <w:pPr>
      <w:widowControl/>
      <w:spacing w:before="100" w:beforeAutospacing="1" w:after="100" w:afterAutospacing="1" w:line="240" w:lineRule="atLeast"/>
      <w:jc w:val="left"/>
    </w:pPr>
    <w:rPr>
      <w:rFonts w:ascii="Times New Roman" w:hAnsi="Times New Roman" w:eastAsia="Arial Unicode MS"/>
      <w:color w:val="000000"/>
      <w:kern w:val="0"/>
      <w:sz w:val="24"/>
      <w:szCs w:val="24"/>
    </w:rPr>
  </w:style>
  <w:style w:type="paragraph" w:customStyle="1" w:styleId="483">
    <w:name w:val="xl91"/>
    <w:basedOn w:val="1"/>
    <w:qFormat/>
    <w:uiPriority w:val="0"/>
    <w:pPr>
      <w:widowControl/>
      <w:pBdr>
        <w:top w:val="single" w:color="auto" w:sz="4" w:space="0"/>
        <w:left w:val="single" w:color="auto" w:sz="4" w:space="0"/>
        <w:bottom w:val="single" w:color="auto" w:sz="4" w:space="0"/>
        <w:right w:val="single" w:color="auto" w:sz="8" w:space="0"/>
      </w:pBdr>
      <w:shd w:val="clear" w:color="auto" w:fill="FFFF99"/>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484">
    <w:name w:val="xl75"/>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485">
    <w:name w:val="xl55"/>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28"/>
      <w:szCs w:val="28"/>
    </w:rPr>
  </w:style>
  <w:style w:type="paragraph" w:customStyle="1" w:styleId="486">
    <w:name w:val="样式 样式 首行缩进:  2 字符1 + 首行缩进:  2 字符"/>
    <w:basedOn w:val="1"/>
    <w:qFormat/>
    <w:uiPriority w:val="0"/>
    <w:pPr>
      <w:spacing w:line="520" w:lineRule="exact"/>
      <w:ind w:firstLine="480" w:firstLineChars="200"/>
    </w:pPr>
    <w:rPr>
      <w:rFonts w:ascii="宋体" w:hAnsi="Times New Roman" w:cs="宋体"/>
      <w:spacing w:val="5"/>
      <w:sz w:val="24"/>
      <w:szCs w:val="25"/>
    </w:rPr>
  </w:style>
  <w:style w:type="paragraph" w:customStyle="1" w:styleId="487">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488">
    <w:name w:val="xl80"/>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line="240" w:lineRule="atLeast"/>
      <w:jc w:val="center"/>
      <w:textAlignment w:val="center"/>
    </w:pPr>
    <w:rPr>
      <w:rFonts w:ascii="Times New Roman" w:hAnsi="Times New Roman"/>
      <w:color w:val="000000"/>
      <w:kern w:val="0"/>
      <w:sz w:val="24"/>
      <w:szCs w:val="24"/>
    </w:rPr>
  </w:style>
  <w:style w:type="paragraph" w:customStyle="1" w:styleId="489">
    <w:name w:val="font0"/>
    <w:basedOn w:val="1"/>
    <w:qFormat/>
    <w:uiPriority w:val="0"/>
    <w:pPr>
      <w:widowControl/>
      <w:spacing w:before="100" w:beforeAutospacing="1" w:after="100" w:afterAutospacing="1" w:line="240" w:lineRule="atLeast"/>
      <w:jc w:val="left"/>
    </w:pPr>
    <w:rPr>
      <w:rFonts w:ascii="宋体" w:hAnsi="宋体" w:cs="宋体"/>
      <w:kern w:val="0"/>
      <w:sz w:val="24"/>
      <w:szCs w:val="24"/>
    </w:rPr>
  </w:style>
  <w:style w:type="paragraph" w:customStyle="1" w:styleId="490">
    <w:name w:val="xl60"/>
    <w:basedOn w:val="1"/>
    <w:qFormat/>
    <w:uiPriority w:val="0"/>
    <w:pPr>
      <w:widowControl/>
      <w:spacing w:before="100" w:beforeAutospacing="1" w:after="100" w:afterAutospacing="1" w:line="240" w:lineRule="atLeast"/>
      <w:jc w:val="left"/>
      <w:textAlignment w:val="center"/>
    </w:pPr>
    <w:rPr>
      <w:rFonts w:hint="eastAsia" w:ascii="宋体" w:hAnsi="宋体" w:cs="Century"/>
      <w:color w:val="000000"/>
      <w:kern w:val="0"/>
      <w:sz w:val="28"/>
      <w:szCs w:val="28"/>
    </w:rPr>
  </w:style>
  <w:style w:type="paragraph" w:customStyle="1" w:styleId="491">
    <w:name w:val="热电厂正文 Char Char1"/>
    <w:basedOn w:val="1"/>
    <w:qFormat/>
    <w:uiPriority w:val="0"/>
    <w:pPr>
      <w:spacing w:line="440" w:lineRule="exact"/>
      <w:ind w:firstLine="480" w:firstLineChars="200"/>
    </w:pPr>
    <w:rPr>
      <w:rFonts w:ascii="宋体" w:hAnsi="Times New Roman"/>
      <w:spacing w:val="5"/>
      <w:sz w:val="24"/>
      <w:szCs w:val="24"/>
    </w:rPr>
  </w:style>
  <w:style w:type="paragraph" w:customStyle="1" w:styleId="492">
    <w:name w:val="Char1"/>
    <w:basedOn w:val="6"/>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spacing w:val="5"/>
      <w:sz w:val="24"/>
      <w:szCs w:val="24"/>
    </w:rPr>
  </w:style>
  <w:style w:type="paragraph" w:customStyle="1" w:styleId="493">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jc w:val="center"/>
      <w:textAlignment w:val="center"/>
    </w:pPr>
    <w:rPr>
      <w:rFonts w:ascii="Times New Roman" w:hAnsi="Times New Roman"/>
      <w:color w:val="FF0000"/>
      <w:kern w:val="0"/>
      <w:sz w:val="24"/>
      <w:szCs w:val="24"/>
    </w:rPr>
  </w:style>
  <w:style w:type="paragraph" w:customStyle="1" w:styleId="494">
    <w:name w:val="xl10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tLeast"/>
      <w:jc w:val="center"/>
    </w:pPr>
    <w:rPr>
      <w:rFonts w:ascii="宋体" w:hAnsi="宋体" w:cs="宋体"/>
      <w:kern w:val="0"/>
      <w:sz w:val="24"/>
      <w:szCs w:val="24"/>
    </w:rPr>
  </w:style>
  <w:style w:type="paragraph" w:customStyle="1" w:styleId="495">
    <w:name w:val="封面标题黑3"/>
    <w:basedOn w:val="1"/>
    <w:qFormat/>
    <w:uiPriority w:val="0"/>
    <w:pPr>
      <w:spacing w:line="640" w:lineRule="exact"/>
      <w:jc w:val="center"/>
    </w:pPr>
    <w:rPr>
      <w:rFonts w:ascii="Times New Roman" w:hAnsi="Times New Roman" w:eastAsia="黑体"/>
      <w:b/>
      <w:sz w:val="32"/>
      <w:szCs w:val="24"/>
    </w:rPr>
  </w:style>
  <w:style w:type="paragraph" w:customStyle="1" w:styleId="496">
    <w:name w:val="xl38"/>
    <w:basedOn w:val="1"/>
    <w:qFormat/>
    <w:uiPriority w:val="0"/>
    <w:pPr>
      <w:widowControl/>
      <w:pBdr>
        <w:top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497">
    <w:name w:val="样式 四号 加粗 居中 首行缩进:  2 字符 行距: 最小值 12 磅"/>
    <w:basedOn w:val="1"/>
    <w:qFormat/>
    <w:uiPriority w:val="0"/>
    <w:pPr>
      <w:adjustRightInd w:val="0"/>
      <w:snapToGrid w:val="0"/>
      <w:jc w:val="center"/>
    </w:pPr>
    <w:rPr>
      <w:rFonts w:ascii="Times New Roman" w:hAnsi="Times New Roman" w:cs="宋体"/>
      <w:bCs/>
      <w:snapToGrid w:val="0"/>
      <w:kern w:val="0"/>
      <w:szCs w:val="20"/>
    </w:rPr>
  </w:style>
  <w:style w:type="paragraph" w:customStyle="1" w:styleId="498">
    <w:name w:val="xl98"/>
    <w:basedOn w:val="1"/>
    <w:qFormat/>
    <w:uiPriority w:val="0"/>
    <w:pPr>
      <w:widowControl/>
      <w:pBdr>
        <w:top w:val="single" w:color="auto" w:sz="4" w:space="0"/>
        <w:left w:val="single" w:color="auto" w:sz="4" w:space="0"/>
        <w:bottom w:val="single" w:color="auto" w:sz="4" w:space="0"/>
        <w:right w:val="single" w:color="auto" w:sz="8" w:space="0"/>
      </w:pBdr>
      <w:shd w:val="clear" w:color="auto" w:fill="FFFF99"/>
      <w:spacing w:before="100" w:beforeAutospacing="1" w:after="100" w:afterAutospacing="1" w:line="240" w:lineRule="atLeast"/>
      <w:jc w:val="center"/>
      <w:textAlignment w:val="center"/>
    </w:pPr>
    <w:rPr>
      <w:rFonts w:ascii="宋体" w:hAnsi="宋体" w:cs="宋体"/>
      <w:color w:val="000000"/>
      <w:kern w:val="0"/>
      <w:sz w:val="24"/>
      <w:szCs w:val="24"/>
    </w:rPr>
  </w:style>
  <w:style w:type="paragraph" w:customStyle="1" w:styleId="499">
    <w:name w:val="Char11"/>
    <w:basedOn w:val="6"/>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spacing w:val="5"/>
      <w:sz w:val="24"/>
      <w:szCs w:val="24"/>
    </w:rPr>
  </w:style>
  <w:style w:type="paragraph" w:customStyle="1" w:styleId="500">
    <w:name w:val="样式 四号 加粗 居中 首行缩进:  2 字符"/>
    <w:basedOn w:val="1"/>
    <w:qFormat/>
    <w:uiPriority w:val="0"/>
    <w:pPr>
      <w:adjustRightInd w:val="0"/>
      <w:snapToGrid w:val="0"/>
      <w:spacing w:line="360" w:lineRule="auto"/>
      <w:jc w:val="center"/>
    </w:pPr>
    <w:rPr>
      <w:rFonts w:ascii="Times New Roman" w:hAnsi="Times New Roman" w:cs="宋体"/>
      <w:b/>
      <w:bCs/>
      <w:snapToGrid w:val="0"/>
      <w:kern w:val="0"/>
      <w:szCs w:val="20"/>
    </w:rPr>
  </w:style>
  <w:style w:type="paragraph" w:customStyle="1" w:styleId="501">
    <w:name w:val="xl10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tLeast"/>
      <w:jc w:val="center"/>
    </w:pPr>
    <w:rPr>
      <w:rFonts w:ascii="Times New Roman" w:hAnsi="Times New Roman"/>
      <w:kern w:val="0"/>
      <w:sz w:val="24"/>
      <w:szCs w:val="24"/>
    </w:rPr>
  </w:style>
  <w:style w:type="paragraph" w:customStyle="1" w:styleId="502">
    <w:name w:val="Char Char Char Char Char Char Char1"/>
    <w:basedOn w:val="1"/>
    <w:qFormat/>
    <w:uiPriority w:val="0"/>
    <w:pPr>
      <w:spacing w:line="240" w:lineRule="atLeast"/>
    </w:pPr>
    <w:rPr>
      <w:rFonts w:ascii="宋体" w:hAnsi="Times New Roman"/>
      <w:spacing w:val="5"/>
      <w:sz w:val="25"/>
      <w:szCs w:val="24"/>
    </w:rPr>
  </w:style>
  <w:style w:type="paragraph" w:customStyle="1" w:styleId="503">
    <w:name w:val="新标题2"/>
    <w:basedOn w:val="5"/>
    <w:qFormat/>
    <w:uiPriority w:val="0"/>
    <w:pPr>
      <w:keepLines w:val="0"/>
      <w:widowControl/>
      <w:tabs>
        <w:tab w:val="left" w:pos="567"/>
      </w:tabs>
      <w:overflowPunct w:val="0"/>
      <w:topLinePunct/>
      <w:autoSpaceDE w:val="0"/>
      <w:autoSpaceDN w:val="0"/>
      <w:snapToGrid w:val="0"/>
      <w:spacing w:before="120" w:after="120" w:line="440" w:lineRule="exact"/>
      <w:ind w:left="567" w:hanging="567"/>
    </w:pPr>
    <w:rPr>
      <w:rFonts w:ascii="Arial" w:hAnsi="Arial" w:eastAsia="黑体" w:cs="宋体"/>
      <w:b w:val="0"/>
      <w:bCs w:val="0"/>
      <w:spacing w:val="5"/>
      <w:szCs w:val="20"/>
    </w:rPr>
  </w:style>
  <w:style w:type="paragraph" w:customStyle="1" w:styleId="504">
    <w:name w:val="xl1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tLeast"/>
      <w:jc w:val="right"/>
    </w:pPr>
    <w:rPr>
      <w:rFonts w:ascii="宋体" w:hAnsi="宋体" w:cs="宋体"/>
      <w:kern w:val="0"/>
      <w:sz w:val="24"/>
      <w:szCs w:val="24"/>
    </w:rPr>
  </w:style>
  <w:style w:type="paragraph" w:customStyle="1" w:styleId="505">
    <w:name w:val="xl48"/>
    <w:basedOn w:val="1"/>
    <w:qFormat/>
    <w:uiPriority w:val="0"/>
    <w:pPr>
      <w:widowControl/>
      <w:spacing w:before="100" w:beforeAutospacing="1" w:after="100" w:afterAutospacing="1" w:line="240" w:lineRule="atLeast"/>
      <w:jc w:val="left"/>
    </w:pPr>
    <w:rPr>
      <w:rFonts w:hint="eastAsia" w:ascii="宋体" w:hAnsi="宋体" w:cs="Century"/>
      <w:kern w:val="0"/>
      <w:sz w:val="32"/>
      <w:szCs w:val="32"/>
    </w:rPr>
  </w:style>
  <w:style w:type="paragraph" w:customStyle="1" w:styleId="506">
    <w:name w:val="font8"/>
    <w:basedOn w:val="1"/>
    <w:qFormat/>
    <w:uiPriority w:val="0"/>
    <w:pPr>
      <w:widowControl/>
      <w:spacing w:before="100" w:beforeAutospacing="1" w:after="100" w:afterAutospacing="1" w:line="240" w:lineRule="atLeast"/>
      <w:jc w:val="left"/>
    </w:pPr>
    <w:rPr>
      <w:rFonts w:hint="eastAsia" w:ascii="宋体" w:hAnsi="宋体" w:cs="Century"/>
      <w:kern w:val="0"/>
      <w:sz w:val="32"/>
      <w:szCs w:val="32"/>
    </w:rPr>
  </w:style>
  <w:style w:type="paragraph" w:customStyle="1" w:styleId="507">
    <w:name w:val="新标题1"/>
    <w:basedOn w:val="4"/>
    <w:qFormat/>
    <w:uiPriority w:val="0"/>
    <w:pPr>
      <w:tabs>
        <w:tab w:val="left" w:pos="425"/>
      </w:tabs>
      <w:overflowPunct w:val="0"/>
      <w:topLinePunct/>
      <w:autoSpaceDE w:val="0"/>
      <w:autoSpaceDN w:val="0"/>
      <w:snapToGrid w:val="0"/>
      <w:spacing w:before="120" w:after="120" w:line="440" w:lineRule="exact"/>
      <w:ind w:left="425" w:hanging="425"/>
    </w:pPr>
    <w:rPr>
      <w:rFonts w:ascii="宋体" w:hAnsi="Times New Roman" w:cs="宋体"/>
      <w:spacing w:val="5"/>
      <w:sz w:val="36"/>
      <w:szCs w:val="20"/>
    </w:rPr>
  </w:style>
  <w:style w:type="paragraph" w:customStyle="1" w:styleId="508">
    <w:name w:val="环保篇"/>
    <w:basedOn w:val="1"/>
    <w:qFormat/>
    <w:uiPriority w:val="0"/>
    <w:pPr>
      <w:tabs>
        <w:tab w:val="left" w:pos="360"/>
      </w:tabs>
      <w:spacing w:line="360" w:lineRule="auto"/>
    </w:pPr>
    <w:rPr>
      <w:rFonts w:ascii="Times New Roman" w:hAnsi="Times New Roman"/>
      <w:sz w:val="28"/>
      <w:szCs w:val="20"/>
    </w:rPr>
  </w:style>
  <w:style w:type="paragraph" w:customStyle="1" w:styleId="509">
    <w:name w:val="font6"/>
    <w:basedOn w:val="1"/>
    <w:qFormat/>
    <w:uiPriority w:val="0"/>
    <w:pPr>
      <w:widowControl/>
      <w:spacing w:before="100" w:beforeAutospacing="1" w:after="100" w:afterAutospacing="1" w:line="240" w:lineRule="atLeast"/>
      <w:jc w:val="left"/>
    </w:pPr>
    <w:rPr>
      <w:rFonts w:hint="eastAsia" w:ascii="宋体" w:hAnsi="宋体" w:cs="Century"/>
      <w:color w:val="000000"/>
      <w:kern w:val="0"/>
      <w:sz w:val="32"/>
      <w:szCs w:val="32"/>
    </w:rPr>
  </w:style>
  <w:style w:type="paragraph" w:customStyle="1" w:styleId="510">
    <w:name w:val="目录"/>
    <w:basedOn w:val="1"/>
    <w:qFormat/>
    <w:uiPriority w:val="0"/>
    <w:pPr>
      <w:tabs>
        <w:tab w:val="right" w:leader="dot" w:pos="8505"/>
      </w:tabs>
      <w:overflowPunct w:val="0"/>
      <w:adjustRightInd w:val="0"/>
      <w:spacing w:line="360" w:lineRule="auto"/>
      <w:ind w:left="568" w:right="851" w:hanging="284"/>
      <w:jc w:val="left"/>
      <w:textAlignment w:val="baseline"/>
    </w:pPr>
    <w:rPr>
      <w:rFonts w:ascii="Times New Roman" w:hAnsi="Times New Roman"/>
      <w:kern w:val="0"/>
      <w:sz w:val="28"/>
      <w:szCs w:val="20"/>
    </w:rPr>
  </w:style>
  <w:style w:type="paragraph" w:customStyle="1" w:styleId="511">
    <w:name w:val="新标题3"/>
    <w:basedOn w:val="6"/>
    <w:qFormat/>
    <w:uiPriority w:val="0"/>
    <w:pPr>
      <w:keepLines w:val="0"/>
      <w:tabs>
        <w:tab w:val="left" w:pos="360"/>
        <w:tab w:val="left" w:pos="817"/>
      </w:tabs>
      <w:overflowPunct w:val="0"/>
      <w:topLinePunct/>
      <w:autoSpaceDE w:val="0"/>
      <w:autoSpaceDN w:val="0"/>
      <w:snapToGrid w:val="0"/>
      <w:spacing w:before="0" w:after="0" w:line="440" w:lineRule="exact"/>
    </w:pPr>
    <w:rPr>
      <w:rFonts w:ascii="宋体" w:cs="宋体"/>
      <w:b w:val="0"/>
      <w:bCs w:val="0"/>
      <w:spacing w:val="5"/>
      <w:kern w:val="0"/>
      <w:sz w:val="30"/>
      <w:szCs w:val="20"/>
    </w:rPr>
  </w:style>
  <w:style w:type="paragraph" w:customStyle="1" w:styleId="512">
    <w:name w:val="xl10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tLeast"/>
      <w:jc w:val="center"/>
      <w:textAlignment w:val="center"/>
    </w:pPr>
    <w:rPr>
      <w:rFonts w:ascii="宋体" w:hAnsi="宋体" w:cs="宋体"/>
      <w:b/>
      <w:bCs/>
      <w:kern w:val="0"/>
      <w:sz w:val="24"/>
      <w:szCs w:val="24"/>
    </w:rPr>
  </w:style>
  <w:style w:type="paragraph" w:customStyle="1" w:styleId="513">
    <w:name w:val="font9"/>
    <w:basedOn w:val="1"/>
    <w:qFormat/>
    <w:uiPriority w:val="0"/>
    <w:pPr>
      <w:widowControl/>
      <w:spacing w:before="100" w:beforeAutospacing="1" w:after="100" w:afterAutospacing="1" w:line="240" w:lineRule="atLeast"/>
      <w:jc w:val="left"/>
    </w:pPr>
    <w:rPr>
      <w:rFonts w:hint="eastAsia" w:ascii="宋体" w:hAnsi="宋体" w:cs="Century"/>
      <w:color w:val="000000"/>
      <w:kern w:val="0"/>
      <w:sz w:val="18"/>
      <w:szCs w:val="18"/>
    </w:rPr>
  </w:style>
  <w:style w:type="paragraph" w:customStyle="1" w:styleId="514">
    <w:name w:val="新标题4"/>
    <w:basedOn w:val="7"/>
    <w:qFormat/>
    <w:uiPriority w:val="0"/>
    <w:pPr>
      <w:tabs>
        <w:tab w:val="left" w:pos="360"/>
        <w:tab w:val="left" w:pos="512"/>
        <w:tab w:val="left" w:pos="1024"/>
      </w:tabs>
      <w:overflowPunct w:val="0"/>
      <w:topLinePunct/>
      <w:autoSpaceDE w:val="0"/>
      <w:autoSpaceDN w:val="0"/>
      <w:snapToGrid w:val="0"/>
      <w:spacing w:before="0" w:after="0" w:line="440" w:lineRule="exact"/>
      <w:jc w:val="left"/>
    </w:pPr>
    <w:rPr>
      <w:rFonts w:ascii="Arial" w:hAnsi="Arial" w:cs="宋体"/>
      <w:spacing w:val="8"/>
      <w:kern w:val="0"/>
      <w:sz w:val="24"/>
      <w:szCs w:val="20"/>
    </w:rPr>
  </w:style>
  <w:style w:type="paragraph" w:customStyle="1" w:styleId="51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jc w:val="center"/>
      <w:textAlignment w:val="center"/>
    </w:pPr>
    <w:rPr>
      <w:rFonts w:ascii="Times New Roman" w:hAnsi="Times New Roman"/>
      <w:kern w:val="0"/>
      <w:sz w:val="24"/>
      <w:szCs w:val="24"/>
    </w:rPr>
  </w:style>
  <w:style w:type="paragraph" w:customStyle="1" w:styleId="516">
    <w:name w:val="xl8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tLeast"/>
      <w:jc w:val="center"/>
      <w:textAlignment w:val="center"/>
    </w:pPr>
    <w:rPr>
      <w:rFonts w:ascii="Times New Roman" w:hAnsi="Times New Roman"/>
      <w:kern w:val="0"/>
      <w:sz w:val="24"/>
      <w:szCs w:val="24"/>
    </w:rPr>
  </w:style>
  <w:style w:type="paragraph" w:customStyle="1" w:styleId="517">
    <w:name w:val="xl22"/>
    <w:basedOn w:val="1"/>
    <w:qFormat/>
    <w:uiPriority w:val="0"/>
    <w:pPr>
      <w:widowControl/>
      <w:pBdr>
        <w:top w:val="single" w:color="auto" w:sz="8" w:space="0"/>
        <w:left w:val="single" w:color="auto" w:sz="8" w:space="0"/>
        <w:right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18">
    <w:name w:val="xl70"/>
    <w:basedOn w:val="1"/>
    <w:qFormat/>
    <w:uiPriority w:val="0"/>
    <w:pPr>
      <w:widowControl/>
      <w:pBdr>
        <w:bottom w:val="single" w:color="auto" w:sz="8" w:space="0"/>
        <w:right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19">
    <w:name w:val="表文字"/>
    <w:basedOn w:val="1"/>
    <w:next w:val="1"/>
    <w:qFormat/>
    <w:uiPriority w:val="0"/>
    <w:pPr>
      <w:topLinePunct/>
      <w:spacing w:line="240" w:lineRule="exact"/>
      <w:jc w:val="center"/>
    </w:pPr>
    <w:rPr>
      <w:rFonts w:ascii="宋体" w:hAnsi="Times New Roman"/>
      <w:spacing w:val="5"/>
      <w:sz w:val="25"/>
      <w:szCs w:val="21"/>
    </w:rPr>
  </w:style>
  <w:style w:type="paragraph" w:customStyle="1" w:styleId="520">
    <w:name w:val="默认段落字体 Para Char"/>
    <w:basedOn w:val="1"/>
    <w:next w:val="1"/>
    <w:qFormat/>
    <w:uiPriority w:val="0"/>
    <w:pPr>
      <w:snapToGrid w:val="0"/>
      <w:spacing w:line="360" w:lineRule="auto"/>
      <w:ind w:firstLine="200" w:firstLineChars="200"/>
    </w:pPr>
    <w:rPr>
      <w:rFonts w:ascii="宋体" w:hAnsi="Times New Roman"/>
      <w:spacing w:val="5"/>
      <w:sz w:val="25"/>
      <w:szCs w:val="21"/>
    </w:rPr>
  </w:style>
  <w:style w:type="paragraph" w:customStyle="1" w:styleId="521">
    <w:name w:val="xl10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522">
    <w:name w:val="cdf样式"/>
    <w:basedOn w:val="1"/>
    <w:qFormat/>
    <w:uiPriority w:val="0"/>
    <w:pPr>
      <w:adjustRightInd w:val="0"/>
      <w:spacing w:line="288" w:lineRule="auto"/>
      <w:jc w:val="left"/>
      <w:textAlignment w:val="baseline"/>
    </w:pPr>
    <w:rPr>
      <w:rFonts w:ascii="Times New Roman" w:hAnsi="Times New Roman"/>
      <w:spacing w:val="5"/>
      <w:kern w:val="0"/>
      <w:sz w:val="24"/>
      <w:szCs w:val="20"/>
    </w:rPr>
  </w:style>
  <w:style w:type="paragraph" w:customStyle="1" w:styleId="523">
    <w:name w:val="xl58"/>
    <w:basedOn w:val="1"/>
    <w:qFormat/>
    <w:uiPriority w:val="0"/>
    <w:pPr>
      <w:widowControl/>
      <w:spacing w:before="100" w:beforeAutospacing="1" w:after="100" w:afterAutospacing="1" w:line="240" w:lineRule="atLeast"/>
      <w:jc w:val="left"/>
      <w:textAlignment w:val="center"/>
    </w:pPr>
    <w:rPr>
      <w:rFonts w:hint="eastAsia" w:ascii="宋体" w:hAnsi="宋体" w:cs="Century"/>
      <w:color w:val="000000"/>
      <w:kern w:val="0"/>
      <w:sz w:val="24"/>
      <w:szCs w:val="24"/>
    </w:rPr>
  </w:style>
  <w:style w:type="paragraph" w:customStyle="1" w:styleId="524">
    <w:name w:val="xl28"/>
    <w:basedOn w:val="1"/>
    <w:qFormat/>
    <w:uiPriority w:val="0"/>
    <w:pPr>
      <w:widowControl/>
      <w:pBdr>
        <w:left w:val="single" w:color="auto" w:sz="8" w:space="0"/>
        <w:bottom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25">
    <w:name w:val="正文首行缩进1"/>
    <w:basedOn w:val="34"/>
    <w:qFormat/>
    <w:uiPriority w:val="0"/>
    <w:pPr>
      <w:adjustRightInd w:val="0"/>
      <w:spacing w:after="0" w:line="312" w:lineRule="auto"/>
      <w:ind w:firstLine="567"/>
      <w:textAlignment w:val="baseline"/>
    </w:pPr>
    <w:rPr>
      <w:kern w:val="0"/>
      <w:sz w:val="28"/>
      <w:szCs w:val="20"/>
    </w:rPr>
  </w:style>
  <w:style w:type="paragraph" w:customStyle="1" w:styleId="526">
    <w:name w:val="xl24"/>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27">
    <w:name w:val="表内容"/>
    <w:basedOn w:val="1"/>
    <w:qFormat/>
    <w:uiPriority w:val="0"/>
    <w:pPr>
      <w:tabs>
        <w:tab w:val="left" w:pos="3780"/>
      </w:tabs>
      <w:snapToGrid w:val="0"/>
      <w:spacing w:line="240" w:lineRule="atLeast"/>
      <w:ind w:right="-6" w:rightChars="-2"/>
      <w:jc w:val="center"/>
    </w:pPr>
    <w:rPr>
      <w:rFonts w:ascii="宋体" w:hAnsi="Times New Roman" w:eastAsia="仿宋_GB2312"/>
      <w:snapToGrid w:val="0"/>
      <w:spacing w:val="5"/>
      <w:kern w:val="0"/>
      <w:sz w:val="25"/>
    </w:rPr>
  </w:style>
  <w:style w:type="paragraph" w:customStyle="1" w:styleId="528">
    <w:name w:val="Char Char Char1 Char Char Char Char"/>
    <w:basedOn w:val="1"/>
    <w:qFormat/>
    <w:uiPriority w:val="0"/>
    <w:pPr>
      <w:spacing w:line="360" w:lineRule="auto"/>
      <w:ind w:firstLine="480" w:firstLineChars="200"/>
    </w:pPr>
    <w:rPr>
      <w:rFonts w:ascii="Times New Roman" w:hAnsi="Times New Roman"/>
      <w:sz w:val="24"/>
      <w:szCs w:val="24"/>
    </w:rPr>
  </w:style>
  <w:style w:type="paragraph" w:customStyle="1" w:styleId="529">
    <w:name w:val="xl11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center"/>
      <w:textAlignment w:val="center"/>
    </w:pPr>
    <w:rPr>
      <w:rFonts w:ascii="Times New Roman" w:hAnsi="Times New Roman"/>
      <w:b/>
      <w:bCs/>
      <w:kern w:val="0"/>
      <w:sz w:val="24"/>
      <w:szCs w:val="24"/>
    </w:rPr>
  </w:style>
  <w:style w:type="paragraph" w:customStyle="1" w:styleId="530">
    <w:name w:val="xl51"/>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31">
    <w:name w:val="文章标题"/>
    <w:basedOn w:val="4"/>
    <w:next w:val="1"/>
    <w:qFormat/>
    <w:uiPriority w:val="0"/>
    <w:pPr>
      <w:tabs>
        <w:tab w:val="left" w:pos="1134"/>
        <w:tab w:val="right" w:pos="7371"/>
      </w:tabs>
      <w:overflowPunct w:val="0"/>
      <w:adjustRightInd w:val="0"/>
      <w:spacing w:before="240" w:after="240" w:line="240" w:lineRule="atLeast"/>
      <w:jc w:val="center"/>
      <w:textAlignment w:val="baseline"/>
      <w:outlineLvl w:val="9"/>
    </w:pPr>
    <w:rPr>
      <w:rFonts w:ascii="Times New Roman" w:hAnsi="Times New Roman" w:eastAsia="黑体"/>
      <w:b w:val="0"/>
      <w:bCs w:val="0"/>
      <w:color w:val="FF0000"/>
      <w:szCs w:val="20"/>
    </w:rPr>
  </w:style>
  <w:style w:type="paragraph" w:customStyle="1" w:styleId="532">
    <w:name w:val="封面标题"/>
    <w:basedOn w:val="1"/>
    <w:next w:val="404"/>
    <w:qFormat/>
    <w:uiPriority w:val="0"/>
    <w:pPr>
      <w:tabs>
        <w:tab w:val="left" w:pos="1134"/>
        <w:tab w:val="right" w:pos="7371"/>
      </w:tabs>
      <w:overflowPunct w:val="0"/>
      <w:adjustRightInd w:val="0"/>
      <w:spacing w:line="360" w:lineRule="auto"/>
      <w:jc w:val="center"/>
      <w:textAlignment w:val="baseline"/>
    </w:pPr>
    <w:rPr>
      <w:rFonts w:ascii="Arial" w:hAnsi="Times New Roman" w:eastAsia="黑体"/>
      <w:color w:val="FF0000"/>
      <w:spacing w:val="20"/>
      <w:kern w:val="52"/>
      <w:sz w:val="52"/>
      <w:szCs w:val="20"/>
    </w:rPr>
  </w:style>
  <w:style w:type="paragraph" w:customStyle="1" w:styleId="533">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jc w:val="center"/>
      <w:textAlignment w:val="center"/>
    </w:pPr>
    <w:rPr>
      <w:rFonts w:ascii="宋体" w:hAnsi="宋体" w:cs="宋体"/>
      <w:color w:val="0000FF"/>
      <w:kern w:val="0"/>
      <w:sz w:val="24"/>
      <w:szCs w:val="24"/>
    </w:rPr>
  </w:style>
  <w:style w:type="paragraph" w:customStyle="1" w:styleId="534">
    <w:name w:val="日期1"/>
    <w:basedOn w:val="1"/>
    <w:next w:val="1"/>
    <w:qFormat/>
    <w:uiPriority w:val="0"/>
    <w:pPr>
      <w:adjustRightInd w:val="0"/>
      <w:spacing w:line="360" w:lineRule="atLeast"/>
      <w:textAlignment w:val="baseline"/>
    </w:pPr>
    <w:rPr>
      <w:rFonts w:ascii="宋体" w:hAnsi="Times New Roman"/>
      <w:kern w:val="0"/>
      <w:sz w:val="28"/>
      <w:szCs w:val="20"/>
    </w:rPr>
  </w:style>
  <w:style w:type="paragraph" w:customStyle="1" w:styleId="535">
    <w:name w:val="表格标题2"/>
    <w:basedOn w:val="1"/>
    <w:qFormat/>
    <w:uiPriority w:val="0"/>
    <w:pPr>
      <w:keepNext/>
      <w:tabs>
        <w:tab w:val="center" w:pos="6832"/>
        <w:tab w:val="right" w:pos="13665"/>
      </w:tabs>
      <w:adjustRightInd w:val="0"/>
      <w:spacing w:after="60" w:line="312" w:lineRule="auto"/>
      <w:jc w:val="center"/>
      <w:textAlignment w:val="baseline"/>
    </w:pPr>
    <w:rPr>
      <w:rFonts w:ascii="Arial" w:hAnsi="Arial"/>
      <w:kern w:val="0"/>
      <w:sz w:val="28"/>
      <w:szCs w:val="20"/>
    </w:rPr>
  </w:style>
  <w:style w:type="paragraph" w:customStyle="1" w:styleId="536">
    <w:name w:val="xl62"/>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24"/>
      <w:szCs w:val="24"/>
    </w:rPr>
  </w:style>
  <w:style w:type="paragraph" w:customStyle="1" w:styleId="537">
    <w:name w:val="font15"/>
    <w:basedOn w:val="1"/>
    <w:qFormat/>
    <w:uiPriority w:val="0"/>
    <w:pPr>
      <w:widowControl/>
      <w:spacing w:before="100" w:beforeAutospacing="1" w:after="100" w:afterAutospacing="1" w:line="240" w:lineRule="atLeast"/>
      <w:jc w:val="left"/>
    </w:pPr>
    <w:rPr>
      <w:rFonts w:hint="eastAsia" w:ascii="宋体" w:hAnsi="宋体" w:cs="Century"/>
      <w:b/>
      <w:bCs/>
      <w:color w:val="000000"/>
      <w:kern w:val="0"/>
      <w:sz w:val="32"/>
      <w:szCs w:val="32"/>
    </w:rPr>
  </w:style>
  <w:style w:type="paragraph" w:customStyle="1" w:styleId="538">
    <w:name w:val="a)"/>
    <w:basedOn w:val="1"/>
    <w:qFormat/>
    <w:uiPriority w:val="0"/>
    <w:pPr>
      <w:tabs>
        <w:tab w:val="left" w:pos="1134"/>
      </w:tabs>
      <w:adjustRightInd w:val="0"/>
      <w:spacing w:line="360" w:lineRule="auto"/>
      <w:ind w:firstLine="567"/>
      <w:textAlignment w:val="baseline"/>
    </w:pPr>
    <w:rPr>
      <w:rFonts w:ascii="Times New Roman" w:hAnsi="Times New Roman"/>
      <w:kern w:val="0"/>
      <w:sz w:val="28"/>
      <w:szCs w:val="20"/>
    </w:rPr>
  </w:style>
  <w:style w:type="paragraph" w:customStyle="1" w:styleId="539">
    <w:name w:val="正文表头"/>
    <w:basedOn w:val="1"/>
    <w:next w:val="408"/>
    <w:qFormat/>
    <w:uiPriority w:val="0"/>
    <w:pPr>
      <w:keepNext/>
      <w:tabs>
        <w:tab w:val="center" w:pos="4253"/>
        <w:tab w:val="right" w:pos="8505"/>
      </w:tabs>
      <w:overflowPunct w:val="0"/>
      <w:adjustRightInd w:val="0"/>
      <w:spacing w:before="120" w:line="360" w:lineRule="auto"/>
      <w:jc w:val="center"/>
      <w:textAlignment w:val="baseline"/>
    </w:pPr>
    <w:rPr>
      <w:rFonts w:ascii="Times New Roman" w:hAnsi="Times New Roman" w:eastAsia="黑体"/>
      <w:kern w:val="0"/>
      <w:sz w:val="28"/>
      <w:szCs w:val="20"/>
    </w:rPr>
  </w:style>
  <w:style w:type="paragraph" w:customStyle="1" w:styleId="540">
    <w:name w:val="xl11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center"/>
    </w:pPr>
    <w:rPr>
      <w:rFonts w:ascii="宋体" w:hAnsi="宋体" w:cs="宋体"/>
      <w:kern w:val="0"/>
      <w:sz w:val="24"/>
      <w:szCs w:val="24"/>
    </w:rPr>
  </w:style>
  <w:style w:type="paragraph" w:customStyle="1" w:styleId="541">
    <w:name w:val="xl52"/>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28"/>
      <w:szCs w:val="28"/>
    </w:rPr>
  </w:style>
  <w:style w:type="paragraph" w:customStyle="1" w:styleId="542">
    <w:name w:val="xl90"/>
    <w:basedOn w:val="1"/>
    <w:qFormat/>
    <w:uiPriority w:val="0"/>
    <w:pPr>
      <w:widowControl/>
      <w:pBdr>
        <w:top w:val="single" w:color="auto" w:sz="4" w:space="0"/>
        <w:left w:val="single" w:color="auto" w:sz="8" w:space="0"/>
        <w:bottom w:val="single" w:color="auto" w:sz="4" w:space="0"/>
        <w:right w:val="single" w:color="auto" w:sz="4" w:space="0"/>
      </w:pBdr>
      <w:shd w:val="clear" w:color="auto" w:fill="FFFF99"/>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543">
    <w:name w:val="xl71"/>
    <w:basedOn w:val="1"/>
    <w:qFormat/>
    <w:uiPriority w:val="0"/>
    <w:pPr>
      <w:widowControl/>
      <w:pBdr>
        <w:top w:val="single" w:color="auto" w:sz="8" w:space="0"/>
        <w:left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44">
    <w:name w:val="插图标题"/>
    <w:basedOn w:val="1"/>
    <w:qFormat/>
    <w:uiPriority w:val="0"/>
    <w:pPr>
      <w:tabs>
        <w:tab w:val="left" w:pos="1134"/>
        <w:tab w:val="right" w:pos="7371"/>
      </w:tabs>
      <w:overflowPunct w:val="0"/>
      <w:adjustRightInd w:val="0"/>
      <w:spacing w:line="240" w:lineRule="atLeast"/>
      <w:ind w:firstLine="567"/>
      <w:jc w:val="center"/>
      <w:textAlignment w:val="baseline"/>
    </w:pPr>
    <w:rPr>
      <w:rFonts w:ascii="黑体" w:hAnsi="Times New Roman" w:eastAsia="黑体"/>
      <w:kern w:val="0"/>
      <w:sz w:val="28"/>
      <w:szCs w:val="20"/>
    </w:rPr>
  </w:style>
  <w:style w:type="paragraph" w:customStyle="1" w:styleId="545">
    <w:name w:val="xl11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546">
    <w:name w:val="ｽﾀｲﾙ 5"/>
    <w:basedOn w:val="451"/>
    <w:qFormat/>
    <w:uiPriority w:val="0"/>
    <w:pPr>
      <w:tabs>
        <w:tab w:val="left" w:pos="1531"/>
        <w:tab w:val="clear" w:pos="1333"/>
      </w:tabs>
      <w:ind w:left="1582" w:hanging="624"/>
    </w:pPr>
  </w:style>
  <w:style w:type="paragraph" w:customStyle="1" w:styleId="547">
    <w:name w:val="xl64"/>
    <w:basedOn w:val="1"/>
    <w:qFormat/>
    <w:uiPriority w:val="0"/>
    <w:pPr>
      <w:widowControl/>
      <w:pBdr>
        <w:top w:val="single" w:color="auto" w:sz="8" w:space="0"/>
        <w:right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48">
    <w:name w:val="悬挂式正文"/>
    <w:basedOn w:val="1"/>
    <w:qFormat/>
    <w:uiPriority w:val="0"/>
    <w:pPr>
      <w:tabs>
        <w:tab w:val="left" w:pos="1134"/>
        <w:tab w:val="right" w:pos="7371"/>
      </w:tabs>
      <w:overflowPunct w:val="0"/>
      <w:adjustRightInd w:val="0"/>
      <w:spacing w:line="360" w:lineRule="auto"/>
      <w:ind w:left="1701" w:hanging="1134"/>
      <w:jc w:val="left"/>
      <w:textAlignment w:val="baseline"/>
    </w:pPr>
    <w:rPr>
      <w:rFonts w:ascii="Times New Roman" w:hAnsi="Times New Roman"/>
      <w:kern w:val="0"/>
      <w:sz w:val="28"/>
      <w:szCs w:val="20"/>
    </w:rPr>
  </w:style>
  <w:style w:type="paragraph" w:customStyle="1" w:styleId="549">
    <w:name w:val="xl12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tLeast"/>
      <w:jc w:val="right"/>
    </w:pPr>
    <w:rPr>
      <w:rFonts w:ascii="宋体" w:hAnsi="宋体" w:cs="宋体"/>
      <w:kern w:val="0"/>
      <w:sz w:val="24"/>
      <w:szCs w:val="24"/>
    </w:rPr>
  </w:style>
  <w:style w:type="paragraph" w:customStyle="1" w:styleId="550">
    <w:name w:val="font10"/>
    <w:basedOn w:val="1"/>
    <w:qFormat/>
    <w:uiPriority w:val="0"/>
    <w:pPr>
      <w:widowControl/>
      <w:spacing w:before="100" w:beforeAutospacing="1" w:after="100" w:afterAutospacing="1" w:line="240" w:lineRule="atLeast"/>
      <w:jc w:val="left"/>
    </w:pPr>
    <w:rPr>
      <w:rFonts w:hint="eastAsia" w:ascii="宋体" w:hAnsi="宋体" w:cs="Century"/>
      <w:b/>
      <w:bCs/>
      <w:color w:val="000000"/>
      <w:kern w:val="0"/>
      <w:sz w:val="18"/>
      <w:szCs w:val="18"/>
    </w:rPr>
  </w:style>
  <w:style w:type="paragraph" w:customStyle="1" w:styleId="551">
    <w:name w:val="xl93"/>
    <w:basedOn w:val="1"/>
    <w:qFormat/>
    <w:uiPriority w:val="0"/>
    <w:pPr>
      <w:widowControl/>
      <w:pBdr>
        <w:top w:val="single" w:color="auto" w:sz="4" w:space="0"/>
        <w:left w:val="single" w:color="auto" w:sz="4" w:space="0"/>
        <w:bottom w:val="single" w:color="auto" w:sz="4" w:space="0"/>
        <w:right w:val="single" w:color="auto" w:sz="8" w:space="0"/>
      </w:pBdr>
      <w:shd w:val="clear" w:color="auto" w:fill="99CCFF"/>
      <w:spacing w:before="100" w:beforeAutospacing="1" w:after="100" w:afterAutospacing="1" w:line="240" w:lineRule="atLeast"/>
      <w:jc w:val="center"/>
      <w:textAlignment w:val="center"/>
    </w:pPr>
    <w:rPr>
      <w:rFonts w:ascii="Times New Roman" w:hAnsi="Times New Roman"/>
      <w:b/>
      <w:bCs/>
      <w:kern w:val="0"/>
      <w:sz w:val="24"/>
      <w:szCs w:val="24"/>
    </w:rPr>
  </w:style>
  <w:style w:type="paragraph" w:customStyle="1" w:styleId="552">
    <w:name w:val="xl49"/>
    <w:basedOn w:val="1"/>
    <w:qFormat/>
    <w:uiPriority w:val="0"/>
    <w:pPr>
      <w:widowControl/>
      <w:spacing w:before="100" w:beforeAutospacing="1" w:after="100" w:afterAutospacing="1" w:line="240" w:lineRule="atLeast"/>
      <w:jc w:val="left"/>
      <w:textAlignment w:val="center"/>
    </w:pPr>
    <w:rPr>
      <w:rFonts w:hint="eastAsia" w:ascii="宋体" w:hAnsi="宋体" w:cs="Century"/>
      <w:color w:val="000000"/>
      <w:kern w:val="0"/>
      <w:sz w:val="32"/>
      <w:szCs w:val="32"/>
    </w:rPr>
  </w:style>
  <w:style w:type="paragraph" w:customStyle="1" w:styleId="553">
    <w:name w:val="font11"/>
    <w:basedOn w:val="1"/>
    <w:qFormat/>
    <w:uiPriority w:val="0"/>
    <w:pPr>
      <w:widowControl/>
      <w:spacing w:before="100" w:beforeAutospacing="1" w:after="100" w:afterAutospacing="1" w:line="240" w:lineRule="atLeast"/>
      <w:jc w:val="left"/>
    </w:pPr>
    <w:rPr>
      <w:rFonts w:hint="eastAsia" w:ascii="宋体" w:hAnsi="宋体" w:cs="Century"/>
      <w:color w:val="000000"/>
      <w:kern w:val="0"/>
      <w:sz w:val="32"/>
      <w:szCs w:val="32"/>
    </w:rPr>
  </w:style>
  <w:style w:type="paragraph" w:customStyle="1" w:styleId="554">
    <w:name w:val="xl104"/>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line="240" w:lineRule="atLeast"/>
      <w:jc w:val="center"/>
      <w:textAlignment w:val="center"/>
    </w:pPr>
    <w:rPr>
      <w:rFonts w:ascii="Times New Roman" w:hAnsi="Times New Roman"/>
      <w:color w:val="000000"/>
      <w:kern w:val="0"/>
      <w:sz w:val="24"/>
      <w:szCs w:val="24"/>
    </w:rPr>
  </w:style>
  <w:style w:type="paragraph" w:customStyle="1" w:styleId="556">
    <w:name w:val="xl44"/>
    <w:basedOn w:val="1"/>
    <w:qFormat/>
    <w:uiPriority w:val="0"/>
    <w:pPr>
      <w:widowControl/>
      <w:pBdr>
        <w:top w:val="single" w:color="auto" w:sz="8" w:space="0"/>
        <w:left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57">
    <w:name w:val="font12"/>
    <w:basedOn w:val="1"/>
    <w:qFormat/>
    <w:uiPriority w:val="0"/>
    <w:pPr>
      <w:widowControl/>
      <w:spacing w:before="100" w:beforeAutospacing="1" w:after="100" w:afterAutospacing="1" w:line="240" w:lineRule="atLeast"/>
      <w:jc w:val="left"/>
    </w:pPr>
    <w:rPr>
      <w:rFonts w:hint="eastAsia" w:ascii="宋体" w:hAnsi="宋体" w:cs="Century"/>
      <w:color w:val="000000"/>
      <w:kern w:val="0"/>
      <w:sz w:val="24"/>
      <w:szCs w:val="24"/>
    </w:rPr>
  </w:style>
  <w:style w:type="paragraph" w:customStyle="1" w:styleId="558">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tLeast"/>
      <w:jc w:val="center"/>
      <w:textAlignment w:val="center"/>
    </w:pPr>
    <w:rPr>
      <w:rFonts w:ascii="宋体" w:hAnsi="宋体" w:cs="宋体"/>
      <w:color w:val="FF0000"/>
      <w:kern w:val="0"/>
      <w:sz w:val="24"/>
      <w:szCs w:val="24"/>
    </w:rPr>
  </w:style>
  <w:style w:type="paragraph" w:customStyle="1" w:styleId="559">
    <w:name w:val="font14"/>
    <w:basedOn w:val="1"/>
    <w:qFormat/>
    <w:uiPriority w:val="0"/>
    <w:pPr>
      <w:widowControl/>
      <w:spacing w:before="100" w:beforeAutospacing="1" w:after="100" w:afterAutospacing="1" w:line="240" w:lineRule="atLeast"/>
      <w:jc w:val="left"/>
    </w:pPr>
    <w:rPr>
      <w:rFonts w:ascii="Times New Roman" w:hAnsi="Times New Roman" w:eastAsia="Arial Unicode MS"/>
      <w:kern w:val="0"/>
      <w:sz w:val="32"/>
      <w:szCs w:val="32"/>
    </w:rPr>
  </w:style>
  <w:style w:type="paragraph" w:customStyle="1" w:styleId="560">
    <w:name w:val="xl57"/>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28"/>
      <w:szCs w:val="28"/>
    </w:rPr>
  </w:style>
  <w:style w:type="paragraph" w:customStyle="1" w:styleId="561">
    <w:name w:val="font16"/>
    <w:basedOn w:val="1"/>
    <w:qFormat/>
    <w:uiPriority w:val="0"/>
    <w:pPr>
      <w:widowControl/>
      <w:spacing w:before="100" w:beforeAutospacing="1" w:after="100" w:afterAutospacing="1" w:line="240" w:lineRule="atLeast"/>
      <w:jc w:val="left"/>
    </w:pPr>
    <w:rPr>
      <w:rFonts w:ascii="Times New Roman" w:hAnsi="Times New Roman" w:eastAsia="Arial Unicode MS"/>
      <w:b/>
      <w:bCs/>
      <w:color w:val="000000"/>
      <w:kern w:val="0"/>
      <w:sz w:val="32"/>
      <w:szCs w:val="32"/>
    </w:rPr>
  </w:style>
  <w:style w:type="paragraph" w:customStyle="1" w:styleId="562">
    <w:name w:val="xl40"/>
    <w:basedOn w:val="1"/>
    <w:qFormat/>
    <w:uiPriority w:val="0"/>
    <w:pPr>
      <w:widowControl/>
      <w:pBdr>
        <w:left w:val="single" w:color="auto" w:sz="8" w:space="0"/>
        <w:bottom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63">
    <w:name w:val="xl23"/>
    <w:basedOn w:val="1"/>
    <w:qFormat/>
    <w:uiPriority w:val="0"/>
    <w:pPr>
      <w:widowControl/>
      <w:pBdr>
        <w:left w:val="single" w:color="auto" w:sz="8" w:space="0"/>
        <w:right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64">
    <w:name w:val="xl11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565">
    <w:name w:val="xl8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tLeast"/>
      <w:jc w:val="center"/>
      <w:textAlignment w:val="center"/>
    </w:pPr>
    <w:rPr>
      <w:rFonts w:ascii="Times New Roman" w:hAnsi="Times New Roman"/>
      <w:b/>
      <w:bCs/>
      <w:color w:val="0000FF"/>
      <w:kern w:val="0"/>
      <w:sz w:val="24"/>
      <w:szCs w:val="24"/>
    </w:rPr>
  </w:style>
  <w:style w:type="paragraph" w:customStyle="1" w:styleId="566">
    <w:name w:val="xl72"/>
    <w:basedOn w:val="1"/>
    <w:qFormat/>
    <w:uiPriority w:val="0"/>
    <w:pPr>
      <w:widowControl/>
      <w:pBdr>
        <w:top w:val="single" w:color="auto" w:sz="8" w:space="0"/>
        <w:right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67">
    <w:name w:val="xl25"/>
    <w:basedOn w:val="1"/>
    <w:qFormat/>
    <w:uiPriority w:val="0"/>
    <w:pPr>
      <w:widowControl/>
      <w:spacing w:before="100" w:beforeAutospacing="1" w:after="100" w:afterAutospacing="1" w:line="240" w:lineRule="atLeast"/>
      <w:jc w:val="left"/>
      <w:textAlignment w:val="center"/>
    </w:pPr>
    <w:rPr>
      <w:rFonts w:hint="eastAsia" w:ascii="宋体" w:hAnsi="宋体" w:cs="Century"/>
      <w:color w:val="000000"/>
      <w:kern w:val="0"/>
      <w:sz w:val="32"/>
      <w:szCs w:val="32"/>
    </w:rPr>
  </w:style>
  <w:style w:type="paragraph" w:customStyle="1" w:styleId="568">
    <w:name w:val="xl11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right"/>
    </w:pPr>
    <w:rPr>
      <w:rFonts w:ascii="Times New Roman" w:hAnsi="Times New Roman"/>
      <w:kern w:val="0"/>
      <w:sz w:val="24"/>
      <w:szCs w:val="24"/>
    </w:rPr>
  </w:style>
  <w:style w:type="paragraph" w:customStyle="1" w:styleId="569">
    <w:name w:val="xl82"/>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line="240" w:lineRule="atLeast"/>
      <w:jc w:val="center"/>
      <w:textAlignment w:val="center"/>
    </w:pPr>
    <w:rPr>
      <w:rFonts w:ascii="宋体" w:hAnsi="宋体" w:cs="宋体"/>
      <w:color w:val="000000"/>
      <w:kern w:val="0"/>
      <w:sz w:val="24"/>
      <w:szCs w:val="24"/>
    </w:rPr>
  </w:style>
  <w:style w:type="paragraph" w:customStyle="1" w:styleId="570">
    <w:name w:val="xl56"/>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28"/>
      <w:szCs w:val="28"/>
    </w:rPr>
  </w:style>
  <w:style w:type="paragraph" w:customStyle="1" w:styleId="571">
    <w:name w:val="xl26"/>
    <w:basedOn w:val="1"/>
    <w:qFormat/>
    <w:uiPriority w:val="0"/>
    <w:pPr>
      <w:widowControl/>
      <w:spacing w:before="100" w:beforeAutospacing="1" w:after="100" w:afterAutospacing="1" w:line="240" w:lineRule="atLeast"/>
      <w:jc w:val="left"/>
      <w:textAlignment w:val="center"/>
    </w:pPr>
    <w:rPr>
      <w:rFonts w:hint="eastAsia" w:ascii="宋体" w:hAnsi="宋体" w:cs="Century"/>
      <w:color w:val="000000"/>
      <w:kern w:val="0"/>
      <w:sz w:val="32"/>
      <w:szCs w:val="32"/>
    </w:rPr>
  </w:style>
  <w:style w:type="paragraph" w:customStyle="1" w:styleId="572">
    <w:name w:val="xl111"/>
    <w:basedOn w:val="1"/>
    <w:qFormat/>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line="240" w:lineRule="atLeast"/>
      <w:jc w:val="center"/>
      <w:textAlignment w:val="center"/>
    </w:pPr>
    <w:rPr>
      <w:rFonts w:ascii="Times New Roman" w:hAnsi="Times New Roman"/>
      <w:b/>
      <w:bCs/>
      <w:kern w:val="0"/>
      <w:sz w:val="24"/>
      <w:szCs w:val="24"/>
    </w:rPr>
  </w:style>
  <w:style w:type="paragraph" w:customStyle="1" w:styleId="573">
    <w:name w:val="xl88"/>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line="240" w:lineRule="atLeast"/>
      <w:jc w:val="center"/>
      <w:textAlignment w:val="center"/>
    </w:pPr>
    <w:rPr>
      <w:rFonts w:ascii="宋体" w:hAnsi="宋体" w:cs="宋体"/>
      <w:color w:val="0000FF"/>
      <w:kern w:val="0"/>
      <w:sz w:val="24"/>
      <w:szCs w:val="24"/>
    </w:rPr>
  </w:style>
  <w:style w:type="paragraph" w:customStyle="1" w:styleId="574">
    <w:name w:val="Body Text 21"/>
    <w:basedOn w:val="1"/>
    <w:qFormat/>
    <w:uiPriority w:val="0"/>
    <w:pPr>
      <w:adjustRightInd w:val="0"/>
      <w:spacing w:line="240" w:lineRule="atLeast"/>
      <w:textAlignment w:val="baseline"/>
    </w:pPr>
    <w:rPr>
      <w:rFonts w:ascii="Times New Roman" w:hAnsi="Times New Roman"/>
      <w:sz w:val="28"/>
      <w:szCs w:val="20"/>
    </w:rPr>
  </w:style>
  <w:style w:type="paragraph" w:customStyle="1" w:styleId="575">
    <w:name w:val="xl27"/>
    <w:basedOn w:val="1"/>
    <w:qFormat/>
    <w:uiPriority w:val="0"/>
    <w:pPr>
      <w:widowControl/>
      <w:pBdr>
        <w:top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76">
    <w:name w:val="xl33"/>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77">
    <w:name w:val="xl97"/>
    <w:basedOn w:val="1"/>
    <w:qFormat/>
    <w:uiPriority w:val="0"/>
    <w:pPr>
      <w:widowControl/>
      <w:pBdr>
        <w:top w:val="single" w:color="auto" w:sz="4" w:space="0"/>
        <w:left w:val="single" w:color="auto" w:sz="8" w:space="0"/>
        <w:bottom w:val="single" w:color="auto" w:sz="4" w:space="0"/>
        <w:right w:val="single" w:color="auto" w:sz="4" w:space="0"/>
      </w:pBdr>
      <w:shd w:val="clear" w:color="auto" w:fill="FFFF99"/>
      <w:spacing w:before="100" w:beforeAutospacing="1" w:after="100" w:afterAutospacing="1" w:line="240" w:lineRule="atLeast"/>
      <w:jc w:val="center"/>
      <w:textAlignment w:val="center"/>
    </w:pPr>
    <w:rPr>
      <w:rFonts w:ascii="Times New Roman" w:hAnsi="Times New Roman"/>
      <w:color w:val="000000"/>
      <w:kern w:val="0"/>
      <w:sz w:val="24"/>
      <w:szCs w:val="24"/>
    </w:rPr>
  </w:style>
  <w:style w:type="paragraph" w:customStyle="1" w:styleId="578">
    <w:name w:val="xl65"/>
    <w:basedOn w:val="1"/>
    <w:qFormat/>
    <w:uiPriority w:val="0"/>
    <w:pPr>
      <w:widowControl/>
      <w:pBdr>
        <w:bottom w:val="single" w:color="auto" w:sz="8" w:space="0"/>
        <w:right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79">
    <w:name w:val="xl36"/>
    <w:basedOn w:val="1"/>
    <w:qFormat/>
    <w:uiPriority w:val="0"/>
    <w:pPr>
      <w:widowControl/>
      <w:spacing w:before="100" w:beforeAutospacing="1" w:after="100" w:afterAutospacing="1" w:line="240" w:lineRule="atLeast"/>
      <w:jc w:val="center"/>
      <w:textAlignment w:val="center"/>
    </w:pPr>
    <w:rPr>
      <w:rFonts w:ascii="Times New Roman" w:hAnsi="Times New Roman" w:eastAsia="Arial Unicode MS"/>
      <w:color w:val="000000"/>
      <w:kern w:val="0"/>
      <w:sz w:val="32"/>
      <w:szCs w:val="32"/>
    </w:rPr>
  </w:style>
  <w:style w:type="paragraph" w:customStyle="1" w:styleId="580">
    <w:name w:val="xl37"/>
    <w:basedOn w:val="1"/>
    <w:qFormat/>
    <w:uiPriority w:val="0"/>
    <w:pPr>
      <w:widowControl/>
      <w:pBdr>
        <w:top w:val="single" w:color="auto" w:sz="8" w:space="0"/>
        <w:left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81">
    <w:name w:val="xl9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tLeast"/>
      <w:jc w:val="center"/>
      <w:textAlignment w:val="center"/>
    </w:pPr>
    <w:rPr>
      <w:rFonts w:ascii="Times New Roman" w:hAnsi="Times New Roman"/>
      <w:kern w:val="0"/>
      <w:sz w:val="24"/>
      <w:szCs w:val="24"/>
    </w:rPr>
  </w:style>
  <w:style w:type="paragraph" w:customStyle="1" w:styleId="582">
    <w:name w:val="xl41"/>
    <w:basedOn w:val="1"/>
    <w:qFormat/>
    <w:uiPriority w:val="0"/>
    <w:pPr>
      <w:widowControl/>
      <w:pBdr>
        <w:bottom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83">
    <w:name w:val="xl10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tLeast"/>
      <w:jc w:val="center"/>
      <w:textAlignment w:val="center"/>
    </w:pPr>
    <w:rPr>
      <w:rFonts w:ascii="Times New Roman" w:hAnsi="Times New Roman"/>
      <w:kern w:val="0"/>
      <w:sz w:val="24"/>
      <w:szCs w:val="24"/>
    </w:rPr>
  </w:style>
  <w:style w:type="paragraph" w:customStyle="1" w:styleId="584">
    <w:name w:val="xl42"/>
    <w:basedOn w:val="1"/>
    <w:qFormat/>
    <w:uiPriority w:val="0"/>
    <w:pPr>
      <w:widowControl/>
      <w:pBdr>
        <w:bottom w:val="single" w:color="auto" w:sz="8" w:space="0"/>
        <w:right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85">
    <w:name w:val="xl10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left"/>
    </w:pPr>
    <w:rPr>
      <w:rFonts w:ascii="宋体" w:hAnsi="宋体" w:cs="宋体"/>
      <w:kern w:val="0"/>
      <w:sz w:val="24"/>
      <w:szCs w:val="24"/>
    </w:rPr>
  </w:style>
  <w:style w:type="paragraph" w:customStyle="1" w:styleId="586">
    <w:name w:val="xl43"/>
    <w:basedOn w:val="1"/>
    <w:qFormat/>
    <w:uiPriority w:val="0"/>
    <w:pPr>
      <w:widowControl/>
      <w:pBdr>
        <w:top w:val="single" w:color="auto" w:sz="8" w:space="0"/>
        <w:left w:val="single" w:color="auto" w:sz="8" w:space="0"/>
        <w:right w:val="single" w:color="auto" w:sz="8" w:space="0"/>
      </w:pBdr>
      <w:shd w:val="clear" w:color="auto" w:fill="FFFFFF"/>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87">
    <w:name w:val="样式 四号 行距: 1.5 倍行距"/>
    <w:basedOn w:val="4"/>
    <w:qFormat/>
    <w:uiPriority w:val="0"/>
    <w:pPr>
      <w:keepNext w:val="0"/>
      <w:keepLines w:val="0"/>
      <w:snapToGrid w:val="0"/>
      <w:spacing w:before="0" w:beforeLines="50" w:after="0" w:afterLines="50" w:line="360" w:lineRule="auto"/>
    </w:pPr>
    <w:rPr>
      <w:rFonts w:ascii="Times New Roman" w:hAnsi="Times New Roman" w:eastAsia="黑体" w:cs="宋体"/>
      <w:bCs w:val="0"/>
      <w:kern w:val="2"/>
      <w:sz w:val="32"/>
      <w:szCs w:val="20"/>
    </w:rPr>
  </w:style>
  <w:style w:type="paragraph" w:customStyle="1" w:styleId="588">
    <w:name w:val="xl92"/>
    <w:basedOn w:val="1"/>
    <w:qFormat/>
    <w:uiPriority w:val="0"/>
    <w:pPr>
      <w:widowControl/>
      <w:pBdr>
        <w:top w:val="single" w:color="auto" w:sz="4" w:space="0"/>
        <w:left w:val="single" w:color="auto" w:sz="8" w:space="0"/>
        <w:bottom w:val="single" w:color="auto" w:sz="4" w:space="0"/>
        <w:right w:val="single" w:color="auto" w:sz="4" w:space="0"/>
      </w:pBdr>
      <w:shd w:val="clear" w:color="auto" w:fill="99CCFF"/>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589">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90">
    <w:name w:val="Char3"/>
    <w:basedOn w:val="1"/>
    <w:qFormat/>
    <w:uiPriority w:val="0"/>
    <w:pPr>
      <w:spacing w:line="240" w:lineRule="atLeast"/>
    </w:pPr>
    <w:rPr>
      <w:rFonts w:ascii="宋体" w:hAnsi="Times New Roman"/>
      <w:spacing w:val="5"/>
      <w:sz w:val="25"/>
      <w:szCs w:val="24"/>
    </w:rPr>
  </w:style>
  <w:style w:type="paragraph" w:customStyle="1" w:styleId="591">
    <w:name w:val="ｽﾀｲﾙ 6"/>
    <w:basedOn w:val="546"/>
    <w:qFormat/>
    <w:uiPriority w:val="0"/>
    <w:pPr>
      <w:tabs>
        <w:tab w:val="left" w:pos="1797"/>
        <w:tab w:val="clear" w:pos="1531"/>
      </w:tabs>
      <w:ind w:left="1826"/>
    </w:pPr>
  </w:style>
  <w:style w:type="paragraph" w:customStyle="1" w:styleId="592">
    <w:name w:val="xl46"/>
    <w:basedOn w:val="1"/>
    <w:qFormat/>
    <w:uiPriority w:val="0"/>
    <w:pPr>
      <w:widowControl/>
      <w:pBdr>
        <w:left w:val="single" w:color="auto" w:sz="8" w:space="0"/>
        <w:bottom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93">
    <w:name w:val="xl47"/>
    <w:basedOn w:val="1"/>
    <w:qFormat/>
    <w:uiPriority w:val="0"/>
    <w:pPr>
      <w:widowControl/>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94">
    <w:name w:val="xl50"/>
    <w:basedOn w:val="1"/>
    <w:qFormat/>
    <w:uiPriority w:val="0"/>
    <w:pPr>
      <w:widowControl/>
      <w:spacing w:before="100" w:beforeAutospacing="1" w:after="100" w:afterAutospacing="1" w:line="240" w:lineRule="atLeast"/>
      <w:jc w:val="left"/>
      <w:textAlignment w:val="center"/>
    </w:pPr>
    <w:rPr>
      <w:rFonts w:ascii="Times New Roman" w:hAnsi="Times New Roman" w:eastAsia="Arial Unicode MS"/>
      <w:color w:val="000000"/>
      <w:kern w:val="0"/>
      <w:sz w:val="32"/>
      <w:szCs w:val="32"/>
    </w:rPr>
  </w:style>
  <w:style w:type="paragraph" w:customStyle="1" w:styleId="595">
    <w:name w:val="xl69"/>
    <w:basedOn w:val="1"/>
    <w:qFormat/>
    <w:uiPriority w:val="0"/>
    <w:pPr>
      <w:widowControl/>
      <w:pBdr>
        <w:left w:val="single" w:color="auto" w:sz="8" w:space="0"/>
        <w:bottom w:val="single" w:color="auto" w:sz="8" w:space="0"/>
      </w:pBdr>
      <w:spacing w:before="100" w:beforeAutospacing="1" w:after="100" w:afterAutospacing="1" w:line="240" w:lineRule="atLeast"/>
      <w:jc w:val="center"/>
      <w:textAlignment w:val="center"/>
    </w:pPr>
    <w:rPr>
      <w:rFonts w:hint="eastAsia" w:ascii="宋体" w:hAnsi="宋体" w:cs="Century"/>
      <w:color w:val="000000"/>
      <w:kern w:val="0"/>
      <w:sz w:val="32"/>
      <w:szCs w:val="32"/>
    </w:rPr>
  </w:style>
  <w:style w:type="paragraph" w:customStyle="1" w:styleId="596">
    <w:name w:val="xl9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597">
    <w:name w:val="ｽﾀｲﾙ 7"/>
    <w:basedOn w:val="591"/>
    <w:qFormat/>
    <w:uiPriority w:val="0"/>
    <w:pPr>
      <w:tabs>
        <w:tab w:val="left" w:pos="2041"/>
        <w:tab w:val="clear" w:pos="1797"/>
      </w:tabs>
      <w:ind w:left="2041" w:hanging="601"/>
    </w:pPr>
  </w:style>
  <w:style w:type="paragraph" w:customStyle="1" w:styleId="598">
    <w:name w:val="xl74"/>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tLeast"/>
      <w:jc w:val="center"/>
      <w:textAlignment w:val="center"/>
    </w:pPr>
    <w:rPr>
      <w:rFonts w:ascii="Times New Roman" w:hAnsi="Times New Roman"/>
      <w:kern w:val="0"/>
      <w:sz w:val="24"/>
      <w:szCs w:val="24"/>
    </w:rPr>
  </w:style>
  <w:style w:type="paragraph" w:customStyle="1" w:styleId="599">
    <w:name w:val="xl12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tLeast"/>
      <w:jc w:val="left"/>
    </w:pPr>
    <w:rPr>
      <w:rFonts w:ascii="宋体" w:hAnsi="宋体" w:cs="宋体"/>
      <w:kern w:val="0"/>
      <w:sz w:val="24"/>
      <w:szCs w:val="24"/>
    </w:rPr>
  </w:style>
  <w:style w:type="paragraph" w:customStyle="1" w:styleId="600">
    <w:name w:val="xl95"/>
    <w:basedOn w:val="1"/>
    <w:qFormat/>
    <w:uiPriority w:val="0"/>
    <w:pPr>
      <w:widowControl/>
      <w:pBdr>
        <w:top w:val="single" w:color="auto" w:sz="4" w:space="0"/>
        <w:left w:val="single" w:color="auto" w:sz="8" w:space="0"/>
        <w:bottom w:val="single" w:color="auto" w:sz="4" w:space="0"/>
        <w:right w:val="single" w:color="auto" w:sz="4" w:space="0"/>
      </w:pBdr>
      <w:shd w:val="clear" w:color="auto" w:fill="CCFFCC"/>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601">
    <w:name w:val="xl78"/>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line="240" w:lineRule="atLeast"/>
      <w:jc w:val="center"/>
      <w:textAlignment w:val="center"/>
    </w:pPr>
    <w:rPr>
      <w:rFonts w:ascii="宋体" w:hAnsi="宋体" w:cs="宋体"/>
      <w:color w:val="000000"/>
      <w:kern w:val="0"/>
      <w:sz w:val="24"/>
      <w:szCs w:val="24"/>
    </w:rPr>
  </w:style>
  <w:style w:type="paragraph" w:customStyle="1" w:styleId="602">
    <w:name w:val="样式 小四 首行缩进:  2 字符"/>
    <w:basedOn w:val="1"/>
    <w:qFormat/>
    <w:uiPriority w:val="0"/>
    <w:pPr>
      <w:spacing w:line="400" w:lineRule="exact"/>
      <w:ind w:firstLine="200" w:firstLineChars="200"/>
    </w:pPr>
    <w:rPr>
      <w:rFonts w:ascii="Times New Roman" w:hAnsi="Times New Roman"/>
      <w:sz w:val="24"/>
      <w:szCs w:val="20"/>
    </w:rPr>
  </w:style>
  <w:style w:type="paragraph" w:customStyle="1" w:styleId="603">
    <w:name w:val="正文宋"/>
    <w:basedOn w:val="1"/>
    <w:qFormat/>
    <w:uiPriority w:val="0"/>
    <w:pPr>
      <w:suppressAutoHyphens/>
      <w:wordWrap w:val="0"/>
      <w:snapToGrid w:val="0"/>
      <w:spacing w:line="0" w:lineRule="atLeast"/>
    </w:pPr>
    <w:rPr>
      <w:rFonts w:ascii="Times New Roman" w:hAnsi="Times New Roman"/>
      <w:kern w:val="0"/>
      <w:szCs w:val="20"/>
    </w:rPr>
  </w:style>
  <w:style w:type="paragraph" w:customStyle="1" w:styleId="604">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line="240" w:lineRule="atLeast"/>
      <w:jc w:val="center"/>
      <w:textAlignment w:val="center"/>
    </w:pPr>
    <w:rPr>
      <w:rFonts w:ascii="Times New Roman" w:hAnsi="Times New Roman"/>
      <w:color w:val="000000"/>
      <w:kern w:val="0"/>
      <w:sz w:val="24"/>
      <w:szCs w:val="24"/>
    </w:rPr>
  </w:style>
  <w:style w:type="paragraph" w:customStyle="1" w:styleId="605">
    <w:name w:val="xl8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tLeast"/>
      <w:jc w:val="center"/>
    </w:pPr>
    <w:rPr>
      <w:rFonts w:ascii="宋体" w:hAnsi="宋体" w:cs="宋体"/>
      <w:kern w:val="0"/>
      <w:sz w:val="24"/>
      <w:szCs w:val="24"/>
    </w:rPr>
  </w:style>
  <w:style w:type="paragraph" w:customStyle="1" w:styleId="60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tLeast"/>
      <w:jc w:val="center"/>
      <w:textAlignment w:val="center"/>
    </w:pPr>
    <w:rPr>
      <w:rFonts w:ascii="宋体" w:hAnsi="宋体" w:cs="宋体"/>
      <w:color w:val="FF0000"/>
      <w:kern w:val="0"/>
      <w:sz w:val="24"/>
      <w:szCs w:val="24"/>
    </w:rPr>
  </w:style>
  <w:style w:type="paragraph" w:customStyle="1" w:styleId="607">
    <w:name w:val="xl89"/>
    <w:basedOn w:val="1"/>
    <w:qFormat/>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line="240" w:lineRule="atLeast"/>
      <w:jc w:val="center"/>
      <w:textAlignment w:val="center"/>
    </w:pPr>
    <w:rPr>
      <w:rFonts w:ascii="宋体" w:hAnsi="宋体" w:cs="宋体"/>
      <w:color w:val="0000FF"/>
      <w:kern w:val="0"/>
      <w:sz w:val="24"/>
      <w:szCs w:val="24"/>
    </w:rPr>
  </w:style>
  <w:style w:type="paragraph" w:customStyle="1" w:styleId="608">
    <w:name w:val="文宋"/>
    <w:basedOn w:val="1"/>
    <w:qFormat/>
    <w:uiPriority w:val="0"/>
    <w:pPr>
      <w:spacing w:line="560" w:lineRule="atLeast"/>
      <w:ind w:firstLine="200" w:firstLineChars="200"/>
    </w:pPr>
    <w:rPr>
      <w:rFonts w:ascii="Times New Roman" w:hAnsi="Times New Roman"/>
      <w:spacing w:val="16"/>
      <w:sz w:val="32"/>
      <w:szCs w:val="24"/>
    </w:rPr>
  </w:style>
  <w:style w:type="paragraph" w:customStyle="1" w:styleId="609">
    <w:name w:val="xl96"/>
    <w:basedOn w:val="1"/>
    <w:qFormat/>
    <w:uiPriority w:val="0"/>
    <w:pPr>
      <w:widowControl/>
      <w:pBdr>
        <w:top w:val="single" w:color="auto" w:sz="4" w:space="0"/>
        <w:left w:val="single" w:color="auto" w:sz="4" w:space="0"/>
        <w:bottom w:val="single" w:color="auto" w:sz="4" w:space="0"/>
        <w:right w:val="single" w:color="auto" w:sz="8" w:space="0"/>
      </w:pBdr>
      <w:shd w:val="clear" w:color="auto" w:fill="CCFFCC"/>
      <w:spacing w:before="100" w:beforeAutospacing="1" w:after="100" w:afterAutospacing="1" w:line="240" w:lineRule="atLeast"/>
      <w:jc w:val="center"/>
      <w:textAlignment w:val="center"/>
    </w:pPr>
    <w:rPr>
      <w:rFonts w:ascii="宋体" w:hAnsi="宋体" w:cs="宋体"/>
      <w:kern w:val="0"/>
      <w:sz w:val="24"/>
      <w:szCs w:val="24"/>
    </w:rPr>
  </w:style>
  <w:style w:type="paragraph" w:customStyle="1" w:styleId="610">
    <w:name w:val="xl10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tLeast"/>
      <w:jc w:val="center"/>
    </w:pPr>
    <w:rPr>
      <w:rFonts w:ascii="宋体" w:hAnsi="宋体" w:cs="宋体"/>
      <w:kern w:val="0"/>
      <w:sz w:val="24"/>
      <w:szCs w:val="24"/>
    </w:rPr>
  </w:style>
  <w:style w:type="paragraph" w:customStyle="1" w:styleId="611">
    <w:name w:val="样式 标题 2节标题 1.1b2H2BSH-2节标题 1.1 Charb2 CharH2 Char条标题1.1..."/>
    <w:basedOn w:val="5"/>
    <w:qFormat/>
    <w:uiPriority w:val="0"/>
    <w:pPr>
      <w:spacing w:before="0" w:after="0" w:line="240" w:lineRule="atLeast"/>
    </w:pPr>
    <w:rPr>
      <w:rFonts w:ascii="宋体" w:hAnsi="Arial" w:eastAsia="黑体" w:cs="宋体"/>
      <w:b w:val="0"/>
      <w:bCs w:val="0"/>
      <w:spacing w:val="5"/>
      <w:sz w:val="28"/>
      <w:szCs w:val="20"/>
    </w:rPr>
  </w:style>
  <w:style w:type="paragraph" w:customStyle="1" w:styleId="612">
    <w:name w:val="WW-表格1"/>
    <w:basedOn w:val="1"/>
    <w:qFormat/>
    <w:uiPriority w:val="0"/>
    <w:pPr>
      <w:suppressAutoHyphens/>
      <w:snapToGrid w:val="0"/>
      <w:spacing w:before="20" w:after="20"/>
      <w:jc w:val="center"/>
    </w:pPr>
    <w:rPr>
      <w:rFonts w:ascii="Times New Roman" w:hAnsi="Times New Roman"/>
      <w:kern w:val="1"/>
      <w:szCs w:val="20"/>
      <w:lang w:eastAsia="ar-SA"/>
    </w:rPr>
  </w:style>
  <w:style w:type="paragraph" w:customStyle="1" w:styleId="613">
    <w:name w:val="样式 宋体 加粗 自定义颜(RGB(00153)) 居中 首行缩进:  2 字符 行距: 最小值 12 磅"/>
    <w:basedOn w:val="1"/>
    <w:qFormat/>
    <w:uiPriority w:val="0"/>
    <w:pPr>
      <w:adjustRightInd w:val="0"/>
      <w:snapToGrid w:val="0"/>
      <w:spacing w:line="360" w:lineRule="auto"/>
      <w:jc w:val="center"/>
    </w:pPr>
    <w:rPr>
      <w:rFonts w:ascii="Times New Roman" w:hAnsi="Times New Roman" w:cs="宋体"/>
      <w:b/>
      <w:bCs/>
      <w:snapToGrid w:val="0"/>
      <w:kern w:val="0"/>
      <w:szCs w:val="20"/>
    </w:rPr>
  </w:style>
  <w:style w:type="paragraph" w:customStyle="1" w:styleId="614">
    <w:name w:val="楷体"/>
    <w:basedOn w:val="1"/>
    <w:qFormat/>
    <w:uiPriority w:val="0"/>
    <w:pPr>
      <w:spacing w:line="560" w:lineRule="atLeast"/>
      <w:ind w:firstLine="200" w:firstLineChars="200"/>
    </w:pPr>
    <w:rPr>
      <w:rFonts w:ascii="Times New Roman" w:hAnsi="Times New Roman" w:eastAsia="楷体_GB2312"/>
      <w:spacing w:val="16"/>
      <w:sz w:val="32"/>
      <w:szCs w:val="24"/>
    </w:rPr>
  </w:style>
  <w:style w:type="paragraph" w:customStyle="1" w:styleId="615">
    <w:name w:val="样式 宋体 自定义颜(RGB(00153)) 居中 首行缩进:  2 字符"/>
    <w:basedOn w:val="1"/>
    <w:qFormat/>
    <w:uiPriority w:val="0"/>
    <w:pPr>
      <w:adjustRightInd w:val="0"/>
      <w:snapToGrid w:val="0"/>
      <w:jc w:val="center"/>
    </w:pPr>
    <w:rPr>
      <w:rFonts w:ascii="Times New Roman" w:hAnsi="Times New Roman" w:cs="宋体"/>
      <w:snapToGrid w:val="0"/>
      <w:kern w:val="0"/>
      <w:szCs w:val="20"/>
    </w:rPr>
  </w:style>
  <w:style w:type="paragraph" w:customStyle="1" w:styleId="616">
    <w:name w:val="样式 标题 2 + 段前: 0.5 行"/>
    <w:basedOn w:val="5"/>
    <w:qFormat/>
    <w:uiPriority w:val="0"/>
    <w:pPr>
      <w:adjustRightInd w:val="0"/>
      <w:snapToGrid w:val="0"/>
      <w:spacing w:before="0" w:beforeLines="50" w:after="0" w:afterLines="50" w:line="360" w:lineRule="auto"/>
    </w:pPr>
    <w:rPr>
      <w:rFonts w:ascii="宋体" w:hAnsi="宋体" w:cs="宋体"/>
      <w:snapToGrid w:val="0"/>
      <w:kern w:val="0"/>
      <w:sz w:val="28"/>
      <w:szCs w:val="20"/>
    </w:rPr>
  </w:style>
  <w:style w:type="paragraph" w:customStyle="1" w:styleId="617">
    <w:name w:val="表格，五宋"/>
    <w:qFormat/>
    <w:uiPriority w:val="0"/>
    <w:pPr>
      <w:adjustRightInd w:val="0"/>
      <w:spacing w:line="360" w:lineRule="exact"/>
      <w:jc w:val="both"/>
    </w:pPr>
    <w:rPr>
      <w:rFonts w:ascii="Times New Roman" w:hAnsi="Times New Roman" w:eastAsia="宋体" w:cs="Times New Roman"/>
      <w:sz w:val="21"/>
      <w:lang w:val="en-US" w:eastAsia="zh-CN" w:bidi="ar-SA"/>
    </w:rPr>
  </w:style>
  <w:style w:type="paragraph" w:customStyle="1" w:styleId="618">
    <w:name w:val="样式 标题 3 + 黑体 非加粗"/>
    <w:basedOn w:val="6"/>
    <w:qFormat/>
    <w:uiPriority w:val="0"/>
    <w:pPr>
      <w:tabs>
        <w:tab w:val="left" w:pos="4678"/>
      </w:tabs>
      <w:adjustRightInd w:val="0"/>
      <w:snapToGrid w:val="0"/>
      <w:spacing w:before="120" w:beforeLines="50" w:after="120" w:afterLines="50" w:line="360" w:lineRule="auto"/>
      <w:jc w:val="left"/>
    </w:pPr>
    <w:rPr>
      <w:rFonts w:ascii="宋体" w:hAnsi="宋体"/>
      <w:bCs w:val="0"/>
      <w:sz w:val="24"/>
    </w:rPr>
  </w:style>
  <w:style w:type="paragraph" w:customStyle="1" w:styleId="619">
    <w:name w:val="WW-日期1"/>
    <w:basedOn w:val="1"/>
    <w:next w:val="1"/>
    <w:qFormat/>
    <w:uiPriority w:val="0"/>
    <w:pPr>
      <w:spacing w:line="360" w:lineRule="auto"/>
      <w:ind w:left="100" w:firstLine="200"/>
    </w:pPr>
    <w:rPr>
      <w:rFonts w:ascii="Times New Roman" w:hAnsi="Times New Roman"/>
      <w:kern w:val="1"/>
      <w:sz w:val="24"/>
      <w:szCs w:val="24"/>
      <w:lang w:eastAsia="ar-SA"/>
    </w:rPr>
  </w:style>
  <w:style w:type="paragraph" w:customStyle="1" w:styleId="620">
    <w:name w:val="WW-题注"/>
    <w:basedOn w:val="1"/>
    <w:next w:val="1"/>
    <w:qFormat/>
    <w:uiPriority w:val="0"/>
    <w:pPr>
      <w:keepNext/>
      <w:suppressAutoHyphens/>
      <w:snapToGrid w:val="0"/>
      <w:spacing w:before="520" w:after="20"/>
      <w:ind w:firstLine="420"/>
      <w:jc w:val="center"/>
    </w:pPr>
    <w:rPr>
      <w:rFonts w:ascii="Times New Roman" w:hAnsi="Times New Roman" w:eastAsia="黑体"/>
      <w:kern w:val="1"/>
      <w:szCs w:val="21"/>
      <w:lang w:eastAsia="ar-SA"/>
    </w:rPr>
  </w:style>
  <w:style w:type="paragraph" w:customStyle="1" w:styleId="621">
    <w:name w:val="简单回函地址"/>
    <w:basedOn w:val="1"/>
    <w:qFormat/>
    <w:uiPriority w:val="0"/>
    <w:rPr>
      <w:rFonts w:ascii="宋体" w:hAnsi="Times New Roman"/>
      <w:spacing w:val="5"/>
      <w:sz w:val="25"/>
      <w:szCs w:val="25"/>
    </w:rPr>
  </w:style>
  <w:style w:type="paragraph" w:customStyle="1" w:styleId="622">
    <w:name w:val="样式 首行缩进:  2 字符1"/>
    <w:basedOn w:val="1"/>
    <w:qFormat/>
    <w:uiPriority w:val="0"/>
    <w:pPr>
      <w:suppressAutoHyphens/>
      <w:spacing w:line="360" w:lineRule="auto"/>
      <w:ind w:firstLine="560"/>
    </w:pPr>
    <w:rPr>
      <w:rFonts w:ascii="Times New Roman" w:hAnsi="Times New Roman" w:cs="宋体"/>
      <w:spacing w:val="20"/>
      <w:kern w:val="1"/>
      <w:sz w:val="24"/>
      <w:szCs w:val="24"/>
      <w:lang w:eastAsia="ar-SA"/>
    </w:rPr>
  </w:style>
  <w:style w:type="paragraph" w:customStyle="1" w:styleId="623">
    <w:name w:val="PP 行"/>
    <w:basedOn w:val="55"/>
    <w:qFormat/>
    <w:uiPriority w:val="0"/>
    <w:rPr>
      <w:rFonts w:ascii="宋体"/>
      <w:spacing w:val="5"/>
      <w:sz w:val="25"/>
      <w:szCs w:val="25"/>
    </w:rPr>
  </w:style>
  <w:style w:type="paragraph" w:customStyle="1" w:styleId="624">
    <w:name w:val="框内容"/>
    <w:basedOn w:val="34"/>
    <w:qFormat/>
    <w:uiPriority w:val="0"/>
    <w:pPr>
      <w:suppressAutoHyphens/>
      <w:spacing w:line="360" w:lineRule="auto"/>
      <w:ind w:firstLine="480"/>
    </w:pPr>
    <w:rPr>
      <w:kern w:val="1"/>
      <w:szCs w:val="24"/>
      <w:lang w:eastAsia="ar-SA"/>
    </w:rPr>
  </w:style>
  <w:style w:type="paragraph" w:customStyle="1" w:styleId="625">
    <w:name w:val="mytitle2"/>
    <w:basedOn w:val="1"/>
    <w:next w:val="1"/>
    <w:qFormat/>
    <w:uiPriority w:val="0"/>
    <w:pPr>
      <w:keepNext/>
      <w:keepLines/>
      <w:spacing w:after="330" w:line="460" w:lineRule="exact"/>
      <w:jc w:val="center"/>
      <w:outlineLvl w:val="1"/>
    </w:pPr>
    <w:rPr>
      <w:rFonts w:ascii="黑体" w:hAnsi="Times New Roman" w:eastAsia="黑体"/>
      <w:b/>
      <w:bCs/>
      <w:color w:val="000000"/>
      <w:kern w:val="44"/>
      <w:sz w:val="24"/>
      <w:szCs w:val="44"/>
    </w:rPr>
  </w:style>
  <w:style w:type="paragraph" w:customStyle="1" w:styleId="626">
    <w:name w:val="4"/>
    <w:basedOn w:val="1"/>
    <w:next w:val="65"/>
    <w:qFormat/>
    <w:uiPriority w:val="0"/>
    <w:pPr>
      <w:ind w:firstLine="527" w:firstLineChars="200"/>
    </w:pPr>
    <w:rPr>
      <w:rFonts w:ascii="宋体" w:hAnsi="Times New Roman"/>
      <w:spacing w:val="5"/>
      <w:sz w:val="25"/>
      <w:szCs w:val="20"/>
    </w:rPr>
  </w:style>
  <w:style w:type="paragraph" w:customStyle="1" w:styleId="627">
    <w:name w:val="_Style 13"/>
    <w:basedOn w:val="1"/>
    <w:next w:val="35"/>
    <w:qFormat/>
    <w:uiPriority w:val="0"/>
    <w:pPr>
      <w:spacing w:after="120"/>
      <w:ind w:left="420" w:leftChars="200"/>
    </w:pPr>
    <w:rPr>
      <w:rFonts w:ascii="宋体" w:hAnsi="Times New Roman"/>
      <w:spacing w:val="5"/>
      <w:sz w:val="25"/>
      <w:szCs w:val="20"/>
    </w:rPr>
  </w:style>
  <w:style w:type="paragraph" w:customStyle="1" w:styleId="628">
    <w:name w:val="Char1 Char Char Char"/>
    <w:basedOn w:val="6"/>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629">
    <w:name w:val="文本框"/>
    <w:basedOn w:val="1"/>
    <w:qFormat/>
    <w:uiPriority w:val="0"/>
    <w:pPr>
      <w:adjustRightInd w:val="0"/>
      <w:snapToGrid w:val="0"/>
      <w:spacing w:line="300" w:lineRule="exact"/>
      <w:jc w:val="center"/>
    </w:pPr>
    <w:rPr>
      <w:rFonts w:ascii="Times New Roman" w:hAnsi="Times New Roman"/>
      <w:sz w:val="24"/>
      <w:szCs w:val="24"/>
    </w:rPr>
  </w:style>
  <w:style w:type="paragraph" w:customStyle="1" w:styleId="630">
    <w:name w:val="Char Char Char Char"/>
    <w:basedOn w:val="6"/>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631">
    <w:name w:val="+正文"/>
    <w:basedOn w:val="1"/>
    <w:qFormat/>
    <w:uiPriority w:val="0"/>
    <w:pPr>
      <w:spacing w:line="360" w:lineRule="auto"/>
      <w:ind w:firstLine="200" w:firstLineChars="200"/>
    </w:pPr>
    <w:rPr>
      <w:rFonts w:ascii="Times New Roman" w:hAnsi="Times New Roman"/>
      <w:sz w:val="28"/>
      <w:szCs w:val="28"/>
    </w:rPr>
  </w:style>
  <w:style w:type="paragraph" w:customStyle="1" w:styleId="632">
    <w:name w:val="列项——"/>
    <w:qFormat/>
    <w:uiPriority w:val="0"/>
    <w:pPr>
      <w:widowControl w:val="0"/>
      <w:numPr>
        <w:ilvl w:val="0"/>
        <w:numId w:val="2"/>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633">
    <w:name w:val="表格居中"/>
    <w:basedOn w:val="43"/>
    <w:qFormat/>
    <w:uiPriority w:val="0"/>
    <w:rPr>
      <w:rFonts w:cs="Times New Roman"/>
      <w:szCs w:val="20"/>
    </w:rPr>
  </w:style>
  <w:style w:type="paragraph" w:customStyle="1" w:styleId="634">
    <w:name w:val="大题注"/>
    <w:basedOn w:val="1"/>
    <w:qFormat/>
    <w:uiPriority w:val="0"/>
    <w:pPr>
      <w:spacing w:before="100" w:beforeAutospacing="1" w:after="100" w:afterAutospacing="1"/>
      <w:ind w:firstLine="480" w:firstLineChars="200"/>
    </w:pPr>
    <w:rPr>
      <w:rFonts w:ascii="Arial" w:hAnsi="Arial" w:eastAsia="黑体"/>
      <w:sz w:val="24"/>
      <w:szCs w:val="20"/>
    </w:rPr>
  </w:style>
  <w:style w:type="paragraph" w:customStyle="1" w:styleId="635">
    <w:name w:val="WW-正文文本缩进 2"/>
    <w:basedOn w:val="1"/>
    <w:qFormat/>
    <w:uiPriority w:val="0"/>
    <w:pPr>
      <w:widowControl/>
      <w:suppressAutoHyphens/>
      <w:snapToGrid w:val="0"/>
      <w:spacing w:before="312" w:line="360" w:lineRule="auto"/>
      <w:ind w:firstLine="480"/>
      <w:jc w:val="left"/>
    </w:pPr>
    <w:rPr>
      <w:rFonts w:ascii="宋体" w:hAnsi="宋体" w:cs="宋体"/>
      <w:kern w:val="1"/>
      <w:sz w:val="24"/>
      <w:szCs w:val="24"/>
      <w:lang w:eastAsia="ar-SA"/>
    </w:rPr>
  </w:style>
  <w:style w:type="paragraph" w:customStyle="1" w:styleId="636">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637">
    <w:name w:val="WW-批注文字"/>
    <w:basedOn w:val="1"/>
    <w:qFormat/>
    <w:uiPriority w:val="0"/>
    <w:pPr>
      <w:suppressAutoHyphens/>
      <w:spacing w:line="360" w:lineRule="auto"/>
      <w:ind w:firstLine="480"/>
      <w:jc w:val="left"/>
    </w:pPr>
    <w:rPr>
      <w:rFonts w:ascii="Times New Roman" w:hAnsi="Times New Roman"/>
      <w:kern w:val="1"/>
      <w:sz w:val="24"/>
      <w:szCs w:val="24"/>
      <w:lang w:eastAsia="ar-SA"/>
    </w:rPr>
  </w:style>
  <w:style w:type="paragraph" w:customStyle="1" w:styleId="638">
    <w:name w:val="报告表正文"/>
    <w:basedOn w:val="1"/>
    <w:qFormat/>
    <w:uiPriority w:val="0"/>
    <w:pPr>
      <w:adjustRightInd w:val="0"/>
      <w:spacing w:line="312" w:lineRule="auto"/>
      <w:ind w:left="113" w:right="113" w:firstLine="482"/>
      <w:jc w:val="left"/>
      <w:textAlignment w:val="baseline"/>
    </w:pPr>
    <w:rPr>
      <w:rFonts w:ascii="Times New Roman" w:hAnsi="Times New Roman"/>
      <w:kern w:val="0"/>
      <w:sz w:val="24"/>
      <w:szCs w:val="20"/>
    </w:rPr>
  </w:style>
  <w:style w:type="paragraph" w:customStyle="1" w:styleId="639">
    <w:name w:val="正正文"/>
    <w:basedOn w:val="1"/>
    <w:qFormat/>
    <w:uiPriority w:val="0"/>
    <w:pPr>
      <w:ind w:firstLine="200" w:firstLineChars="200"/>
      <w:jc w:val="left"/>
    </w:pPr>
    <w:rPr>
      <w:rFonts w:ascii="Times New Roman" w:hAnsi="Times New Roman"/>
      <w:sz w:val="30"/>
      <w:szCs w:val="30"/>
    </w:rPr>
  </w:style>
  <w:style w:type="paragraph" w:customStyle="1" w:styleId="640">
    <w:name w:val="段落"/>
    <w:basedOn w:val="1"/>
    <w:qFormat/>
    <w:uiPriority w:val="0"/>
    <w:pPr>
      <w:tabs>
        <w:tab w:val="left" w:pos="1021"/>
      </w:tabs>
      <w:adjustRightInd w:val="0"/>
      <w:snapToGrid w:val="0"/>
      <w:spacing w:line="360" w:lineRule="auto"/>
      <w:ind w:firstLine="560" w:firstLineChars="200"/>
    </w:pPr>
    <w:rPr>
      <w:rFonts w:ascii="宋体" w:hAnsi="宋体"/>
      <w:kern w:val="24"/>
      <w:sz w:val="28"/>
      <w:szCs w:val="28"/>
    </w:rPr>
  </w:style>
  <w:style w:type="paragraph" w:customStyle="1" w:styleId="641">
    <w:name w:val="附录一级条标题"/>
    <w:basedOn w:val="642"/>
    <w:next w:val="1"/>
    <w:qFormat/>
    <w:uiPriority w:val="0"/>
    <w:pPr>
      <w:numPr>
        <w:ilvl w:val="2"/>
      </w:numPr>
      <w:autoSpaceDN w:val="0"/>
      <w:spacing w:beforeLines="0" w:afterLines="0"/>
      <w:outlineLvl w:val="2"/>
    </w:pPr>
  </w:style>
  <w:style w:type="paragraph" w:customStyle="1" w:styleId="642">
    <w:name w:val="附录章标题"/>
    <w:next w:val="1"/>
    <w:qFormat/>
    <w:uiPriority w:val="0"/>
    <w:pPr>
      <w:numPr>
        <w:ilvl w:val="1"/>
        <w:numId w:val="3"/>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643">
    <w:name w:val="编号圆圈数字"/>
    <w:basedOn w:val="1"/>
    <w:qFormat/>
    <w:uiPriority w:val="0"/>
    <w:pPr>
      <w:suppressAutoHyphens/>
      <w:spacing w:line="360" w:lineRule="auto"/>
      <w:ind w:left="140" w:firstLine="480"/>
    </w:pPr>
    <w:rPr>
      <w:rFonts w:ascii="Times New Roman" w:hAnsi="Times New Roman"/>
      <w:kern w:val="1"/>
      <w:sz w:val="24"/>
      <w:szCs w:val="24"/>
      <w:lang w:eastAsia="ar-SA"/>
    </w:rPr>
  </w:style>
  <w:style w:type="paragraph" w:customStyle="1" w:styleId="644">
    <w:name w:val="报告表格"/>
    <w:basedOn w:val="1"/>
    <w:qFormat/>
    <w:uiPriority w:val="0"/>
    <w:pPr>
      <w:autoSpaceDE w:val="0"/>
      <w:autoSpaceDN w:val="0"/>
      <w:adjustRightInd w:val="0"/>
      <w:spacing w:before="40" w:after="40"/>
      <w:jc w:val="center"/>
      <w:textAlignment w:val="baseline"/>
    </w:pPr>
    <w:rPr>
      <w:rFonts w:ascii="Times New Roman" w:hAnsi="Times New Roman"/>
      <w:kern w:val="0"/>
      <w:szCs w:val="20"/>
    </w:rPr>
  </w:style>
  <w:style w:type="paragraph" w:customStyle="1" w:styleId="645">
    <w:name w:val="表文"/>
    <w:basedOn w:val="1"/>
    <w:qFormat/>
    <w:uiPriority w:val="0"/>
    <w:pPr>
      <w:tabs>
        <w:tab w:val="left" w:pos="1021"/>
      </w:tabs>
      <w:adjustRightInd w:val="0"/>
      <w:snapToGrid w:val="0"/>
      <w:jc w:val="center"/>
    </w:pPr>
    <w:rPr>
      <w:rFonts w:ascii="Times New Roman" w:hAnsi="Times New Roman"/>
      <w:kern w:val="0"/>
      <w:szCs w:val="21"/>
    </w:rPr>
  </w:style>
  <w:style w:type="paragraph" w:customStyle="1" w:styleId="646">
    <w:name w:val="附录三级条标题"/>
    <w:basedOn w:val="647"/>
    <w:next w:val="1"/>
    <w:qFormat/>
    <w:uiPriority w:val="0"/>
    <w:pPr>
      <w:numPr>
        <w:ilvl w:val="4"/>
      </w:numPr>
      <w:outlineLvl w:val="4"/>
    </w:pPr>
  </w:style>
  <w:style w:type="paragraph" w:customStyle="1" w:styleId="647">
    <w:name w:val="附录二级条标题"/>
    <w:basedOn w:val="641"/>
    <w:next w:val="1"/>
    <w:qFormat/>
    <w:uiPriority w:val="0"/>
    <w:pPr>
      <w:numPr>
        <w:ilvl w:val="3"/>
      </w:numPr>
      <w:outlineLvl w:val="3"/>
    </w:pPr>
  </w:style>
  <w:style w:type="paragraph" w:customStyle="1" w:styleId="648">
    <w:name w:val="14ph"/>
    <w:basedOn w:val="1"/>
    <w:qFormat/>
    <w:uiPriority w:val="0"/>
    <w:pPr>
      <w:widowControl/>
      <w:spacing w:before="100" w:beforeAutospacing="1" w:after="100" w:afterAutospacing="1" w:line="251" w:lineRule="atLeast"/>
      <w:jc w:val="left"/>
    </w:pPr>
    <w:rPr>
      <w:rFonts w:ascii="Arial Unicode MS" w:hAnsi="Arial Unicode MS" w:eastAsia="Arial Unicode MS" w:cs="Arial Unicode MS"/>
      <w:b/>
      <w:bCs/>
      <w:color w:val="D60000"/>
      <w:kern w:val="0"/>
      <w:sz w:val="23"/>
      <w:szCs w:val="23"/>
    </w:rPr>
  </w:style>
  <w:style w:type="paragraph" w:customStyle="1" w:styleId="649">
    <w:name w:val="正文应首缩0.98"/>
    <w:basedOn w:val="1"/>
    <w:qFormat/>
    <w:uiPriority w:val="0"/>
    <w:pPr>
      <w:adjustRightInd w:val="0"/>
      <w:snapToGrid w:val="0"/>
      <w:spacing w:line="300" w:lineRule="auto"/>
      <w:ind w:firstLine="556"/>
      <w:textAlignment w:val="baseline"/>
    </w:pPr>
    <w:rPr>
      <w:rFonts w:ascii="Times New Roman" w:hAnsi="Times New Roman"/>
      <w:kern w:val="0"/>
      <w:sz w:val="28"/>
      <w:szCs w:val="20"/>
    </w:rPr>
  </w:style>
  <w:style w:type="paragraph" w:customStyle="1" w:styleId="650">
    <w:name w:val="标题3"/>
    <w:basedOn w:val="1"/>
    <w:next w:val="1"/>
    <w:qFormat/>
    <w:uiPriority w:val="0"/>
    <w:pPr>
      <w:keepNext/>
      <w:keepLines/>
      <w:adjustRightInd w:val="0"/>
      <w:snapToGrid w:val="0"/>
      <w:spacing w:after="50" w:line="416" w:lineRule="atLeast"/>
      <w:outlineLvl w:val="2"/>
    </w:pPr>
    <w:rPr>
      <w:rFonts w:ascii="Times New Roman" w:hAnsi="Times New Roman" w:eastAsia="黑体"/>
      <w:kern w:val="0"/>
      <w:sz w:val="24"/>
      <w:szCs w:val="20"/>
    </w:rPr>
  </w:style>
  <w:style w:type="paragraph" w:customStyle="1" w:styleId="651">
    <w:name w:val="样式 正文（首行缩进两字） + 首行缩进:  2 字符"/>
    <w:basedOn w:val="21"/>
    <w:semiHidden/>
    <w:qFormat/>
    <w:uiPriority w:val="0"/>
    <w:pPr>
      <w:snapToGrid w:val="0"/>
      <w:spacing w:line="360" w:lineRule="auto"/>
      <w:ind w:firstLine="560"/>
    </w:pPr>
    <w:rPr>
      <w:rFonts w:ascii="Times New Roman" w:hAnsi="Times New Roman"/>
      <w:sz w:val="28"/>
      <w:szCs w:val="28"/>
    </w:rPr>
  </w:style>
  <w:style w:type="paragraph" w:customStyle="1" w:styleId="65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653">
    <w:name w:val="列项·"/>
    <w:qFormat/>
    <w:uiPriority w:val="0"/>
    <w:pPr>
      <w:numPr>
        <w:ilvl w:val="0"/>
        <w:numId w:val="4"/>
      </w:numPr>
      <w:tabs>
        <w:tab w:val="left" w:pos="840"/>
        <w:tab w:val="clear" w:pos="1140"/>
      </w:tabs>
      <w:ind w:left="840" w:leftChars="200" w:hanging="420" w:hangingChars="200"/>
      <w:jc w:val="both"/>
    </w:pPr>
    <w:rPr>
      <w:rFonts w:ascii="宋体" w:hAnsi="Times New Roman" w:eastAsia="宋体" w:cs="Times New Roman"/>
      <w:sz w:val="21"/>
      <w:lang w:val="en-US" w:eastAsia="zh-CN" w:bidi="ar-SA"/>
    </w:rPr>
  </w:style>
  <w:style w:type="paragraph" w:customStyle="1" w:styleId="654">
    <w:name w:val="WW-正文文字缩进 2"/>
    <w:basedOn w:val="1"/>
    <w:qFormat/>
    <w:uiPriority w:val="0"/>
    <w:pPr>
      <w:suppressAutoHyphens/>
      <w:spacing w:line="360" w:lineRule="auto"/>
      <w:ind w:left="570" w:firstLine="200"/>
    </w:pPr>
    <w:rPr>
      <w:rFonts w:ascii="宋体" w:hAnsi="宋体"/>
      <w:kern w:val="1"/>
      <w:sz w:val="28"/>
      <w:szCs w:val="20"/>
      <w:lang w:eastAsia="ar-SA"/>
    </w:rPr>
  </w:style>
  <w:style w:type="paragraph" w:customStyle="1" w:styleId="655">
    <w:name w:val="引用文章"/>
    <w:basedOn w:val="1"/>
    <w:qFormat/>
    <w:uiPriority w:val="0"/>
    <w:pPr>
      <w:spacing w:line="360" w:lineRule="auto"/>
      <w:ind w:firstLine="420" w:firstLineChars="200"/>
    </w:pPr>
    <w:rPr>
      <w:rFonts w:ascii="Times New Roman" w:hAnsi="Times New Roman" w:eastAsia="楷体_GB2312" w:cs="宋体"/>
      <w:sz w:val="24"/>
      <w:szCs w:val="20"/>
    </w:rPr>
  </w:style>
  <w:style w:type="paragraph" w:customStyle="1" w:styleId="656">
    <w:name w:val="WW-文档结构图"/>
    <w:basedOn w:val="1"/>
    <w:qFormat/>
    <w:uiPriority w:val="0"/>
    <w:pPr>
      <w:shd w:val="clear" w:color="auto" w:fill="000080"/>
      <w:suppressAutoHyphens/>
    </w:pPr>
    <w:rPr>
      <w:rFonts w:ascii="Times New Roman" w:hAnsi="Times New Roman"/>
      <w:kern w:val="1"/>
      <w:szCs w:val="21"/>
      <w:lang w:eastAsia="ar-SA"/>
    </w:rPr>
  </w:style>
  <w:style w:type="paragraph" w:customStyle="1" w:styleId="657">
    <w:name w:val="样式 题注 + 首行缩进:  2 字符"/>
    <w:basedOn w:val="22"/>
    <w:qFormat/>
    <w:uiPriority w:val="0"/>
    <w:pPr>
      <w:spacing w:line="360" w:lineRule="auto"/>
      <w:ind w:firstLine="400" w:firstLineChars="200"/>
    </w:pPr>
    <w:rPr>
      <w:rFonts w:cs="宋体"/>
      <w:spacing w:val="0"/>
      <w:sz w:val="21"/>
    </w:rPr>
  </w:style>
  <w:style w:type="paragraph" w:customStyle="1" w:styleId="658">
    <w:name w:val="WW-正文缩进1"/>
    <w:basedOn w:val="1"/>
    <w:qFormat/>
    <w:uiPriority w:val="0"/>
    <w:pPr>
      <w:ind w:firstLine="420"/>
    </w:pPr>
    <w:rPr>
      <w:rFonts w:ascii="Times New Roman" w:hAnsi="Times New Roman"/>
      <w:kern w:val="1"/>
      <w:szCs w:val="20"/>
      <w:lang w:eastAsia="ar-SA"/>
    </w:rPr>
  </w:style>
  <w:style w:type="paragraph" w:customStyle="1" w:styleId="659">
    <w:name w:val="流程图"/>
    <w:basedOn w:val="34"/>
    <w:qFormat/>
    <w:uiPriority w:val="0"/>
    <w:pPr>
      <w:spacing w:line="360" w:lineRule="auto"/>
      <w:ind w:firstLine="480" w:firstLineChars="200"/>
    </w:pPr>
    <w:rPr>
      <w:sz w:val="18"/>
      <w:szCs w:val="24"/>
    </w:rPr>
  </w:style>
  <w:style w:type="paragraph" w:customStyle="1" w:styleId="660">
    <w:name w:val="附录标识"/>
    <w:basedOn w:val="1"/>
    <w:qFormat/>
    <w:uiPriority w:val="0"/>
    <w:pPr>
      <w:widowControl/>
      <w:numPr>
        <w:ilvl w:val="0"/>
        <w:numId w:val="3"/>
      </w:numPr>
      <w:shd w:val="clear" w:color="FFFFFF" w:fill="FFFFFF"/>
      <w:tabs>
        <w:tab w:val="left" w:pos="6405"/>
      </w:tabs>
      <w:spacing w:before="640" w:after="200"/>
      <w:jc w:val="center"/>
      <w:outlineLvl w:val="0"/>
    </w:pPr>
    <w:rPr>
      <w:rFonts w:ascii="黑体" w:hAnsi="Times New Roman" w:eastAsia="黑体"/>
      <w:kern w:val="0"/>
      <w:szCs w:val="20"/>
    </w:rPr>
  </w:style>
  <w:style w:type="paragraph" w:customStyle="1" w:styleId="661">
    <w:name w:val="报告书表格"/>
    <w:basedOn w:val="1"/>
    <w:qFormat/>
    <w:uiPriority w:val="0"/>
    <w:pPr>
      <w:adjustRightInd w:val="0"/>
      <w:spacing w:before="60" w:after="60" w:line="240" w:lineRule="atLeast"/>
      <w:jc w:val="center"/>
      <w:textAlignment w:val="baseline"/>
    </w:pPr>
    <w:rPr>
      <w:rFonts w:ascii="Times New Roman" w:hAnsi="Times New Roman"/>
      <w:kern w:val="0"/>
      <w:szCs w:val="20"/>
    </w:rPr>
  </w:style>
  <w:style w:type="paragraph" w:customStyle="1" w:styleId="662">
    <w:name w:val="w4"/>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663">
    <w:name w:val="字元 字元"/>
    <w:basedOn w:val="1"/>
    <w:qFormat/>
    <w:uiPriority w:val="0"/>
    <w:rPr>
      <w:rFonts w:ascii="Times New Roman" w:hAnsi="Times New Roman"/>
      <w:sz w:val="24"/>
      <w:szCs w:val="24"/>
    </w:rPr>
  </w:style>
  <w:style w:type="paragraph" w:customStyle="1" w:styleId="664">
    <w:name w:val="表1"/>
    <w:basedOn w:val="1"/>
    <w:qFormat/>
    <w:uiPriority w:val="0"/>
    <w:pPr>
      <w:spacing w:before="40" w:line="0" w:lineRule="atLeast"/>
      <w:jc w:val="center"/>
    </w:pPr>
    <w:rPr>
      <w:rFonts w:ascii="Times New Roman" w:hAnsi="Times New Roman"/>
      <w:szCs w:val="20"/>
    </w:rPr>
  </w:style>
  <w:style w:type="paragraph" w:customStyle="1" w:styleId="665">
    <w:name w:val="WW-正文文本缩进 3"/>
    <w:basedOn w:val="1"/>
    <w:qFormat/>
    <w:uiPriority w:val="0"/>
    <w:pPr>
      <w:suppressAutoHyphens/>
      <w:spacing w:line="440" w:lineRule="exact"/>
      <w:ind w:firstLine="482"/>
    </w:pPr>
    <w:rPr>
      <w:rFonts w:ascii="宋体" w:hAnsi="宋体" w:cs="宋体"/>
      <w:kern w:val="1"/>
      <w:szCs w:val="21"/>
      <w:lang w:eastAsia="ar-SA"/>
    </w:rPr>
  </w:style>
  <w:style w:type="paragraph" w:customStyle="1" w:styleId="666">
    <w:name w:val="表格下注"/>
    <w:qFormat/>
    <w:uiPriority w:val="0"/>
    <w:pPr>
      <w:autoSpaceDE w:val="0"/>
      <w:autoSpaceDN w:val="0"/>
      <w:ind w:firstLine="200" w:firstLineChars="200"/>
      <w:jc w:val="both"/>
    </w:pPr>
    <w:rPr>
      <w:rFonts w:ascii="Times New Roman" w:hAnsi="Times New Roman" w:eastAsia="黑体" w:cs="Times New Roman"/>
      <w:sz w:val="21"/>
      <w:lang w:val="en-US" w:eastAsia="zh-CN" w:bidi="ar-SA"/>
    </w:rPr>
  </w:style>
  <w:style w:type="paragraph" w:customStyle="1" w:styleId="667">
    <w:name w:val="样式 样式 两端对齐 首行缩进:  2 字符 + 首行缩进:  2 字符 段前: 0.5 行 段后: 0.5 行"/>
    <w:basedOn w:val="1"/>
    <w:qFormat/>
    <w:uiPriority w:val="0"/>
    <w:pPr>
      <w:spacing w:line="360" w:lineRule="auto"/>
      <w:jc w:val="center"/>
    </w:pPr>
    <w:rPr>
      <w:rFonts w:ascii="Times New Roman" w:hAnsi="Times New Roman" w:eastAsia="黑体"/>
      <w:sz w:val="28"/>
      <w:szCs w:val="28"/>
    </w:rPr>
  </w:style>
  <w:style w:type="paragraph" w:customStyle="1" w:styleId="668">
    <w:name w:val="表内式样"/>
    <w:qFormat/>
    <w:uiPriority w:val="0"/>
    <w:pPr>
      <w:keepLines/>
      <w:widowControl w:val="0"/>
      <w:suppressAutoHyphens/>
      <w:kinsoku w:val="0"/>
      <w:overflowPunct w:val="0"/>
      <w:jc w:val="center"/>
    </w:pPr>
    <w:rPr>
      <w:rFonts w:ascii="宋体" w:hAnsi="宋体" w:eastAsia="宋体" w:cs="Times New Roman"/>
      <w:sz w:val="21"/>
      <w:szCs w:val="21"/>
      <w:lang w:val="en-US" w:eastAsia="ar-SA" w:bidi="ar-SA"/>
    </w:rPr>
  </w:style>
  <w:style w:type="paragraph" w:customStyle="1" w:styleId="669">
    <w:name w:val="标题5"/>
    <w:basedOn w:val="8"/>
    <w:qFormat/>
    <w:uiPriority w:val="0"/>
    <w:pPr>
      <w:keepLines/>
      <w:numPr>
        <w:ilvl w:val="0"/>
        <w:numId w:val="5"/>
      </w:numPr>
      <w:tabs>
        <w:tab w:val="left" w:pos="1202"/>
        <w:tab w:val="clear" w:pos="360"/>
      </w:tabs>
      <w:adjustRightInd/>
      <w:snapToGrid/>
      <w:spacing w:before="280" w:after="290" w:line="376" w:lineRule="auto"/>
      <w:ind w:left="1202" w:hanging="720"/>
    </w:pPr>
    <w:rPr>
      <w:bCs/>
      <w:sz w:val="24"/>
      <w:szCs w:val="28"/>
    </w:rPr>
  </w:style>
  <w:style w:type="paragraph" w:customStyle="1" w:styleId="670">
    <w:name w:val="表格填充1"/>
    <w:basedOn w:val="1"/>
    <w:qFormat/>
    <w:uiPriority w:val="0"/>
    <w:pPr>
      <w:adjustRightInd w:val="0"/>
      <w:snapToGrid w:val="0"/>
      <w:spacing w:line="400" w:lineRule="exact"/>
      <w:jc w:val="center"/>
    </w:pPr>
    <w:rPr>
      <w:rFonts w:ascii="Times New Roman" w:hAnsi="Times New Roman"/>
      <w:snapToGrid w:val="0"/>
      <w:szCs w:val="18"/>
    </w:rPr>
  </w:style>
  <w:style w:type="paragraph" w:customStyle="1" w:styleId="671">
    <w:name w:val="封面正文"/>
    <w:qFormat/>
    <w:uiPriority w:val="0"/>
    <w:pPr>
      <w:widowControl w:val="0"/>
      <w:suppressAutoHyphens/>
      <w:jc w:val="both"/>
    </w:pPr>
    <w:rPr>
      <w:rFonts w:ascii="Times New Roman" w:hAnsi="Times New Roman" w:eastAsia="宋体" w:cs="Times New Roman"/>
      <w:lang w:val="en-US" w:eastAsia="ar-SA" w:bidi="ar-SA"/>
    </w:rPr>
  </w:style>
  <w:style w:type="paragraph" w:customStyle="1" w:styleId="672">
    <w:name w:val="中文报告书样式"/>
    <w:basedOn w:val="1"/>
    <w:qFormat/>
    <w:uiPriority w:val="0"/>
    <w:pPr>
      <w:adjustRightInd w:val="0"/>
      <w:spacing w:line="480" w:lineRule="atLeast"/>
      <w:ind w:firstLine="482"/>
      <w:textAlignment w:val="baseline"/>
    </w:pPr>
    <w:rPr>
      <w:rFonts w:ascii="Times New Roman" w:hAnsi="Times New Roman"/>
      <w:kern w:val="24"/>
      <w:sz w:val="24"/>
      <w:szCs w:val="20"/>
    </w:rPr>
  </w:style>
  <w:style w:type="paragraph" w:customStyle="1" w:styleId="673">
    <w:name w:val="样式 标题 1 + 行距: 1.5 倍行距"/>
    <w:basedOn w:val="4"/>
    <w:qFormat/>
    <w:uiPriority w:val="0"/>
    <w:pPr>
      <w:keepLines w:val="0"/>
      <w:spacing w:before="0" w:beforeLines="50" w:after="0" w:afterLines="50" w:line="360" w:lineRule="auto"/>
    </w:pPr>
    <w:rPr>
      <w:rFonts w:ascii="Times New Roman" w:hAnsi="Times New Roman" w:eastAsia="黑体" w:cs="宋体"/>
      <w:bCs w:val="0"/>
      <w:snapToGrid w:val="0"/>
      <w:kern w:val="2"/>
      <w:sz w:val="32"/>
      <w:szCs w:val="20"/>
    </w:rPr>
  </w:style>
  <w:style w:type="paragraph" w:customStyle="1" w:styleId="674">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Times New Roman" w:hAnsi="Times New Roman"/>
      <w:spacing w:val="20"/>
      <w:sz w:val="24"/>
      <w:szCs w:val="20"/>
    </w:rPr>
  </w:style>
  <w:style w:type="paragraph" w:customStyle="1" w:styleId="675">
    <w:name w:val="表名称"/>
    <w:semiHidden/>
    <w:qFormat/>
    <w:uiPriority w:val="0"/>
    <w:pPr>
      <w:widowControl w:val="0"/>
      <w:spacing w:before="240" w:line="288" w:lineRule="auto"/>
      <w:jc w:val="both"/>
    </w:pPr>
    <w:rPr>
      <w:rFonts w:ascii="Times New Roman" w:hAnsi="Times New Roman" w:eastAsia="宋体" w:cs="Times New Roman"/>
      <w:kern w:val="2"/>
      <w:sz w:val="24"/>
      <w:szCs w:val="24"/>
      <w:lang w:val="en-US" w:eastAsia="zh-CN" w:bidi="ar-SA"/>
    </w:rPr>
  </w:style>
  <w:style w:type="paragraph" w:customStyle="1" w:styleId="676">
    <w:name w:val="文题"/>
    <w:basedOn w:val="1"/>
    <w:next w:val="1"/>
    <w:qFormat/>
    <w:uiPriority w:val="0"/>
    <w:pPr>
      <w:tabs>
        <w:tab w:val="left" w:pos="1842"/>
      </w:tabs>
      <w:spacing w:afterLines="100"/>
      <w:jc w:val="center"/>
    </w:pPr>
    <w:rPr>
      <w:rFonts w:ascii="Times New Roman" w:hAnsi="Times New Roman" w:eastAsia="黑体"/>
      <w:spacing w:val="20"/>
      <w:sz w:val="44"/>
      <w:szCs w:val="24"/>
    </w:rPr>
  </w:style>
  <w:style w:type="paragraph" w:customStyle="1" w:styleId="677">
    <w:name w:val="标签"/>
    <w:basedOn w:val="1"/>
    <w:qFormat/>
    <w:uiPriority w:val="0"/>
    <w:pPr>
      <w:suppressLineNumbers/>
      <w:suppressAutoHyphens/>
      <w:spacing w:before="120" w:after="120"/>
    </w:pPr>
    <w:rPr>
      <w:rFonts w:ascii="Times New Roman" w:hAnsi="Times New Roman" w:cs="Tahoma"/>
      <w:i/>
      <w:iCs/>
      <w:kern w:val="1"/>
      <w:sz w:val="20"/>
      <w:szCs w:val="20"/>
      <w:lang w:eastAsia="ar-SA"/>
    </w:rPr>
  </w:style>
  <w:style w:type="paragraph" w:customStyle="1" w:styleId="678">
    <w:name w:val="Normal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79">
    <w:name w:val="WW-批注框文本"/>
    <w:basedOn w:val="1"/>
    <w:qFormat/>
    <w:uiPriority w:val="0"/>
    <w:pPr>
      <w:suppressAutoHyphens/>
      <w:spacing w:line="360" w:lineRule="auto"/>
    </w:pPr>
    <w:rPr>
      <w:rFonts w:ascii="Arial" w:hAnsi="Arial" w:cs="Arial"/>
      <w:kern w:val="1"/>
      <w:sz w:val="18"/>
      <w:szCs w:val="18"/>
      <w:lang w:eastAsia="ar-SA"/>
    </w:rPr>
  </w:style>
  <w:style w:type="paragraph" w:customStyle="1" w:styleId="680">
    <w:name w:val="段"/>
    <w:qFormat/>
    <w:uiPriority w:val="0"/>
    <w:pPr>
      <w:widowControl w:val="0"/>
      <w:suppressAutoHyphens/>
      <w:autoSpaceDE w:val="0"/>
      <w:ind w:firstLine="200"/>
      <w:jc w:val="both"/>
    </w:pPr>
    <w:rPr>
      <w:rFonts w:ascii="宋体" w:hAnsi="宋体" w:eastAsia="宋体" w:cs="宋体"/>
      <w:sz w:val="21"/>
      <w:szCs w:val="21"/>
      <w:lang w:val="en-US" w:eastAsia="ar-SA" w:bidi="ar-SA"/>
    </w:rPr>
  </w:style>
  <w:style w:type="paragraph" w:customStyle="1" w:styleId="681">
    <w:name w:val="WW-正文文本 2"/>
    <w:basedOn w:val="1"/>
    <w:qFormat/>
    <w:uiPriority w:val="0"/>
    <w:pPr>
      <w:tabs>
        <w:tab w:val="right" w:leader="dot" w:pos="8505"/>
      </w:tabs>
      <w:suppressAutoHyphens/>
      <w:spacing w:line="440" w:lineRule="exact"/>
    </w:pPr>
    <w:rPr>
      <w:rFonts w:ascii="宋体" w:hAnsi="宋体" w:cs="宋体"/>
      <w:b/>
      <w:bCs/>
      <w:kern w:val="1"/>
      <w:sz w:val="24"/>
      <w:szCs w:val="24"/>
      <w:lang w:eastAsia="ar-SA"/>
    </w:rPr>
  </w:style>
  <w:style w:type="paragraph" w:customStyle="1" w:styleId="682">
    <w:name w:val="WW-纯文本"/>
    <w:basedOn w:val="1"/>
    <w:qFormat/>
    <w:uiPriority w:val="0"/>
    <w:pPr>
      <w:suppressAutoHyphens/>
      <w:spacing w:line="360" w:lineRule="auto"/>
    </w:pPr>
    <w:rPr>
      <w:rFonts w:ascii="宋体" w:hAnsi="宋体" w:cs="宋体"/>
      <w:kern w:val="1"/>
      <w:sz w:val="24"/>
      <w:szCs w:val="24"/>
      <w:lang w:eastAsia="ar-SA"/>
    </w:rPr>
  </w:style>
  <w:style w:type="paragraph" w:customStyle="1" w:styleId="683">
    <w:name w:val="表格 32"/>
    <w:basedOn w:val="1"/>
    <w:qFormat/>
    <w:uiPriority w:val="0"/>
    <w:pPr>
      <w:autoSpaceDE w:val="0"/>
      <w:autoSpaceDN w:val="0"/>
      <w:adjustRightInd w:val="0"/>
      <w:snapToGrid w:val="0"/>
      <w:jc w:val="center"/>
      <w:textAlignment w:val="baseline"/>
    </w:pPr>
    <w:rPr>
      <w:rFonts w:ascii="宋体" w:hAnsi="宋体"/>
      <w:bCs/>
      <w:kern w:val="0"/>
      <w:szCs w:val="20"/>
      <w:lang w:val="en-GB"/>
    </w:rPr>
  </w:style>
  <w:style w:type="paragraph" w:customStyle="1" w:styleId="684">
    <w:name w:val="WW-普通(网站)"/>
    <w:basedOn w:val="1"/>
    <w:qFormat/>
    <w:uiPriority w:val="0"/>
    <w:pPr>
      <w:widowControl/>
      <w:suppressAutoHyphens/>
      <w:spacing w:before="280" w:after="280"/>
      <w:jc w:val="left"/>
    </w:pPr>
    <w:rPr>
      <w:rFonts w:ascii="Times New Roman" w:hAnsi="Times New Roman"/>
      <w:kern w:val="1"/>
      <w:sz w:val="24"/>
      <w:szCs w:val="24"/>
      <w:lang w:eastAsia="ar-SA"/>
    </w:rPr>
  </w:style>
  <w:style w:type="paragraph" w:customStyle="1" w:styleId="685">
    <w:name w:val="BT3"/>
    <w:basedOn w:val="1"/>
    <w:qFormat/>
    <w:uiPriority w:val="0"/>
    <w:pPr>
      <w:widowControl/>
      <w:tabs>
        <w:tab w:val="right" w:pos="2205"/>
      </w:tabs>
      <w:adjustRightInd w:val="0"/>
      <w:snapToGrid w:val="0"/>
      <w:spacing w:line="420" w:lineRule="exact"/>
      <w:jc w:val="left"/>
      <w:outlineLvl w:val="2"/>
    </w:pPr>
    <w:rPr>
      <w:rFonts w:ascii="Times New Roman" w:hAnsi="Times New Roman"/>
      <w:b/>
      <w:bCs/>
      <w:sz w:val="28"/>
      <w:szCs w:val="32"/>
    </w:rPr>
  </w:style>
  <w:style w:type="paragraph" w:customStyle="1" w:styleId="686">
    <w:name w:val="WW-日期"/>
    <w:basedOn w:val="1"/>
    <w:next w:val="1"/>
    <w:qFormat/>
    <w:uiPriority w:val="0"/>
    <w:pPr>
      <w:suppressAutoHyphens/>
      <w:spacing w:line="360" w:lineRule="auto"/>
    </w:pPr>
    <w:rPr>
      <w:rFonts w:ascii="宋体" w:hAnsi="宋体" w:cs="宋体"/>
      <w:kern w:val="1"/>
      <w:sz w:val="24"/>
      <w:szCs w:val="24"/>
      <w:lang w:eastAsia="ar-SA"/>
    </w:rPr>
  </w:style>
  <w:style w:type="paragraph" w:customStyle="1" w:styleId="687">
    <w:name w:val="表内5中"/>
    <w:basedOn w:val="1"/>
    <w:qFormat/>
    <w:uiPriority w:val="0"/>
    <w:pPr>
      <w:autoSpaceDE w:val="0"/>
      <w:snapToGrid w:val="0"/>
      <w:jc w:val="center"/>
    </w:pPr>
    <w:rPr>
      <w:rFonts w:ascii="宋体" w:hAnsi="宋体"/>
      <w:color w:val="000000"/>
      <w:kern w:val="1"/>
      <w:sz w:val="24"/>
      <w:szCs w:val="24"/>
      <w:lang w:eastAsia="ar-SA"/>
    </w:rPr>
  </w:style>
  <w:style w:type="paragraph" w:customStyle="1" w:styleId="688">
    <w:name w:val="正文(首行缩进2字)"/>
    <w:basedOn w:val="1"/>
    <w:qFormat/>
    <w:uiPriority w:val="0"/>
    <w:pPr>
      <w:suppressAutoHyphens/>
      <w:overflowPunct w:val="0"/>
      <w:autoSpaceDE w:val="0"/>
      <w:snapToGrid w:val="0"/>
      <w:spacing w:before="60" w:after="60" w:line="300" w:lineRule="auto"/>
      <w:ind w:firstLine="200"/>
      <w:textAlignment w:val="baseline"/>
    </w:pPr>
    <w:rPr>
      <w:rFonts w:ascii="Times New Roman" w:hAnsi="Times New Roman"/>
      <w:kern w:val="1"/>
      <w:sz w:val="24"/>
      <w:szCs w:val="24"/>
      <w:lang w:eastAsia="ar-SA"/>
    </w:rPr>
  </w:style>
  <w:style w:type="paragraph" w:customStyle="1" w:styleId="689">
    <w:name w:val="WW-表格"/>
    <w:basedOn w:val="1"/>
    <w:qFormat/>
    <w:uiPriority w:val="0"/>
    <w:pPr>
      <w:suppressAutoHyphens/>
      <w:snapToGrid w:val="0"/>
      <w:spacing w:before="20" w:after="20"/>
      <w:jc w:val="center"/>
    </w:pPr>
    <w:rPr>
      <w:rFonts w:ascii="Times New Roman" w:hAnsi="Times New Roman"/>
      <w:kern w:val="1"/>
      <w:sz w:val="24"/>
      <w:szCs w:val="20"/>
      <w:lang w:eastAsia="ar-SA"/>
    </w:rPr>
  </w:style>
  <w:style w:type="paragraph" w:customStyle="1" w:styleId="690">
    <w:name w:val="表标题2"/>
    <w:basedOn w:val="1"/>
    <w:next w:val="1"/>
    <w:qFormat/>
    <w:uiPriority w:val="0"/>
    <w:pPr>
      <w:suppressAutoHyphens/>
      <w:spacing w:before="120" w:after="120" w:line="312" w:lineRule="auto"/>
      <w:jc w:val="center"/>
    </w:pPr>
    <w:rPr>
      <w:rFonts w:ascii="Times New Roman" w:hAnsi="Times New Roman"/>
      <w:kern w:val="1"/>
      <w:szCs w:val="24"/>
      <w:lang w:eastAsia="ar-SA"/>
    </w:rPr>
  </w:style>
  <w:style w:type="paragraph" w:customStyle="1" w:styleId="691">
    <w:name w:val="编号括号数字"/>
    <w:basedOn w:val="1"/>
    <w:qFormat/>
    <w:uiPriority w:val="0"/>
    <w:pPr>
      <w:tabs>
        <w:tab w:val="left" w:pos="939"/>
      </w:tabs>
      <w:suppressAutoHyphens/>
      <w:spacing w:line="360" w:lineRule="auto"/>
      <w:ind w:left="342" w:firstLine="198"/>
    </w:pPr>
    <w:rPr>
      <w:rFonts w:ascii="Times New Roman" w:hAnsi="Times New Roman"/>
      <w:kern w:val="1"/>
      <w:sz w:val="24"/>
      <w:szCs w:val="24"/>
      <w:lang w:eastAsia="ar-SA"/>
    </w:rPr>
  </w:style>
  <w:style w:type="paragraph" w:customStyle="1" w:styleId="692">
    <w:name w:val="WW-正文缩进"/>
    <w:basedOn w:val="1"/>
    <w:qFormat/>
    <w:uiPriority w:val="0"/>
    <w:pPr>
      <w:suppressAutoHyphens/>
      <w:ind w:firstLine="420"/>
      <w:textAlignment w:val="baseline"/>
    </w:pPr>
    <w:rPr>
      <w:rFonts w:ascii="Times New Roman" w:hAnsi="Times New Roman"/>
      <w:kern w:val="1"/>
      <w:szCs w:val="20"/>
      <w:lang w:eastAsia="ar-SA"/>
    </w:rPr>
  </w:style>
  <w:style w:type="paragraph" w:customStyle="1" w:styleId="693">
    <w:name w:val="样式 标题 1 + 三号"/>
    <w:basedOn w:val="4"/>
    <w:qFormat/>
    <w:uiPriority w:val="0"/>
    <w:pPr>
      <w:snapToGrid w:val="0"/>
      <w:spacing w:before="0" w:beforeLines="50" w:after="0" w:afterLines="50" w:line="360" w:lineRule="auto"/>
      <w:jc w:val="center"/>
    </w:pPr>
    <w:rPr>
      <w:rFonts w:ascii="Times New Roman" w:hAnsi="Times New Roman" w:eastAsia="黑体"/>
      <w:snapToGrid w:val="0"/>
      <w:sz w:val="30"/>
    </w:rPr>
  </w:style>
  <w:style w:type="paragraph" w:customStyle="1" w:styleId="694">
    <w:name w:val="WW-正文文本 3"/>
    <w:basedOn w:val="1"/>
    <w:qFormat/>
    <w:uiPriority w:val="0"/>
    <w:pPr>
      <w:suppressAutoHyphens/>
      <w:spacing w:line="200" w:lineRule="exact"/>
    </w:pPr>
    <w:rPr>
      <w:rFonts w:ascii="Times New Roman" w:hAnsi="Times New Roman"/>
      <w:kern w:val="1"/>
      <w:sz w:val="10"/>
      <w:szCs w:val="24"/>
      <w:lang w:eastAsia="ar-SA"/>
    </w:rPr>
  </w:style>
  <w:style w:type="paragraph" w:customStyle="1" w:styleId="695">
    <w:name w:val="WW-纯文本1"/>
    <w:basedOn w:val="1"/>
    <w:qFormat/>
    <w:uiPriority w:val="0"/>
    <w:rPr>
      <w:rFonts w:ascii="宋体" w:hAnsi="宋体"/>
      <w:kern w:val="1"/>
      <w:szCs w:val="20"/>
      <w:lang w:eastAsia="ar-SA"/>
    </w:rPr>
  </w:style>
  <w:style w:type="paragraph" w:customStyle="1" w:styleId="696">
    <w:name w:val="WW-正文文字 2"/>
    <w:basedOn w:val="1"/>
    <w:qFormat/>
    <w:uiPriority w:val="0"/>
    <w:pPr>
      <w:ind w:firstLine="200" w:firstLineChars="200"/>
      <w:jc w:val="center"/>
    </w:pPr>
    <w:rPr>
      <w:rFonts w:ascii="Times New Roman" w:hAnsi="Times New Roman"/>
      <w:szCs w:val="24"/>
    </w:rPr>
  </w:style>
  <w:style w:type="paragraph" w:customStyle="1" w:styleId="697">
    <w:name w:val="附录四级条标题"/>
    <w:basedOn w:val="646"/>
    <w:next w:val="1"/>
    <w:qFormat/>
    <w:uiPriority w:val="0"/>
    <w:pPr>
      <w:numPr>
        <w:ilvl w:val="5"/>
      </w:numPr>
      <w:outlineLvl w:val="5"/>
    </w:pPr>
  </w:style>
  <w:style w:type="paragraph" w:customStyle="1" w:styleId="698">
    <w:name w:val="附录五级条标题"/>
    <w:basedOn w:val="697"/>
    <w:next w:val="1"/>
    <w:qFormat/>
    <w:uiPriority w:val="0"/>
    <w:pPr>
      <w:numPr>
        <w:ilvl w:val="6"/>
      </w:numPr>
      <w:outlineLvl w:val="6"/>
    </w:pPr>
  </w:style>
  <w:style w:type="paragraph" w:customStyle="1" w:styleId="699">
    <w:name w:val="样式 样式 样式 样式 样式 样式 样式 正文缩进 + 首行缩进:  2 字符1 + 首行缩进:  2 字符1 + 四号 + 首..."/>
    <w:basedOn w:val="1"/>
    <w:qFormat/>
    <w:uiPriority w:val="0"/>
    <w:pPr>
      <w:widowControl/>
      <w:adjustRightInd w:val="0"/>
      <w:snapToGrid w:val="0"/>
      <w:spacing w:line="520" w:lineRule="exact"/>
      <w:ind w:firstLine="592" w:firstLineChars="200"/>
    </w:pPr>
    <w:rPr>
      <w:rFonts w:ascii="仿宋_GB2312" w:hAnsi="Times New Roman" w:eastAsia="仿宋_GB2312" w:cs="宋体"/>
      <w:spacing w:val="8"/>
      <w:kern w:val="0"/>
      <w:sz w:val="28"/>
      <w:szCs w:val="20"/>
      <w:shd w:val="clear" w:color="auto" w:fill="FFFFFF"/>
    </w:rPr>
  </w:style>
  <w:style w:type="paragraph" w:customStyle="1" w:styleId="700">
    <w:name w:val="样式 样式 标题 1 + 黑体 非加粗 + 段后: 0.5 行"/>
    <w:basedOn w:val="1"/>
    <w:qFormat/>
    <w:uiPriority w:val="0"/>
    <w:pPr>
      <w:keepNext/>
      <w:keepLines/>
      <w:adjustRightInd w:val="0"/>
      <w:snapToGrid w:val="0"/>
      <w:spacing w:before="120" w:afterLines="50" w:line="360" w:lineRule="auto"/>
      <w:outlineLvl w:val="0"/>
    </w:pPr>
    <w:rPr>
      <w:rFonts w:ascii="黑体" w:hAnsi="黑体" w:eastAsia="黑体" w:cs="宋体"/>
      <w:kern w:val="44"/>
      <w:sz w:val="30"/>
      <w:szCs w:val="20"/>
    </w:rPr>
  </w:style>
  <w:style w:type="paragraph" w:customStyle="1" w:styleId="701">
    <w:name w:val="wrap"/>
    <w:basedOn w:val="1"/>
    <w:qFormat/>
    <w:uiPriority w:val="0"/>
    <w:pPr>
      <w:widowControl/>
      <w:jc w:val="left"/>
    </w:pPr>
    <w:rPr>
      <w:rFonts w:ascii="宋体" w:hAnsi="宋体" w:cs="宋体"/>
      <w:kern w:val="0"/>
      <w:sz w:val="24"/>
      <w:szCs w:val="24"/>
    </w:rPr>
  </w:style>
  <w:style w:type="paragraph" w:customStyle="1" w:styleId="702">
    <w:name w:val="bgusr"/>
    <w:basedOn w:val="1"/>
    <w:qFormat/>
    <w:uiPriority w:val="0"/>
    <w:pPr>
      <w:widowControl/>
      <w:spacing w:line="285" w:lineRule="atLeast"/>
      <w:jc w:val="left"/>
    </w:pPr>
    <w:rPr>
      <w:rFonts w:ascii="Arial" w:hAnsi="Arial" w:cs="Arial"/>
      <w:kern w:val="0"/>
      <w:sz w:val="18"/>
      <w:szCs w:val="18"/>
    </w:rPr>
  </w:style>
  <w:style w:type="paragraph" w:customStyle="1" w:styleId="703">
    <w:name w:val="chtit"/>
    <w:basedOn w:val="1"/>
    <w:qFormat/>
    <w:uiPriority w:val="0"/>
    <w:pPr>
      <w:widowControl/>
      <w:spacing w:line="270" w:lineRule="atLeast"/>
      <w:jc w:val="left"/>
    </w:pPr>
    <w:rPr>
      <w:rFonts w:ascii="Arial" w:hAnsi="Arial" w:cs="Arial"/>
      <w:color w:val="000000"/>
      <w:kern w:val="0"/>
      <w:szCs w:val="21"/>
    </w:rPr>
  </w:style>
  <w:style w:type="paragraph" w:customStyle="1" w:styleId="704">
    <w:name w:val="i"/>
    <w:basedOn w:val="1"/>
    <w:qFormat/>
    <w:uiPriority w:val="0"/>
    <w:pPr>
      <w:widowControl/>
      <w:jc w:val="left"/>
    </w:pPr>
    <w:rPr>
      <w:rFonts w:ascii="Arial" w:hAnsi="Arial" w:cs="Arial"/>
      <w:kern w:val="0"/>
      <w:sz w:val="24"/>
      <w:szCs w:val="24"/>
    </w:rPr>
  </w:style>
  <w:style w:type="paragraph" w:customStyle="1" w:styleId="705">
    <w:name w:val="pad14 info f12"/>
    <w:basedOn w:val="1"/>
    <w:qFormat/>
    <w:uiPriority w:val="0"/>
    <w:pPr>
      <w:widowControl/>
      <w:jc w:val="left"/>
    </w:pPr>
    <w:rPr>
      <w:rFonts w:ascii="宋体" w:hAnsi="宋体" w:cs="宋体"/>
      <w:kern w:val="0"/>
      <w:sz w:val="24"/>
      <w:szCs w:val="24"/>
    </w:rPr>
  </w:style>
  <w:style w:type="paragraph" w:customStyle="1" w:styleId="706">
    <w:name w:val="默认段落字体 Para Char Char Char Char Char Char Char"/>
    <w:basedOn w:val="1"/>
    <w:qFormat/>
    <w:uiPriority w:val="0"/>
    <w:pPr>
      <w:adjustRightInd w:val="0"/>
      <w:spacing w:line="360" w:lineRule="auto"/>
      <w:textAlignment w:val="baseline"/>
    </w:pPr>
    <w:rPr>
      <w:rFonts w:ascii="Times New Roman" w:hAnsi="Times New Roman"/>
      <w:kern w:val="0"/>
      <w:sz w:val="24"/>
      <w:szCs w:val="20"/>
    </w:rPr>
  </w:style>
  <w:style w:type="paragraph" w:customStyle="1" w:styleId="707">
    <w:name w:val="正文文本缩进1"/>
    <w:basedOn w:val="1"/>
    <w:qFormat/>
    <w:uiPriority w:val="0"/>
    <w:pPr>
      <w:adjustRightInd w:val="0"/>
      <w:spacing w:after="120" w:line="360" w:lineRule="auto"/>
      <w:ind w:left="420" w:leftChars="200" w:firstLine="200" w:firstLineChars="200"/>
      <w:textAlignment w:val="baseline"/>
    </w:pPr>
    <w:rPr>
      <w:rFonts w:ascii="Times New Roman" w:hAnsi="Times New Roman"/>
      <w:sz w:val="24"/>
      <w:szCs w:val="20"/>
    </w:rPr>
  </w:style>
  <w:style w:type="paragraph" w:customStyle="1" w:styleId="708">
    <w:name w:val="TOC 标题1"/>
    <w:basedOn w:val="4"/>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709">
    <w:name w:val="表名新"/>
    <w:basedOn w:val="1"/>
    <w:qFormat/>
    <w:uiPriority w:val="0"/>
    <w:pPr>
      <w:jc w:val="center"/>
    </w:pPr>
    <w:rPr>
      <w:rFonts w:ascii="Times New Roman" w:hAnsi="Times New Roman"/>
      <w:b/>
      <w:szCs w:val="21"/>
    </w:rPr>
  </w:style>
  <w:style w:type="paragraph" w:customStyle="1" w:styleId="710">
    <w:name w:val="秦皇岛正文"/>
    <w:basedOn w:val="1"/>
    <w:qFormat/>
    <w:uiPriority w:val="0"/>
    <w:pPr>
      <w:spacing w:line="400" w:lineRule="exact"/>
      <w:ind w:firstLine="200" w:firstLineChars="200"/>
    </w:pPr>
    <w:rPr>
      <w:rFonts w:ascii="宋体" w:hAnsi="宋体"/>
      <w:sz w:val="24"/>
      <w:szCs w:val="24"/>
    </w:rPr>
  </w:style>
  <w:style w:type="paragraph" w:customStyle="1" w:styleId="711">
    <w:name w:val=".66l.66l"/>
    <w:basedOn w:val="1"/>
    <w:qFormat/>
    <w:uiPriority w:val="0"/>
    <w:pPr>
      <w:autoSpaceDE w:val="0"/>
      <w:autoSpaceDN w:val="0"/>
      <w:adjustRightInd w:val="0"/>
      <w:spacing w:line="312" w:lineRule="atLeast"/>
      <w:ind w:firstLine="570"/>
    </w:pPr>
    <w:rPr>
      <w:rFonts w:ascii="宋体" w:hAnsi="Times New Roman"/>
      <w:kern w:val="0"/>
      <w:sz w:val="28"/>
      <w:szCs w:val="20"/>
    </w:rPr>
  </w:style>
  <w:style w:type="paragraph" w:customStyle="1" w:styleId="712">
    <w:name w:val="Table Paragraph"/>
    <w:basedOn w:val="1"/>
    <w:qFormat/>
    <w:uiPriority w:val="1"/>
    <w:pPr>
      <w:autoSpaceDE w:val="0"/>
      <w:autoSpaceDN w:val="0"/>
      <w:jc w:val="center"/>
    </w:pPr>
    <w:rPr>
      <w:rFonts w:ascii="Times New Roman" w:hAnsi="Times New Roman" w:eastAsia="Times New Roman"/>
      <w:kern w:val="0"/>
      <w:sz w:val="22"/>
      <w:lang w:eastAsia="en-US"/>
    </w:rPr>
  </w:style>
  <w:style w:type="table" w:customStyle="1" w:styleId="713">
    <w:name w:val="立体型 11"/>
    <w:basedOn w:val="80"/>
    <w:qFormat/>
    <w:uiPriority w:val="0"/>
    <w:pPr>
      <w:widowControl w:val="0"/>
      <w:jc w:val="both"/>
    </w:pPr>
    <w:rPr>
      <w:rFonts w:ascii="Times New Roman" w:hAnsi="Times New Roman"/>
    </w:r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714">
    <w:name w:val="立体型 21"/>
    <w:basedOn w:val="80"/>
    <w:qFormat/>
    <w:uiPriority w:val="0"/>
    <w:pPr>
      <w:widowControl w:val="0"/>
      <w:jc w:val="both"/>
    </w:pPr>
    <w:rPr>
      <w:rFonts w:ascii="Times New Roman" w:hAnsi="Times New Roman"/>
    </w:r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715">
    <w:name w:val="立体型 31"/>
    <w:basedOn w:val="80"/>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716">
    <w:name w:val="网格型1"/>
    <w:basedOn w:val="80"/>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7">
    <w:name w:val="普通表格1"/>
    <w:semiHidden/>
    <w:qFormat/>
    <w:uiPriority w:val="0"/>
    <w:rPr>
      <w:rFonts w:ascii="Times New Roman" w:hAnsi="Times New Roman" w:eastAsia="Times New Roman"/>
    </w:rPr>
    <w:tblPr>
      <w:tblCellMar>
        <w:top w:w="0" w:type="dxa"/>
        <w:left w:w="108" w:type="dxa"/>
        <w:bottom w:w="0" w:type="dxa"/>
        <w:right w:w="108" w:type="dxa"/>
      </w:tblCellMar>
    </w:tblPr>
  </w:style>
  <w:style w:type="table" w:customStyle="1" w:styleId="718">
    <w:name w:val="毛的表格"/>
    <w:basedOn w:val="80"/>
    <w:qFormat/>
    <w:uiPriority w:val="0"/>
    <w:pPr>
      <w:jc w:val="center"/>
    </w:pPr>
    <w:rPr>
      <w:rFonts w:ascii="Times New Roman" w:hAnsi="Times New Roman"/>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719">
    <w:name w:val="Table Normal"/>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styleId="720">
    <w:name w:val="List Paragraph"/>
    <w:basedOn w:val="1"/>
    <w:unhideWhenUsed/>
    <w:qFormat/>
    <w:uiPriority w:val="99"/>
    <w:pPr>
      <w:ind w:firstLine="420" w:firstLineChars="200"/>
    </w:pPr>
  </w:style>
  <w:style w:type="character" w:customStyle="1" w:styleId="721">
    <w:name w:val="font21"/>
    <w:basedOn w:val="122"/>
    <w:qFormat/>
    <w:uiPriority w:val="0"/>
    <w:rPr>
      <w:rFonts w:hint="eastAsia" w:ascii="宋体" w:hAnsi="宋体" w:eastAsia="宋体" w:cs="宋体"/>
      <w:color w:val="000000"/>
      <w:sz w:val="22"/>
      <w:szCs w:val="22"/>
      <w:u w:val="none"/>
    </w:rPr>
  </w:style>
  <w:style w:type="character" w:customStyle="1" w:styleId="722">
    <w:name w:val="font31"/>
    <w:basedOn w:val="122"/>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1.png"/><Relationship Id="rId53" Type="http://schemas.openxmlformats.org/officeDocument/2006/relationships/hyperlink" Target="http://www.biaozhi.net/eNews/news/200602/0029_0000000910.shtml" TargetMode="External"/><Relationship Id="rId52" Type="http://schemas.openxmlformats.org/officeDocument/2006/relationships/image" Target="media/image30.png"/><Relationship Id="rId51" Type="http://schemas.openxmlformats.org/officeDocument/2006/relationships/hyperlink" Target="http://www.biaozhi.net/eNews/news/200602/0029_0000000909.shtml" TargetMode="External"/><Relationship Id="rId50" Type="http://schemas.openxmlformats.org/officeDocument/2006/relationships/image" Target="media/image29.png"/><Relationship Id="rId5" Type="http://schemas.openxmlformats.org/officeDocument/2006/relationships/footer" Target="footer3.xml"/><Relationship Id="rId49" Type="http://schemas.openxmlformats.org/officeDocument/2006/relationships/image" Target="media/image28.jpeg"/><Relationship Id="rId48" Type="http://schemas.openxmlformats.org/officeDocument/2006/relationships/hyperlink" Target="http://www.biaozhi.net/eNews/news/200602/0030_0000002015.shtml" TargetMode="External"/><Relationship Id="rId47" Type="http://schemas.openxmlformats.org/officeDocument/2006/relationships/image" Target="media/image27.jpeg"/><Relationship Id="rId46" Type="http://schemas.openxmlformats.org/officeDocument/2006/relationships/hyperlink" Target="http://www.biaozhi.net/eNews/news/200602/0030_0000002014.shtml" TargetMode="External"/><Relationship Id="rId45" Type="http://schemas.openxmlformats.org/officeDocument/2006/relationships/image" Target="media/image26.png"/><Relationship Id="rId44" Type="http://schemas.openxmlformats.org/officeDocument/2006/relationships/hyperlink" Target="http://www.biaozhi.net/eNews/news/200602/0029_0000000908.shtml" TargetMode="External"/><Relationship Id="rId43" Type="http://schemas.openxmlformats.org/officeDocument/2006/relationships/image" Target="media/image25.png"/><Relationship Id="rId42" Type="http://schemas.openxmlformats.org/officeDocument/2006/relationships/hyperlink" Target="http://www.biaozhi.net/eNews/news/200602/0029_0000000907.shtml" TargetMode="External"/><Relationship Id="rId41" Type="http://schemas.openxmlformats.org/officeDocument/2006/relationships/image" Target="media/image24.emf"/><Relationship Id="rId40" Type="http://schemas.openxmlformats.org/officeDocument/2006/relationships/oleObject" Target="embeddings/oleObject11.bin"/><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wmf"/><Relationship Id="rId34" Type="http://schemas.openxmlformats.org/officeDocument/2006/relationships/oleObject" Target="embeddings/oleObject10.bin"/><Relationship Id="rId33" Type="http://schemas.openxmlformats.org/officeDocument/2006/relationships/image" Target="media/image18.wmf"/><Relationship Id="rId32" Type="http://schemas.openxmlformats.org/officeDocument/2006/relationships/oleObject" Target="embeddings/oleObject9.bin"/><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wmf"/><Relationship Id="rId25" Type="http://schemas.openxmlformats.org/officeDocument/2006/relationships/oleObject" Target="embeddings/oleObject8.bin"/><Relationship Id="rId24" Type="http://schemas.openxmlformats.org/officeDocument/2006/relationships/image" Target="media/image11.wmf"/><Relationship Id="rId23" Type="http://schemas.openxmlformats.org/officeDocument/2006/relationships/oleObject" Target="embeddings/oleObject7.bin"/><Relationship Id="rId22" Type="http://schemas.openxmlformats.org/officeDocument/2006/relationships/image" Target="media/image10.wmf"/><Relationship Id="rId21" Type="http://schemas.openxmlformats.org/officeDocument/2006/relationships/oleObject" Target="embeddings/oleObject6.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5.bin"/><Relationship Id="rId17" Type="http://schemas.openxmlformats.org/officeDocument/2006/relationships/image" Target="media/image7.emf"/><Relationship Id="rId16" Type="http://schemas.openxmlformats.org/officeDocument/2006/relationships/oleObject" Target="embeddings/oleObject4.bin"/><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7388D6-4C6C-4B3D-A2E7-9151A179A259}">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137</Pages>
  <Words>72827</Words>
  <Characters>87418</Characters>
  <Lines>686</Lines>
  <Paragraphs>193</Paragraphs>
  <TotalTime>2</TotalTime>
  <ScaleCrop>false</ScaleCrop>
  <LinksUpToDate>false</LinksUpToDate>
  <CharactersWithSpaces>89118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2020-01-15T09:48:00Z</dcterms:created>
  <dc:creator>微软用户</dc:creator>
  <cp:lastModifiedBy>LI</cp:lastModifiedBy>
  <cp:lastPrinted>2020-01-15T09:52:00Z</cp:lastPrinted>
  <dcterms:modified xsi:type="dcterms:W3CDTF">2020-05-09T05:16:35Z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