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9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7" w:hRule="atLeast"/>
        </w:trPr>
        <w:tc>
          <w:tcPr>
            <w:tcW w:w="8992" w:type="dxa"/>
          </w:tcPr>
          <w:p>
            <w:pPr>
              <w:pStyle w:val="4"/>
              <w:keepNext w:val="0"/>
              <w:keepLines w:val="0"/>
              <w:suppressLineNumbers w:val="0"/>
              <w:adjustRightInd w:val="0"/>
              <w:snapToGrid w:val="0"/>
              <w:spacing w:before="0" w:beforeAutospacing="0" w:after="0" w:afterAutospacing="0" w:line="320" w:lineRule="exact"/>
              <w:ind w:left="0" w:right="-313" w:rightChars="-149"/>
              <w:jc w:val="center"/>
              <w:rPr>
                <w:rFonts w:hAnsi="宋体" w:cs="宋体"/>
                <w:b/>
                <w:bCs/>
                <w:color w:val="000000"/>
                <w:sz w:val="32"/>
                <w:szCs w:val="32"/>
              </w:rPr>
            </w:pPr>
            <w:r>
              <w:rPr>
                <w:rFonts w:hint="eastAsia" w:hAnsi="宋体" w:cs="宋体"/>
                <w:b/>
                <w:bCs/>
                <w:color w:val="000000"/>
                <w:sz w:val="32"/>
                <w:szCs w:val="32"/>
              </w:rPr>
              <w:t xml:space="preserve"> </w:t>
            </w:r>
          </w:p>
          <w:p>
            <w:pPr>
              <w:pStyle w:val="26"/>
              <w:keepNext w:val="0"/>
              <w:keepLines w:val="0"/>
              <w:suppressLineNumbers w:val="0"/>
              <w:spacing w:before="0" w:beforeAutospacing="0" w:after="0" w:afterAutospacing="0"/>
              <w:ind w:left="0" w:right="0"/>
              <w:rPr>
                <w:kern w:val="2"/>
              </w:rPr>
            </w:pPr>
          </w:p>
          <w:p>
            <w:pPr>
              <w:pStyle w:val="4"/>
              <w:keepNext w:val="0"/>
              <w:keepLines w:val="0"/>
              <w:suppressLineNumbers w:val="0"/>
              <w:adjustRightInd w:val="0"/>
              <w:snapToGrid w:val="0"/>
              <w:spacing w:before="0" w:beforeAutospacing="0" w:after="0" w:afterAutospacing="0" w:line="320" w:lineRule="exact"/>
              <w:ind w:left="0" w:right="-313" w:rightChars="-149"/>
              <w:jc w:val="center"/>
              <w:rPr>
                <w:rFonts w:hint="eastAsia" w:hAnsi="宋体" w:cs="宋体"/>
                <w:b/>
                <w:bCs/>
                <w:color w:val="000000"/>
                <w:sz w:val="32"/>
                <w:szCs w:val="32"/>
                <w:lang w:val="en-US" w:eastAsia="zh-CN"/>
              </w:rPr>
            </w:pPr>
            <w:r>
              <w:rPr>
                <w:rFonts w:hint="eastAsia" w:hAnsi="宋体" w:cs="宋体"/>
                <w:b/>
                <w:bCs/>
                <w:color w:val="000000"/>
                <w:sz w:val="32"/>
                <w:szCs w:val="32"/>
                <w:lang w:val="en-US" w:eastAsia="zh-CN"/>
              </w:rPr>
              <w:t>方维精细化工卢龙有限公司</w:t>
            </w:r>
          </w:p>
          <w:p>
            <w:pPr>
              <w:pStyle w:val="4"/>
              <w:keepNext w:val="0"/>
              <w:keepLines w:val="0"/>
              <w:suppressLineNumbers w:val="0"/>
              <w:adjustRightInd w:val="0"/>
              <w:snapToGrid w:val="0"/>
              <w:spacing w:before="0" w:beforeAutospacing="0" w:after="0" w:afterAutospacing="0" w:line="320" w:lineRule="exact"/>
              <w:ind w:left="0" w:right="-313" w:rightChars="-149"/>
              <w:jc w:val="center"/>
              <w:rPr>
                <w:rFonts w:hint="eastAsia" w:hAnsi="宋体" w:cs="宋体"/>
                <w:b/>
                <w:bCs/>
                <w:color w:val="000000"/>
                <w:sz w:val="32"/>
                <w:szCs w:val="32"/>
              </w:rPr>
            </w:pPr>
            <w:r>
              <w:rPr>
                <w:rFonts w:hint="eastAsia" w:hAnsi="宋体" w:cs="宋体"/>
                <w:b/>
                <w:bCs/>
                <w:color w:val="000000"/>
                <w:sz w:val="32"/>
                <w:szCs w:val="32"/>
                <w:lang w:val="en-US" w:eastAsia="zh-CN"/>
              </w:rPr>
              <w:t>年产3000吨金属表面处理剂项目</w:t>
            </w:r>
          </w:p>
          <w:p>
            <w:pPr>
              <w:pStyle w:val="4"/>
              <w:keepNext w:val="0"/>
              <w:keepLines w:val="0"/>
              <w:suppressLineNumbers w:val="0"/>
              <w:adjustRightInd w:val="0"/>
              <w:snapToGrid w:val="0"/>
              <w:spacing w:before="0" w:beforeAutospacing="0" w:after="0" w:afterAutospacing="0" w:line="320" w:lineRule="exact"/>
              <w:ind w:left="0" w:right="-313" w:rightChars="-149"/>
              <w:jc w:val="center"/>
              <w:rPr>
                <w:rFonts w:hAnsi="宋体" w:cs="宋体"/>
                <w:b/>
                <w:bCs/>
                <w:color w:val="000000"/>
                <w:sz w:val="32"/>
                <w:szCs w:val="32"/>
              </w:rPr>
            </w:pPr>
            <w:r>
              <w:rPr>
                <w:rFonts w:hint="eastAsia" w:hAnsi="宋体" w:cs="宋体"/>
                <w:b/>
                <w:bCs/>
                <w:color w:val="000000"/>
                <w:sz w:val="32"/>
                <w:szCs w:val="32"/>
              </w:rPr>
              <w:t>环境影响报告表的批复</w:t>
            </w:r>
          </w:p>
          <w:p>
            <w:pPr>
              <w:keepNext w:val="0"/>
              <w:keepLines w:val="0"/>
              <w:suppressLineNumbers w:val="0"/>
              <w:spacing w:before="0" w:beforeAutospacing="0" w:after="0" w:afterAutospacing="0" w:line="360" w:lineRule="auto"/>
              <w:ind w:left="0" w:right="0"/>
              <w:rPr>
                <w:rFonts w:ascii="宋体" w:hAnsi="宋体"/>
                <w:sz w:val="24"/>
              </w:rPr>
            </w:pPr>
            <w:r>
              <w:rPr>
                <w:rFonts w:ascii="宋体" w:hAnsi="宋体"/>
                <w:sz w:val="24"/>
              </w:rPr>
              <w:pict>
                <v:shape id="_x0000_s1034" o:spid="_x0000_s1034" o:spt="202" type="#_x0000_t202" style="position:absolute;left:0pt;margin-left:290.35pt;margin-top:17.25pt;height:23.4pt;width:153pt;z-index:251658240;mso-width-relative:page;mso-height-relative:page;" stroked="t" coordsize="21600,21600">
                  <v:path/>
                  <v:fill focussize="0,0"/>
                  <v:stroke color="#FFFFFF" joinstyle="miter"/>
                  <v:imagedata o:title=""/>
                  <o:lock v:ext="edit"/>
                  <v:textbox>
                    <w:txbxContent>
                      <w:p>
                        <w:pPr>
                          <w:rPr>
                            <w:sz w:val="24"/>
                          </w:rPr>
                        </w:pPr>
                        <w:r>
                          <w:rPr>
                            <w:rFonts w:hint="eastAsia"/>
                            <w:sz w:val="24"/>
                          </w:rPr>
                          <w:t>秦环审表［</w:t>
                        </w:r>
                        <w:r>
                          <w:rPr>
                            <w:rFonts w:hint="eastAsia"/>
                            <w:sz w:val="24"/>
                            <w:lang w:val="en-US" w:eastAsia="zh-CN"/>
                          </w:rPr>
                          <w:t>2020</w:t>
                        </w:r>
                        <w:r>
                          <w:rPr>
                            <w:rFonts w:hint="eastAsia"/>
                            <w:sz w:val="24"/>
                          </w:rPr>
                          <w:t>］</w:t>
                        </w:r>
                        <w:r>
                          <w:rPr>
                            <w:rFonts w:hint="eastAsia"/>
                            <w:sz w:val="24"/>
                            <w:lang w:val="en-US" w:eastAsia="zh-CN"/>
                          </w:rPr>
                          <w:t xml:space="preserve">10 </w:t>
                        </w:r>
                        <w:r>
                          <w:rPr>
                            <w:rFonts w:hint="eastAsia"/>
                            <w:sz w:val="24"/>
                          </w:rPr>
                          <w:t>号</w:t>
                        </w:r>
                      </w:p>
                    </w:txbxContent>
                  </v:textbox>
                </v:shape>
              </w:pict>
            </w:r>
          </w:p>
          <w:p>
            <w:pPr>
              <w:keepNext w:val="0"/>
              <w:keepLines w:val="0"/>
              <w:suppressLineNumbers w:val="0"/>
              <w:spacing w:before="0" w:beforeAutospacing="0" w:after="0" w:afterAutospacing="0" w:line="360" w:lineRule="auto"/>
              <w:ind w:left="0" w:right="0"/>
              <w:rPr>
                <w:rFonts w:ascii="宋体" w:hAnsi="宋体"/>
                <w:sz w:val="24"/>
              </w:rPr>
            </w:pP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outlineLvl w:val="9"/>
              <w:rPr>
                <w:rFonts w:ascii="仿宋_GB2312" w:eastAsia="仿宋_GB2312"/>
                <w:sz w:val="24"/>
              </w:rPr>
            </w:pPr>
            <w:r>
              <w:rPr>
                <w:rFonts w:hint="eastAsia" w:ascii="仿宋_GB2312" w:eastAsia="仿宋_GB2312"/>
                <w:sz w:val="24"/>
                <w:lang w:val="en-US" w:eastAsia="zh-CN"/>
              </w:rPr>
              <w:t>方维精细化工卢龙有限公司</w:t>
            </w:r>
            <w:r>
              <w:rPr>
                <w:rFonts w:hint="eastAsia" w:ascii="仿宋_GB2312" w:eastAsia="仿宋_GB2312"/>
                <w:sz w:val="24"/>
              </w:rPr>
              <w:t>委托河北鑫蓝环保科技有限公司编制的《年产3000吨金属表面处理剂项目环境影响报告表》</w:t>
            </w:r>
            <w:r>
              <w:rPr>
                <w:rFonts w:hint="eastAsia" w:ascii="仿宋_GB2312" w:eastAsia="仿宋_GB2312"/>
                <w:sz w:val="24"/>
                <w:lang w:eastAsia="zh-CN"/>
              </w:rPr>
              <w:t>及</w:t>
            </w:r>
            <w:r>
              <w:rPr>
                <w:rFonts w:hint="eastAsia" w:ascii="仿宋_GB2312" w:eastAsia="仿宋_GB2312"/>
                <w:sz w:val="24"/>
                <w:lang w:val="en-US" w:eastAsia="zh-CN"/>
              </w:rPr>
              <w:t>其他相关材料</w:t>
            </w:r>
            <w:r>
              <w:rPr>
                <w:rFonts w:hint="eastAsia" w:ascii="仿宋_GB2312" w:eastAsia="仿宋_GB2312"/>
                <w:sz w:val="24"/>
              </w:rPr>
              <w:t>收</w:t>
            </w:r>
            <w:bookmarkStart w:id="0" w:name="_GoBack"/>
            <w:bookmarkEnd w:id="0"/>
            <w:r>
              <w:rPr>
                <w:rFonts w:hint="eastAsia" w:ascii="仿宋_GB2312" w:eastAsia="仿宋_GB2312"/>
                <w:sz w:val="24"/>
              </w:rPr>
              <w:t>悉。经研究，现批复如下：</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outlineLvl w:val="9"/>
              <w:rPr>
                <w:rFonts w:ascii="仿宋_GB2312" w:eastAsia="仿宋_GB2312"/>
                <w:sz w:val="24"/>
              </w:rPr>
            </w:pPr>
            <w:r>
              <w:rPr>
                <w:rFonts w:hint="eastAsia" w:ascii="仿宋_GB2312" w:eastAsia="仿宋_GB2312"/>
                <w:sz w:val="24"/>
              </w:rPr>
              <w:t>一、项目内容及总体要求</w:t>
            </w:r>
          </w:p>
          <w:p>
            <w:pPr>
              <w:pStyle w:val="26"/>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outlineLvl w:val="9"/>
              <w:rPr>
                <w:rFonts w:ascii="仿宋_GB2312" w:eastAsia="仿宋_GB2312"/>
                <w:kern w:val="2"/>
              </w:rPr>
            </w:pPr>
            <w:r>
              <w:rPr>
                <w:rFonts w:hint="eastAsia" w:ascii="仿宋_GB2312" w:eastAsia="仿宋_GB2312"/>
                <w:kern w:val="2"/>
                <w:sz w:val="24"/>
                <w:lang w:eastAsia="zh-CN"/>
              </w:rPr>
              <w:t>方维精细化工卢龙有限公司拟建设的年产3000吨金属表面处理剂项目位于秦皇岛市卢龙县下寨乡绿色化工园区</w:t>
            </w:r>
            <w:r>
              <w:rPr>
                <w:rFonts w:hint="eastAsia" w:ascii="仿宋_GB2312" w:eastAsia="仿宋_GB2312"/>
                <w:kern w:val="2"/>
              </w:rPr>
              <w:t>内的秦皇岛卢龙长青机械制造有限公司院内</w:t>
            </w:r>
            <w:r>
              <w:rPr>
                <w:rFonts w:hint="eastAsia" w:ascii="仿宋_GB2312" w:eastAsia="仿宋_GB2312"/>
                <w:kern w:val="2"/>
                <w:sz w:val="24"/>
                <w:lang w:eastAsia="zh-CN"/>
              </w:rPr>
              <w:t>、下寨乡</w:t>
            </w:r>
            <w:r>
              <w:rPr>
                <w:rFonts w:hint="eastAsia" w:ascii="仿宋_GB2312" w:eastAsia="仿宋_GB2312"/>
                <w:kern w:val="2"/>
                <w:sz w:val="24"/>
                <w:lang w:val="en-US" w:eastAsia="zh-CN"/>
              </w:rPr>
              <w:t>102国道南侧，为新建项目。项目租用卢龙长青机械制造有限公司院内闲置厂房1座，办公室1间，</w:t>
            </w:r>
            <w:r>
              <w:rPr>
                <w:rFonts w:hint="eastAsia" w:ascii="仿宋_GB2312" w:eastAsia="仿宋_GB2312"/>
                <w:kern w:val="2"/>
                <w:sz w:val="24"/>
                <w:highlight w:val="none"/>
                <w:lang w:val="en-US" w:eastAsia="zh-CN"/>
              </w:rPr>
              <w:t>总建筑面积1220m</w:t>
            </w:r>
            <w:r>
              <w:rPr>
                <w:rFonts w:hint="eastAsia" w:ascii="仿宋_GB2312" w:eastAsia="仿宋_GB2312"/>
                <w:kern w:val="2"/>
                <w:sz w:val="24"/>
                <w:highlight w:val="none"/>
                <w:vertAlign w:val="superscript"/>
                <w:lang w:val="en-US" w:eastAsia="zh-CN"/>
              </w:rPr>
              <w:t>2</w:t>
            </w:r>
            <w:r>
              <w:rPr>
                <w:rFonts w:hint="eastAsia" w:ascii="仿宋_GB2312" w:eastAsia="仿宋_GB2312"/>
                <w:kern w:val="2"/>
                <w:sz w:val="24"/>
                <w:lang w:val="en-US" w:eastAsia="zh-CN"/>
              </w:rPr>
              <w:t>，在车间内部进行改造，分别隔离出生产区、成品存放区、称重区、专用原料库、危废间等不同功能分区。项目购置酸雾抑制剂搅拌设备1套、镀锌光亮剂搅拌设备1套、无磷磷化剂高速搅拌设备1套、热镀锌防爆剂搅拌设备1套、水性工业清洗剂搅拌设备1套、皮膜剂高速搅拌设备1套，年产金属表面处理剂3000t。</w:t>
            </w:r>
            <w:r>
              <w:rPr>
                <w:rFonts w:hint="eastAsia" w:ascii="仿宋_GB2312" w:eastAsia="仿宋_GB2312"/>
                <w:kern w:val="2"/>
                <w:lang w:eastAsia="zh-CN"/>
              </w:rPr>
              <w:t>本项目生产过程中不发生化学反应。</w:t>
            </w:r>
            <w:r>
              <w:rPr>
                <w:rFonts w:hint="eastAsia" w:ascii="仿宋_GB2312" w:eastAsia="仿宋_GB2312"/>
                <w:kern w:val="2"/>
                <w:sz w:val="24"/>
                <w:lang w:val="en-US" w:eastAsia="zh-CN"/>
              </w:rPr>
              <w:t>项目总投资3050万元，其中环保投资40万元，</w:t>
            </w:r>
            <w:r>
              <w:rPr>
                <w:rFonts w:ascii="仿宋_GB2312" w:eastAsia="仿宋_GB2312"/>
                <w:kern w:val="2"/>
              </w:rPr>
              <w:t>占总投资的</w:t>
            </w:r>
            <w:r>
              <w:rPr>
                <w:rFonts w:hint="eastAsia" w:ascii="仿宋_GB2312" w:eastAsia="仿宋_GB2312"/>
                <w:kern w:val="2"/>
                <w:lang w:val="en-US" w:eastAsia="zh-CN"/>
              </w:rPr>
              <w:t>1.3</w:t>
            </w:r>
            <w:r>
              <w:rPr>
                <w:rFonts w:ascii="仿宋_GB2312" w:eastAsia="仿宋_GB2312"/>
                <w:kern w:val="2"/>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outlineLvl w:val="9"/>
              <w:rPr>
                <w:rFonts w:ascii="仿宋_GB2312" w:eastAsia="仿宋_GB2312"/>
                <w:color w:val="FF0000"/>
                <w:sz w:val="24"/>
                <w:highlight w:val="yellow"/>
              </w:rPr>
            </w:pPr>
            <w:r>
              <w:rPr>
                <w:rFonts w:hint="eastAsia" w:ascii="仿宋_GB2312" w:eastAsia="仿宋_GB2312"/>
                <w:sz w:val="24"/>
              </w:rPr>
              <w:t>项目</w:t>
            </w:r>
            <w:r>
              <w:rPr>
                <w:rFonts w:ascii="仿宋_GB2312" w:eastAsia="仿宋_GB2312"/>
                <w:sz w:val="24"/>
              </w:rPr>
              <w:t>己取得</w:t>
            </w:r>
            <w:r>
              <w:rPr>
                <w:rFonts w:hint="eastAsia" w:ascii="仿宋_GB2312" w:eastAsia="仿宋_GB2312"/>
                <w:sz w:val="24"/>
                <w:lang w:eastAsia="zh-CN"/>
              </w:rPr>
              <w:t>卢龙县行政审批局的企业投资项目备案信息</w:t>
            </w:r>
            <w:r>
              <w:rPr>
                <w:rFonts w:ascii="仿宋_GB2312" w:eastAsia="仿宋_GB2312"/>
                <w:sz w:val="24"/>
              </w:rPr>
              <w:t>（</w:t>
            </w:r>
            <w:r>
              <w:rPr>
                <w:rFonts w:hint="eastAsia" w:ascii="仿宋_GB2312" w:eastAsia="仿宋_GB2312"/>
                <w:sz w:val="24"/>
                <w:lang w:eastAsia="zh-CN"/>
              </w:rPr>
              <w:t>卢行审备字</w:t>
            </w:r>
            <w:r>
              <w:rPr>
                <w:rFonts w:ascii="仿宋_GB2312" w:eastAsia="仿宋_GB2312"/>
                <w:sz w:val="24"/>
              </w:rPr>
              <w:t xml:space="preserve"> [</w:t>
            </w:r>
            <w:r>
              <w:rPr>
                <w:rFonts w:hint="eastAsia" w:ascii="仿宋_GB2312" w:eastAsia="仿宋_GB2312"/>
                <w:sz w:val="24"/>
                <w:lang w:val="en-US" w:eastAsia="zh-CN"/>
              </w:rPr>
              <w:t>2019</w:t>
            </w:r>
            <w:r>
              <w:rPr>
                <w:rFonts w:ascii="仿宋_GB2312" w:eastAsia="仿宋_GB2312"/>
                <w:sz w:val="24"/>
              </w:rPr>
              <w:t>]</w:t>
            </w:r>
            <w:r>
              <w:rPr>
                <w:rFonts w:hint="eastAsia" w:ascii="仿宋_GB2312" w:eastAsia="仿宋_GB2312"/>
                <w:sz w:val="24"/>
                <w:lang w:val="en-US" w:eastAsia="zh-CN"/>
              </w:rPr>
              <w:t>75</w:t>
            </w:r>
            <w:r>
              <w:rPr>
                <w:rFonts w:ascii="仿宋_GB2312" w:eastAsia="仿宋_GB2312"/>
                <w:sz w:val="24"/>
              </w:rPr>
              <w:t>号），符合</w:t>
            </w:r>
            <w:r>
              <w:rPr>
                <w:rFonts w:hint="eastAsia" w:ascii="仿宋_GB2312" w:eastAsia="仿宋_GB2312"/>
                <w:sz w:val="24"/>
              </w:rPr>
              <w:t>当前</w:t>
            </w:r>
            <w:r>
              <w:rPr>
                <w:rFonts w:ascii="仿宋_GB2312" w:eastAsia="仿宋_GB2312"/>
                <w:sz w:val="24"/>
              </w:rPr>
              <w:t>国家</w:t>
            </w:r>
            <w:r>
              <w:rPr>
                <w:rFonts w:hint="eastAsia" w:ascii="仿宋_GB2312" w:eastAsia="仿宋_GB2312"/>
                <w:sz w:val="24"/>
              </w:rPr>
              <w:t>和河北省</w:t>
            </w:r>
            <w:r>
              <w:rPr>
                <w:rFonts w:ascii="仿宋_GB2312" w:eastAsia="仿宋_GB2312"/>
                <w:sz w:val="24"/>
              </w:rPr>
              <w:t>产业政策</w:t>
            </w:r>
            <w:r>
              <w:rPr>
                <w:rFonts w:hint="eastAsia" w:ascii="仿宋_GB2312" w:eastAsia="仿宋_GB2312"/>
                <w:sz w:val="24"/>
              </w:rPr>
              <w:t>；</w:t>
            </w:r>
            <w:r>
              <w:rPr>
                <w:rFonts w:hint="eastAsia" w:ascii="仿宋_GB2312" w:eastAsia="仿宋_GB2312"/>
                <w:sz w:val="24"/>
                <w:lang w:eastAsia="zh-CN"/>
              </w:rPr>
              <w:t>项目租赁秦皇岛市卢龙长青机械制造有限责任公司闲置厂房进行建设，占地类型为工业用地（国有土地使用证：卢国用（</w:t>
            </w:r>
            <w:r>
              <w:rPr>
                <w:rFonts w:hint="eastAsia" w:ascii="仿宋_GB2312" w:eastAsia="仿宋_GB2312"/>
                <w:sz w:val="24"/>
                <w:lang w:val="en-US" w:eastAsia="zh-CN"/>
              </w:rPr>
              <w:t>2011</w:t>
            </w:r>
            <w:r>
              <w:rPr>
                <w:rFonts w:hint="eastAsia" w:ascii="仿宋_GB2312" w:eastAsia="仿宋_GB2312"/>
                <w:sz w:val="24"/>
                <w:lang w:eastAsia="zh-CN"/>
              </w:rPr>
              <w:t>）第</w:t>
            </w:r>
            <w:r>
              <w:rPr>
                <w:rFonts w:hint="eastAsia" w:ascii="仿宋_GB2312" w:eastAsia="仿宋_GB2312"/>
                <w:sz w:val="24"/>
                <w:lang w:val="en-US" w:eastAsia="zh-CN"/>
              </w:rPr>
              <w:t>162号</w:t>
            </w:r>
            <w:r>
              <w:rPr>
                <w:rFonts w:hint="eastAsia" w:ascii="仿宋_GB2312" w:eastAsia="仿宋_GB2312"/>
                <w:sz w:val="24"/>
                <w:lang w:eastAsia="zh-CN"/>
              </w:rPr>
              <w:t>）；秦皇岛市卢龙长青机械制造有限责任公司已取得房屋所有权证（秦皇岛市房权证秦卢私房字第</w:t>
            </w:r>
            <w:r>
              <w:rPr>
                <w:rFonts w:hint="eastAsia" w:ascii="仿宋_GB2312" w:eastAsia="仿宋_GB2312"/>
                <w:sz w:val="24"/>
                <w:lang w:val="en-US" w:eastAsia="zh-CN"/>
              </w:rPr>
              <w:t>3012712号</w:t>
            </w:r>
            <w:r>
              <w:rPr>
                <w:rFonts w:hint="eastAsia" w:ascii="仿宋_GB2312" w:eastAsia="仿宋_GB2312"/>
                <w:sz w:val="24"/>
                <w:lang w:eastAsia="zh-CN"/>
              </w:rPr>
              <w:t>），其中包括项目厂房；河北卢龙经济开发区管理委员会已出具了关于本项目的选址证明，项目符合河北卢龙经济开发区绿色化工园产业发展规划，同意入驻；项目的实施符合“三线一单”要求。</w:t>
            </w:r>
            <w:r>
              <w:rPr>
                <w:rFonts w:hint="eastAsia" w:ascii="仿宋_GB2312" w:eastAsia="仿宋_GB2312"/>
                <w:sz w:val="24"/>
              </w:rPr>
              <w:t>该项目报告表已通过了建设单位组织的专家论证。结合各有关方面意见，在认真落实报告表提出的污染防治措施等相关要求前提下，工程建设对环境的不利影响能够得到减缓和控制。我局</w:t>
            </w:r>
            <w:r>
              <w:rPr>
                <w:rFonts w:hint="eastAsia" w:ascii="仿宋_GB2312" w:eastAsia="仿宋_GB2312"/>
                <w:sz w:val="24"/>
                <w:lang w:eastAsia="zh-CN"/>
              </w:rPr>
              <w:t>原则</w:t>
            </w:r>
            <w:r>
              <w:rPr>
                <w:rFonts w:hint="eastAsia" w:ascii="仿宋_GB2312" w:eastAsia="仿宋_GB2312"/>
                <w:sz w:val="24"/>
              </w:rPr>
              <w:t>同意按照环境影响报告表中所列建设项目的内容、建设地点、规模和污染防治措施进行建设。</w:t>
            </w:r>
          </w:p>
          <w:p>
            <w:pPr>
              <w:keepNext w:val="0"/>
              <w:keepLines w:val="0"/>
              <w:pageBreakBefore w:val="0"/>
              <w:numPr>
                <w:ilvl w:val="0"/>
                <w:numId w:val="1"/>
              </w:numPr>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outlineLvl w:val="9"/>
              <w:rPr>
                <w:rFonts w:hint="eastAsia" w:ascii="仿宋_GB2312" w:eastAsia="仿宋_GB2312"/>
                <w:sz w:val="24"/>
              </w:rPr>
            </w:pPr>
            <w:r>
              <w:rPr>
                <w:rFonts w:hint="eastAsia" w:ascii="仿宋_GB2312" w:eastAsia="仿宋_GB2312"/>
                <w:sz w:val="24"/>
                <w:lang w:val="en-US" w:eastAsia="zh-CN"/>
              </w:rPr>
              <w:t>方维精细化工卢龙有限公司</w:t>
            </w:r>
            <w:r>
              <w:rPr>
                <w:rFonts w:hint="eastAsia" w:ascii="仿宋_GB2312" w:eastAsia="仿宋_GB2312"/>
                <w:sz w:val="24"/>
              </w:rPr>
              <w:t>要严格落实以下要求</w:t>
            </w:r>
          </w:p>
          <w:p>
            <w:pPr>
              <w:pStyle w:val="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outlineLvl w:val="9"/>
              <w:rPr>
                <w:rFonts w:hint="eastAsia" w:ascii="仿宋_GB2312" w:eastAsia="仿宋_GB2312"/>
                <w:sz w:val="24"/>
              </w:rPr>
            </w:pPr>
            <w:r>
              <w:rPr>
                <w:rFonts w:hint="eastAsia" w:ascii="仿宋_GB2312" w:eastAsia="仿宋_GB2312"/>
                <w:sz w:val="24"/>
                <w:lang w:val="en-US" w:eastAsia="zh-CN"/>
              </w:rPr>
              <w:t>1.</w:t>
            </w:r>
            <w:r>
              <w:rPr>
                <w:rFonts w:hint="eastAsia" w:ascii="仿宋_GB2312" w:eastAsia="仿宋_GB2312"/>
                <w:sz w:val="24"/>
              </w:rPr>
              <w:t>加强施工期环境管理，制定严格的规章制度，确保各项环保措施落实到位。选用低噪声施工机械，合理安排各类施工机械工作时间，确保施工场界噪声达到《建筑施工场界环境噪声排放标准》（GB12523-2011）要求；有效控制施工扬尘，确保施工扬尘满足《施工场地扬尘排放标准》（DB13/2934-2019）要求；妥善处置施工期固体废弃物，防止施工期间废水、扬尘、固废、噪声等污染环境。</w:t>
            </w:r>
          </w:p>
          <w:p>
            <w:pPr>
              <w:pStyle w:val="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2.严格落实大气污染防治工作。项目称量在车间固定位置进行并在上方设置集气罩，搅拌釜上方设集气罩，集气罩按照《挥发性有机物无组织排放控制标准》（GB37822-2019）要求规范设计，有机废气处理装置集气罩与颗粒物处理装置集气罩共用一套设施（本项目共使用6套搅拌釜，2台称量称（1用1备），共设置7个集气罩），项目产生的颗粒物及非甲烷总烃通过集气罩收集，先经过布袋除尘器，再通过“活性炭+UV光氧”设备处理，然后通过一根15米高排气筒（P1）排放，处理后废气中颗粒物排放执行《大气污染物综合排放标准》（GB16297-1996）表 2 中二级排放标准，非甲烷总烃排放执行《工业企业挥发性有机物排放控制标准》(DB13/2322-2016)中（其他行业）排放限值，臭气浓度排放执行《恶臭污染物排放标准》（GB14554-1993）续表2排放限值。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_GB2312" w:eastAsia="仿宋_GB2312"/>
                <w:sz w:val="24"/>
                <w:lang w:val="en-US" w:eastAsia="zh-CN"/>
              </w:rPr>
            </w:pPr>
            <w:r>
              <w:rPr>
                <w:rFonts w:hint="eastAsia" w:ascii="仿宋_GB2312" w:eastAsia="仿宋_GB2312"/>
                <w:sz w:val="24"/>
                <w:lang w:eastAsia="zh-CN"/>
              </w:rPr>
              <w:t>按照《关于加强重点工业源挥发性有机物排放在线监控工作的通知》（冀环办字函[2017]544号）的相关要求安装超标报警传感装置。</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_GB2312"/>
                <w:kern w:val="0"/>
                <w:sz w:val="24"/>
                <w:lang w:val="en-US" w:eastAsia="zh-CN"/>
              </w:rPr>
            </w:pPr>
            <w:r>
              <w:rPr>
                <w:rFonts w:hint="eastAsia" w:ascii="仿宋_GB2312" w:eastAsia="仿宋_GB2312"/>
                <w:sz w:val="24"/>
                <w:lang w:eastAsia="zh-CN"/>
              </w:rPr>
              <w:t>本项目设置</w:t>
            </w:r>
            <w:r>
              <w:rPr>
                <w:rFonts w:hint="eastAsia" w:ascii="仿宋_GB2312" w:eastAsia="仿宋_GB2312"/>
                <w:sz w:val="24"/>
                <w:lang w:val="en-US" w:eastAsia="zh-CN"/>
              </w:rPr>
              <w:t>100m的</w:t>
            </w:r>
            <w:r>
              <w:rPr>
                <w:rFonts w:hint="eastAsia" w:ascii="仿宋_GB2312" w:eastAsia="仿宋_GB2312"/>
                <w:sz w:val="24"/>
              </w:rPr>
              <w:t>卫生防护距离</w:t>
            </w:r>
            <w:r>
              <w:rPr>
                <w:rFonts w:hint="eastAsia" w:ascii="仿宋_GB2312" w:eastAsia="仿宋_GB2312"/>
                <w:sz w:val="24"/>
                <w:lang w:eastAsia="zh-CN"/>
              </w:rPr>
              <w:t>，</w:t>
            </w:r>
            <w:r>
              <w:rPr>
                <w:rFonts w:hint="eastAsia" w:ascii="仿宋_GB2312" w:eastAsia="仿宋_GB2312"/>
                <w:bCs/>
                <w:sz w:val="24"/>
              </w:rPr>
              <w:t>防护距离</w:t>
            </w:r>
            <w:r>
              <w:rPr>
                <w:rFonts w:hint="eastAsia" w:ascii="仿宋_GB2312" w:eastAsia="仿宋_GB2312"/>
                <w:sz w:val="24"/>
              </w:rPr>
              <w:t>范围内不得建设学校、医院、居民区等环境敏感点。</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仿宋_GB2312" w:eastAsia="仿宋_GB2312"/>
                <w:sz w:val="24"/>
                <w:highlight w:val="none"/>
                <w:lang w:eastAsia="zh-CN"/>
              </w:rPr>
            </w:pPr>
            <w:r>
              <w:rPr>
                <w:rFonts w:hint="eastAsia" w:ascii="仿宋_GB2312" w:eastAsia="仿宋_GB2312"/>
                <w:sz w:val="24"/>
                <w:highlight w:val="none"/>
                <w:lang w:eastAsia="zh-CN"/>
              </w:rPr>
              <w:t>加强水污染防治措施。项目生产用水为外购蒸馏水，全部进入到产品中，无生产废水产生；生活办公区依托</w:t>
            </w:r>
            <w:r>
              <w:rPr>
                <w:rFonts w:hint="eastAsia" w:ascii="仿宋_GB2312" w:eastAsia="仿宋_GB2312"/>
                <w:sz w:val="24"/>
                <w:highlight w:val="none"/>
                <w:lang w:val="en-US" w:eastAsia="zh-CN"/>
              </w:rPr>
              <w:t>长青机械公司内现有防渗</w:t>
            </w:r>
            <w:r>
              <w:rPr>
                <w:rFonts w:hint="eastAsia" w:ascii="仿宋_GB2312" w:eastAsia="仿宋_GB2312"/>
                <w:sz w:val="24"/>
                <w:highlight w:val="none"/>
                <w:lang w:eastAsia="zh-CN"/>
              </w:rPr>
              <w:t>旱厕，由附近村民定期清掏，用作农肥。</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imes New Roman" w:hAnsi="Times New Roman" w:eastAsia="仿宋_GB2312" w:cs="Times New Roman"/>
                <w:kern w:val="0"/>
                <w:sz w:val="24"/>
                <w:szCs w:val="24"/>
                <w:lang w:val="en-US" w:eastAsia="zh-CN" w:bidi="ar-SA"/>
              </w:rPr>
            </w:pPr>
            <w:r>
              <w:rPr>
                <w:rFonts w:hint="eastAsia" w:ascii="仿宋_GB2312" w:eastAsia="仿宋_GB2312"/>
                <w:sz w:val="24"/>
                <w:highlight w:val="none"/>
                <w:lang w:val="en-US" w:eastAsia="zh-CN"/>
              </w:rPr>
              <w:t>4.加强防腐、防渗措施，保护地下水环境。按环评要求对危险废物暂存间、生产车间、围堰、收集池等进行相应的防腐、防渗施工。</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ascii="仿宋_GB2312" w:eastAsia="仿宋_GB2312"/>
                <w:sz w:val="24"/>
              </w:rPr>
            </w:pPr>
            <w:r>
              <w:rPr>
                <w:rFonts w:hint="eastAsia" w:ascii="仿宋_GB2312" w:eastAsia="仿宋_GB2312"/>
                <w:sz w:val="24"/>
                <w:lang w:val="en-US" w:eastAsia="zh-CN"/>
              </w:rPr>
              <w:t>5.</w:t>
            </w:r>
            <w:r>
              <w:rPr>
                <w:rFonts w:ascii="仿宋_GB2312" w:eastAsia="仿宋_GB2312"/>
                <w:sz w:val="24"/>
              </w:rPr>
              <w:t>严格落实噪声污染防治措施。</w:t>
            </w:r>
            <w:r>
              <w:rPr>
                <w:rFonts w:hint="eastAsia" w:ascii="仿宋_GB2312" w:eastAsia="仿宋_GB2312"/>
                <w:sz w:val="24"/>
                <w:lang w:eastAsia="zh-CN"/>
              </w:rPr>
              <w:t>项目各类生产设备均放置于室内，设备自身基础安装减振装置</w:t>
            </w:r>
            <w:r>
              <w:rPr>
                <w:rFonts w:hint="eastAsia" w:ascii="仿宋_GB2312" w:eastAsia="仿宋_GB2312"/>
                <w:sz w:val="24"/>
              </w:rPr>
              <w:t>措施</w:t>
            </w:r>
            <w:r>
              <w:rPr>
                <w:rFonts w:hint="eastAsia" w:ascii="仿宋_GB2312" w:eastAsia="仿宋_GB2312"/>
                <w:sz w:val="24"/>
                <w:lang w:eastAsia="zh-CN"/>
              </w:rPr>
              <w:t>，</w:t>
            </w:r>
            <w:r>
              <w:rPr>
                <w:rFonts w:ascii="仿宋_GB2312" w:eastAsia="仿宋_GB2312"/>
                <w:sz w:val="24"/>
              </w:rPr>
              <w:t>厂界环境噪声</w:t>
            </w:r>
            <w:r>
              <w:rPr>
                <w:rFonts w:hint="eastAsia" w:ascii="仿宋_GB2312" w:eastAsia="仿宋_GB2312"/>
                <w:sz w:val="24"/>
                <w:lang w:eastAsia="zh-CN"/>
              </w:rPr>
              <w:t>须满足</w:t>
            </w:r>
            <w:r>
              <w:rPr>
                <w:rFonts w:ascii="仿宋_GB2312" w:eastAsia="仿宋_GB2312"/>
                <w:sz w:val="24"/>
              </w:rPr>
              <w:t>《工业企业厂界环境噪声排放标准》（GB12348-2008）</w:t>
            </w:r>
            <w:r>
              <w:rPr>
                <w:rFonts w:hint="eastAsia" w:ascii="仿宋_GB2312" w:eastAsia="仿宋_GB2312"/>
                <w:sz w:val="24"/>
              </w:rPr>
              <w:t>3</w:t>
            </w:r>
            <w:r>
              <w:rPr>
                <w:rFonts w:ascii="仿宋_GB2312" w:eastAsia="仿宋_GB2312"/>
                <w:sz w:val="24"/>
              </w:rPr>
              <w:t>类标准</w:t>
            </w:r>
            <w:r>
              <w:rPr>
                <w:rFonts w:hint="eastAsia" w:ascii="仿宋_GB2312" w:eastAsia="仿宋_GB2312"/>
                <w:sz w:val="24"/>
                <w:lang w:eastAsia="zh-CN"/>
              </w:rPr>
              <w:t>要求</w:t>
            </w:r>
            <w:r>
              <w:rPr>
                <w:rFonts w:ascii="仿宋_GB2312" w:eastAsia="仿宋_GB2312"/>
                <w:sz w:val="24"/>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6.</w:t>
            </w:r>
            <w:r>
              <w:rPr>
                <w:rFonts w:hint="eastAsia" w:ascii="仿宋_GB2312" w:eastAsia="仿宋_GB2312"/>
                <w:sz w:val="24"/>
                <w:highlight w:val="none"/>
              </w:rPr>
              <w:t>落实好固体废物的收集、处置措施。</w:t>
            </w:r>
            <w:r>
              <w:rPr>
                <w:rFonts w:hint="eastAsia" w:ascii="仿宋_GB2312" w:eastAsia="仿宋_GB2312"/>
                <w:sz w:val="24"/>
                <w:highlight w:val="none"/>
                <w:lang w:val="en-US" w:eastAsia="zh-CN"/>
              </w:rPr>
              <w:t>按照“资源化、减量化、无害化”的固废处置原则进行处置。项目产生的废包装材料、废活性炭、废过滤棉、废灯管、除尘灰属于危险废物，收集后暂存于厂区危险废物暂存间，定期委托有资质单位处置，项目建设危废间1座，面积15m</w:t>
            </w:r>
            <w:r>
              <w:rPr>
                <w:rFonts w:hint="eastAsia" w:ascii="仿宋_GB2312" w:eastAsia="仿宋_GB2312"/>
                <w:sz w:val="24"/>
                <w:highlight w:val="none"/>
                <w:vertAlign w:val="superscript"/>
                <w:lang w:val="en-US" w:eastAsia="zh-CN"/>
              </w:rPr>
              <w:t>2</w:t>
            </w:r>
            <w:r>
              <w:rPr>
                <w:rFonts w:hint="eastAsia" w:ascii="仿宋_GB2312" w:eastAsia="仿宋_GB2312"/>
                <w:sz w:val="24"/>
                <w:highlight w:val="none"/>
                <w:vertAlign w:val="baseline"/>
                <w:lang w:val="en-US" w:eastAsia="zh-CN"/>
              </w:rPr>
              <w:t>，</w:t>
            </w:r>
            <w:r>
              <w:rPr>
                <w:rFonts w:hint="eastAsia" w:ascii="仿宋_GB2312" w:eastAsia="仿宋_GB2312"/>
                <w:sz w:val="24"/>
                <w:highlight w:val="none"/>
                <w:lang w:val="en-US" w:eastAsia="zh-CN"/>
              </w:rPr>
              <w:t>危险废物暂存间建设须满足《危险废物储存污染控制标准》（GB18597-2001)及修改单要求；生活垃圾由环卫部门收集后统一处理。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落实《报告表》提出的</w:t>
            </w:r>
            <w:r>
              <w:rPr>
                <w:rFonts w:hint="eastAsia" w:ascii="仿宋_GB2312" w:eastAsia="仿宋_GB2312"/>
                <w:sz w:val="24"/>
                <w:lang w:eastAsia="zh-CN"/>
              </w:rPr>
              <w:t>各项</w:t>
            </w:r>
            <w:r>
              <w:rPr>
                <w:rFonts w:hint="eastAsia" w:ascii="仿宋_GB2312" w:eastAsia="仿宋_GB2312"/>
                <w:sz w:val="24"/>
              </w:rPr>
              <w:t>风险防范措施，项目</w:t>
            </w:r>
            <w:r>
              <w:rPr>
                <w:rFonts w:hint="eastAsia" w:ascii="仿宋_GB2312" w:eastAsia="仿宋_GB2312"/>
                <w:sz w:val="24"/>
                <w:lang w:val="en-US" w:eastAsia="zh-CN"/>
              </w:rPr>
              <w:t>车间内设置集水池、事故罐</w:t>
            </w:r>
            <w:r>
              <w:rPr>
                <w:rFonts w:hint="eastAsia" w:ascii="仿宋_GB2312" w:eastAsia="仿宋_GB2312"/>
                <w:sz w:val="24"/>
              </w:rPr>
              <w:t>，</w:t>
            </w:r>
            <w:r>
              <w:rPr>
                <w:rFonts w:hint="eastAsia" w:ascii="仿宋_GB2312" w:eastAsia="仿宋_GB2312"/>
                <w:sz w:val="24"/>
                <w:lang w:val="en-US" w:eastAsia="zh-CN"/>
              </w:rPr>
              <w:t>在搅拌釜周围设置围堰，原料库内设置导流沟、收集池，</w:t>
            </w:r>
            <w:r>
              <w:rPr>
                <w:rFonts w:hint="eastAsia" w:ascii="仿宋_GB2312" w:eastAsia="仿宋_GB2312"/>
                <w:sz w:val="24"/>
                <w:lang w:eastAsia="zh-CN"/>
              </w:rPr>
              <w:t>编写</w:t>
            </w:r>
            <w:r>
              <w:rPr>
                <w:rFonts w:hint="eastAsia" w:ascii="仿宋_GB2312" w:eastAsia="仿宋_GB2312"/>
                <w:sz w:val="24"/>
              </w:rPr>
              <w:t>应急预案</w:t>
            </w:r>
            <w:r>
              <w:rPr>
                <w:rFonts w:hint="eastAsia" w:ascii="仿宋_GB2312" w:eastAsia="仿宋_GB2312"/>
                <w:sz w:val="24"/>
                <w:lang w:eastAsia="zh-CN"/>
              </w:rPr>
              <w:t>并备案</w:t>
            </w:r>
            <w:r>
              <w:rPr>
                <w:rFonts w:hint="eastAsia" w:ascii="仿宋_GB2312" w:eastAsia="仿宋_GB2312"/>
                <w:sz w:val="24"/>
              </w:rPr>
              <w:t>，降低风险事故隐患。</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ascii="仿宋_GB2312" w:eastAsia="仿宋_GB2312"/>
                <w:bCs/>
                <w:sz w:val="24"/>
              </w:rPr>
            </w:pPr>
            <w:r>
              <w:rPr>
                <w:rFonts w:hint="eastAsia" w:ascii="仿宋_GB2312" w:eastAsia="仿宋_GB2312"/>
                <w:sz w:val="24"/>
                <w:lang w:val="en-US" w:eastAsia="zh-CN"/>
              </w:rPr>
              <w:t>8.</w:t>
            </w:r>
            <w:r>
              <w:rPr>
                <w:rFonts w:hint="eastAsia" w:ascii="仿宋_GB2312" w:eastAsia="仿宋_GB2312"/>
                <w:sz w:val="24"/>
              </w:rPr>
              <w:t>认真落实《报告表》中规定的污染防治措施</w:t>
            </w:r>
            <w:r>
              <w:rPr>
                <w:rFonts w:hint="eastAsia" w:ascii="仿宋_GB2312" w:eastAsia="仿宋_GB2312"/>
                <w:sz w:val="24"/>
                <w:lang w:eastAsia="zh-CN"/>
              </w:rPr>
              <w:t>和清洁生产要求</w:t>
            </w:r>
            <w:r>
              <w:rPr>
                <w:rFonts w:hint="eastAsia" w:ascii="仿宋_GB2312" w:eastAsia="仿宋_GB2312"/>
                <w:sz w:val="24"/>
              </w:rPr>
              <w:t>，</w:t>
            </w:r>
            <w:r>
              <w:rPr>
                <w:rFonts w:hint="eastAsia" w:ascii="仿宋_GB2312" w:eastAsia="仿宋_GB2312"/>
                <w:sz w:val="24"/>
                <w:lang w:eastAsia="zh-CN"/>
              </w:rPr>
              <w:t>企业</w:t>
            </w:r>
            <w:r>
              <w:rPr>
                <w:rFonts w:hint="eastAsia" w:ascii="仿宋_GB2312" w:eastAsia="仿宋_GB2312"/>
                <w:sz w:val="24"/>
              </w:rPr>
              <w:t>须按照</w:t>
            </w:r>
            <w:r>
              <w:rPr>
                <w:rFonts w:hint="eastAsia" w:ascii="仿宋_GB2312" w:eastAsia="仿宋_GB2312"/>
                <w:sz w:val="24"/>
                <w:lang w:eastAsia="zh-CN"/>
              </w:rPr>
              <w:t>国家</w:t>
            </w:r>
            <w:r>
              <w:rPr>
                <w:rFonts w:hint="eastAsia" w:ascii="仿宋_GB2312" w:eastAsia="仿宋_GB2312"/>
                <w:sz w:val="24"/>
              </w:rPr>
              <w:t>排污许可证</w:t>
            </w:r>
            <w:r>
              <w:rPr>
                <w:rFonts w:hint="eastAsia" w:ascii="仿宋_GB2312" w:eastAsia="仿宋_GB2312"/>
                <w:sz w:val="24"/>
                <w:lang w:eastAsia="zh-CN"/>
              </w:rPr>
              <w:t>发放程序和规定</w:t>
            </w:r>
            <w:r>
              <w:rPr>
                <w:rFonts w:hint="eastAsia" w:ascii="仿宋_GB2312" w:eastAsia="仿宋_GB2312"/>
                <w:sz w:val="24"/>
              </w:rPr>
              <w:t>，</w:t>
            </w:r>
            <w:r>
              <w:rPr>
                <w:rFonts w:hint="eastAsia" w:ascii="仿宋_GB2312" w:eastAsia="仿宋_GB2312"/>
                <w:sz w:val="24"/>
                <w:lang w:eastAsia="zh-CN"/>
              </w:rPr>
              <w:t>办理排污许可证手续</w:t>
            </w:r>
            <w:r>
              <w:rPr>
                <w:rFonts w:hint="eastAsia" w:ascii="仿宋_GB2312" w:eastAsia="仿宋_GB2312"/>
                <w:sz w:val="24"/>
              </w:rPr>
              <w:t xml:space="preserve">。 </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ascii="仿宋_GB2312" w:eastAsia="仿宋_GB2312"/>
                <w:sz w:val="24"/>
              </w:rPr>
            </w:pPr>
            <w:r>
              <w:rPr>
                <w:rFonts w:hint="eastAsia" w:ascii="仿宋_GB2312" w:eastAsia="仿宋_GB2312"/>
                <w:sz w:val="24"/>
                <w:lang w:val="en-US" w:eastAsia="zh-CN"/>
              </w:rPr>
              <w:t>9</w:t>
            </w:r>
            <w:r>
              <w:rPr>
                <w:rFonts w:hint="eastAsia" w:ascii="仿宋_GB2312" w:eastAsia="仿宋_GB2312"/>
                <w:sz w:val="24"/>
              </w:rPr>
              <w:t>、落实《报告表》其他环境管理要求。</w:t>
            </w:r>
          </w:p>
          <w:p>
            <w:pPr>
              <w:pStyle w:val="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firstLine="480" w:firstLineChars="200"/>
              <w:textAlignment w:val="auto"/>
              <w:rPr>
                <w:rFonts w:hint="eastAsia" w:eastAsia="仿宋_GB2312"/>
                <w:lang w:eastAsia="zh-CN"/>
              </w:rPr>
            </w:pPr>
            <w:r>
              <w:rPr>
                <w:rFonts w:hint="eastAsia" w:ascii="仿宋_GB2312" w:eastAsia="仿宋_GB2312"/>
                <w:sz w:val="24"/>
                <w:lang w:eastAsia="zh-CN"/>
              </w:rPr>
              <w:t>三、进一步强化污染源管理工作。按照国家和地方有关规定，建设规范的污染物排放口，设立标志牌。对《报告表》要求的监测内容定期开展监测，企业应按照环境监测管理规定和技术规范的要求，设计、建设、维护永久性采样口、采样测试平台。</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ascii="仿宋_GB2312" w:eastAsia="仿宋_GB2312"/>
                <w:sz w:val="24"/>
              </w:rPr>
            </w:pPr>
            <w:r>
              <w:rPr>
                <w:rFonts w:hint="eastAsia" w:ascii="仿宋_GB2312" w:eastAsia="仿宋_GB2312"/>
                <w:sz w:val="24"/>
                <w:lang w:eastAsia="zh-CN"/>
              </w:rPr>
              <w:t>四</w:t>
            </w:r>
            <w:r>
              <w:rPr>
                <w:rFonts w:hint="eastAsia" w:ascii="仿宋_GB2312" w:eastAsia="仿宋_GB2312"/>
                <w:sz w:val="24"/>
              </w:rPr>
              <w:t>、项目建设必须严格执行配套建设的环境保护设施与主体工程同时设计、同时施工、同时投入使用的环境保护“三同时”制度。项目竣工后，须按规定程序组织环境保护验收。验收合格后，方可正式投入使用</w:t>
            </w:r>
            <w:r>
              <w:rPr>
                <w:rFonts w:hint="eastAsia" w:ascii="仿宋_GB2312" w:eastAsia="仿宋_GB2312"/>
                <w:sz w:val="24"/>
                <w:lang w:eastAsia="zh-CN"/>
              </w:rPr>
              <w:t>；</w:t>
            </w:r>
            <w:r>
              <w:rPr>
                <w:rFonts w:hint="eastAsia" w:ascii="仿宋_GB2312" w:eastAsia="仿宋_GB2312"/>
                <w:sz w:val="24"/>
                <w:lang w:val="en-US" w:eastAsia="zh-CN"/>
              </w:rPr>
              <w:t>未经验收或者验收不合格的，不得投入生产或者使用</w:t>
            </w:r>
            <w:r>
              <w:rPr>
                <w:rFonts w:hint="eastAsia" w:ascii="仿宋_GB2312" w:eastAsia="仿宋_GB2312"/>
                <w:sz w:val="24"/>
              </w:rPr>
              <w:t>。本项目环境影响评价文件经批准后，如设计和施工变化造成工程性质、规模、工艺、防治污染的措施发生重大变动的，应当在调整前重新报批本项目环境影响评价文件。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ascii="仿宋_GB2312" w:eastAsia="仿宋_GB2312"/>
                <w:sz w:val="24"/>
              </w:rPr>
            </w:pPr>
            <w:r>
              <w:rPr>
                <w:rFonts w:hint="eastAsia" w:ascii="仿宋_GB2312" w:eastAsia="仿宋_GB2312"/>
                <w:sz w:val="24"/>
                <w:lang w:eastAsia="zh-CN"/>
              </w:rPr>
              <w:t>五</w:t>
            </w:r>
            <w:r>
              <w:rPr>
                <w:rFonts w:hint="eastAsia" w:ascii="仿宋_GB2312" w:eastAsia="仿宋_GB2312"/>
                <w:sz w:val="24"/>
              </w:rPr>
              <w:t>、</w:t>
            </w:r>
            <w:r>
              <w:rPr>
                <w:rFonts w:hint="eastAsia" w:ascii="仿宋_GB2312" w:hAnsi="仿宋" w:eastAsia="仿宋_GB2312"/>
                <w:sz w:val="24"/>
              </w:rPr>
              <w:t>你单位在接到本批复后的10个工作日内，须将环评报告表及其批复送秦皇岛市</w:t>
            </w:r>
            <w:r>
              <w:rPr>
                <w:rFonts w:hint="eastAsia" w:ascii="仿宋_GB2312" w:hAnsi="仿宋" w:eastAsia="仿宋_GB2312"/>
                <w:sz w:val="24"/>
                <w:lang w:eastAsia="zh-CN"/>
              </w:rPr>
              <w:t>生态环境</w:t>
            </w:r>
            <w:r>
              <w:rPr>
                <w:rFonts w:hint="eastAsia" w:ascii="仿宋_GB2312" w:hAnsi="仿宋" w:eastAsia="仿宋_GB2312"/>
                <w:sz w:val="24"/>
              </w:rPr>
              <w:t>局</w:t>
            </w:r>
            <w:r>
              <w:rPr>
                <w:rFonts w:hint="eastAsia" w:ascii="仿宋_GB2312" w:hAnsi="仿宋" w:eastAsia="仿宋_GB2312"/>
                <w:sz w:val="24"/>
                <w:lang w:eastAsia="zh-CN"/>
              </w:rPr>
              <w:t>卢龙县</w:t>
            </w:r>
            <w:r>
              <w:rPr>
                <w:rFonts w:hint="eastAsia" w:ascii="仿宋_GB2312" w:hAnsi="仿宋" w:eastAsia="仿宋_GB2312"/>
                <w:sz w:val="24"/>
              </w:rPr>
              <w:t>分局等相关部门，日常监督管理由</w:t>
            </w:r>
            <w:r>
              <w:rPr>
                <w:rFonts w:hint="eastAsia" w:ascii="仿宋_GB2312" w:hAnsi="仿宋" w:eastAsia="仿宋_GB2312"/>
                <w:sz w:val="24"/>
                <w:lang w:eastAsia="zh-CN"/>
              </w:rPr>
              <w:t>卢龙县</w:t>
            </w:r>
            <w:r>
              <w:rPr>
                <w:rFonts w:hint="eastAsia" w:ascii="仿宋_GB2312" w:hAnsi="仿宋" w:eastAsia="仿宋_GB2312"/>
                <w:sz w:val="24"/>
              </w:rPr>
              <w:t>分局负责</w:t>
            </w:r>
            <w:r>
              <w:rPr>
                <w:rFonts w:hint="eastAsia" w:ascii="仿宋_GB2312" w:hAnsi="仿宋" w:eastAsia="仿宋_GB2312"/>
                <w:sz w:val="24"/>
                <w:lang w:eastAsia="zh-CN"/>
              </w:rPr>
              <w:t>，</w:t>
            </w:r>
            <w:r>
              <w:rPr>
                <w:rFonts w:hint="eastAsia" w:ascii="仿宋_GB2312" w:hAnsi="仿宋" w:eastAsia="仿宋_GB2312"/>
                <w:sz w:val="24"/>
                <w:lang w:val="en-US" w:eastAsia="zh-CN"/>
              </w:rPr>
              <w:t>并按规定接受各级生态环境主管部门的监督检查</w:t>
            </w:r>
            <w:r>
              <w:rPr>
                <w:rFonts w:hint="eastAsia" w:ascii="仿宋_GB2312" w:hAnsi="仿宋" w:eastAsia="仿宋_GB2312"/>
                <w:sz w:val="24"/>
              </w:rPr>
              <w:t>。建设单位须定期向</w:t>
            </w:r>
            <w:r>
              <w:rPr>
                <w:rFonts w:hint="eastAsia" w:ascii="仿宋_GB2312" w:hAnsi="仿宋" w:eastAsia="仿宋_GB2312"/>
                <w:sz w:val="24"/>
                <w:lang w:eastAsia="zh-CN"/>
              </w:rPr>
              <w:t>卢龙县</w:t>
            </w:r>
            <w:r>
              <w:rPr>
                <w:rFonts w:hint="eastAsia" w:ascii="仿宋_GB2312" w:hAnsi="仿宋" w:eastAsia="仿宋_GB2312"/>
                <w:sz w:val="24"/>
              </w:rPr>
              <w:t>分局报告“三同时”完成情况。</w:t>
            </w:r>
          </w:p>
          <w:p>
            <w:pPr>
              <w:keepNext w:val="0"/>
              <w:keepLines w:val="0"/>
              <w:suppressLineNumbers w:val="0"/>
              <w:adjustRightInd w:val="0"/>
              <w:snapToGrid w:val="0"/>
              <w:spacing w:before="0" w:beforeAutospacing="0" w:after="0" w:afterAutospacing="0" w:line="500" w:lineRule="exact"/>
              <w:ind w:left="0" w:right="0" w:firstLine="480" w:firstLineChars="200"/>
              <w:rPr>
                <w:rFonts w:ascii="仿宋_GB2312" w:eastAsia="仿宋_GB2312"/>
                <w:sz w:val="24"/>
              </w:rPr>
            </w:pPr>
          </w:p>
          <w:p>
            <w:pPr>
              <w:keepNext w:val="0"/>
              <w:keepLines w:val="0"/>
              <w:suppressLineNumbers w:val="0"/>
              <w:adjustRightInd w:val="0"/>
              <w:snapToGrid w:val="0"/>
              <w:spacing w:before="0" w:beforeAutospacing="0" w:after="0" w:afterAutospacing="0" w:line="500" w:lineRule="exact"/>
              <w:ind w:left="0" w:right="0" w:firstLine="480" w:firstLineChars="200"/>
              <w:rPr>
                <w:rFonts w:ascii="仿宋_GB2312" w:eastAsia="仿宋_GB2312"/>
                <w:sz w:val="24"/>
              </w:rPr>
            </w:pPr>
          </w:p>
          <w:p>
            <w:pPr>
              <w:keepNext w:val="0"/>
              <w:keepLines w:val="0"/>
              <w:suppressLineNumbers w:val="0"/>
              <w:adjustRightInd w:val="0"/>
              <w:snapToGrid w:val="0"/>
              <w:spacing w:before="0" w:beforeAutospacing="0" w:after="0" w:afterAutospacing="0" w:line="500" w:lineRule="exact"/>
              <w:ind w:left="0" w:right="0" w:firstLine="480" w:firstLineChars="200"/>
              <w:rPr>
                <w:rFonts w:ascii="仿宋_GB2312" w:eastAsia="仿宋_GB2312"/>
                <w:sz w:val="24"/>
              </w:rPr>
            </w:pPr>
          </w:p>
          <w:p>
            <w:pPr>
              <w:keepNext w:val="0"/>
              <w:keepLines w:val="0"/>
              <w:suppressLineNumbers w:val="0"/>
              <w:adjustRightInd w:val="0"/>
              <w:snapToGrid w:val="0"/>
              <w:spacing w:before="0" w:beforeAutospacing="0" w:after="0" w:afterAutospacing="0" w:line="500" w:lineRule="exact"/>
              <w:ind w:left="0" w:right="0" w:firstLine="480" w:firstLineChars="200"/>
              <w:rPr>
                <w:rFonts w:ascii="仿宋_GB2312" w:eastAsia="仿宋_GB2312"/>
                <w:sz w:val="24"/>
              </w:rPr>
            </w:pPr>
          </w:p>
          <w:p>
            <w:pPr>
              <w:keepNext w:val="0"/>
              <w:keepLines w:val="0"/>
              <w:suppressLineNumbers w:val="0"/>
              <w:adjustRightInd w:val="0"/>
              <w:snapToGrid w:val="0"/>
              <w:spacing w:before="0" w:beforeAutospacing="0" w:after="0" w:afterAutospacing="0" w:line="360" w:lineRule="exact"/>
              <w:ind w:left="0" w:right="0" w:firstLine="6264" w:firstLineChars="2600"/>
              <w:rPr>
                <w:rFonts w:ascii="宋体" w:hAnsi="宋体"/>
                <w:b/>
                <w:sz w:val="24"/>
              </w:rPr>
            </w:pPr>
            <w:r>
              <w:rPr>
                <w:rFonts w:hint="eastAsia" w:ascii="宋体" w:hAnsi="宋体"/>
                <w:b/>
                <w:sz w:val="24"/>
              </w:rPr>
              <w:t>公   章</w:t>
            </w:r>
          </w:p>
          <w:p>
            <w:pPr>
              <w:keepNext w:val="0"/>
              <w:keepLines w:val="0"/>
              <w:suppressLineNumbers w:val="0"/>
              <w:adjustRightInd w:val="0"/>
              <w:snapToGrid w:val="0"/>
              <w:spacing w:before="0" w:beforeAutospacing="0" w:after="0" w:afterAutospacing="0" w:line="360" w:lineRule="exact"/>
              <w:ind w:left="0" w:right="0"/>
              <w:rPr>
                <w:rFonts w:ascii="宋体" w:hAnsi="宋体"/>
                <w:b/>
                <w:sz w:val="24"/>
              </w:rPr>
            </w:pPr>
            <w:r>
              <w:rPr>
                <w:rFonts w:hint="eastAsia" w:ascii="宋体" w:hAnsi="宋体"/>
                <w:b/>
                <w:sz w:val="24"/>
              </w:rPr>
              <w:t xml:space="preserve">经办人：                                          </w:t>
            </w:r>
          </w:p>
          <w:p>
            <w:pPr>
              <w:keepNext w:val="0"/>
              <w:keepLines w:val="0"/>
              <w:suppressLineNumbers w:val="0"/>
              <w:adjustRightInd w:val="0"/>
              <w:snapToGrid w:val="0"/>
              <w:spacing w:before="0" w:beforeAutospacing="0" w:after="0" w:afterAutospacing="0" w:line="360" w:lineRule="exact"/>
              <w:ind w:left="0" w:right="0" w:firstLine="5860" w:firstLineChars="2442"/>
              <w:rPr>
                <w:rFonts w:ascii="宋体" w:hAnsi="宋体"/>
                <w:sz w:val="24"/>
              </w:rPr>
            </w:pPr>
          </w:p>
          <w:p>
            <w:pPr>
              <w:keepNext w:val="0"/>
              <w:keepLines w:val="0"/>
              <w:suppressLineNumbers w:val="0"/>
              <w:adjustRightInd w:val="0"/>
              <w:snapToGrid w:val="0"/>
              <w:spacing w:before="0" w:beforeAutospacing="0" w:after="0" w:afterAutospacing="0" w:line="360" w:lineRule="exact"/>
              <w:ind w:left="0" w:right="0" w:firstLine="5860" w:firstLineChars="2442"/>
              <w:rPr>
                <w:rFonts w:ascii="仿宋_GB2312" w:hAnsi="宋体" w:eastAsia="仿宋_GB2312"/>
                <w:b/>
                <w:sz w:val="24"/>
              </w:rPr>
            </w:pP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 xml:space="preserve"> 3</w:t>
            </w:r>
            <w:r>
              <w:rPr>
                <w:rFonts w:hint="eastAsia" w:ascii="宋体" w:hAnsi="宋体"/>
                <w:sz w:val="24"/>
              </w:rPr>
              <w:t>月</w:t>
            </w:r>
            <w:r>
              <w:rPr>
                <w:rFonts w:hint="eastAsia" w:ascii="宋体" w:hAnsi="宋体"/>
                <w:sz w:val="24"/>
                <w:lang w:val="en-US" w:eastAsia="zh-CN"/>
              </w:rPr>
              <w:t xml:space="preserve">27 </w:t>
            </w:r>
            <w:r>
              <w:rPr>
                <w:rFonts w:hint="eastAsia" w:ascii="宋体" w:hAnsi="宋体"/>
                <w:sz w:val="24"/>
              </w:rPr>
              <w:t>日</w:t>
            </w:r>
          </w:p>
        </w:tc>
      </w:tr>
    </w:tbl>
    <w:p/>
    <w:sectPr>
      <w:head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E81FA"/>
    <w:multiLevelType w:val="singleLevel"/>
    <w:tmpl w:val="B5BE81FA"/>
    <w:lvl w:ilvl="0" w:tentative="0">
      <w:start w:val="2"/>
      <w:numFmt w:val="chineseCounting"/>
      <w:suff w:val="nothing"/>
      <w:lvlText w:val="%1、"/>
      <w:lvlJc w:val="left"/>
      <w:rPr>
        <w:rFonts w:hint="eastAsia"/>
      </w:rPr>
    </w:lvl>
  </w:abstractNum>
  <w:abstractNum w:abstractNumId="1">
    <w:nsid w:val="E9A4369E"/>
    <w:multiLevelType w:val="singleLevel"/>
    <w:tmpl w:val="E9A4369E"/>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NotTrackMoves/>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C95"/>
    <w:rsid w:val="00006071"/>
    <w:rsid w:val="000162CD"/>
    <w:rsid w:val="00026154"/>
    <w:rsid w:val="00041F83"/>
    <w:rsid w:val="00044FCD"/>
    <w:rsid w:val="00051256"/>
    <w:rsid w:val="00092092"/>
    <w:rsid w:val="000A5F1E"/>
    <w:rsid w:val="000A735F"/>
    <w:rsid w:val="000B60A3"/>
    <w:rsid w:val="000D0048"/>
    <w:rsid w:val="00113E65"/>
    <w:rsid w:val="001142A1"/>
    <w:rsid w:val="00114B85"/>
    <w:rsid w:val="00115B46"/>
    <w:rsid w:val="00116C9E"/>
    <w:rsid w:val="001205B2"/>
    <w:rsid w:val="00123957"/>
    <w:rsid w:val="00133E0E"/>
    <w:rsid w:val="00150DF2"/>
    <w:rsid w:val="00160F0F"/>
    <w:rsid w:val="00174195"/>
    <w:rsid w:val="0018268F"/>
    <w:rsid w:val="00190745"/>
    <w:rsid w:val="00193638"/>
    <w:rsid w:val="00196C26"/>
    <w:rsid w:val="001A30CF"/>
    <w:rsid w:val="001B4DB1"/>
    <w:rsid w:val="001B7270"/>
    <w:rsid w:val="001E4EF4"/>
    <w:rsid w:val="001E784C"/>
    <w:rsid w:val="002048B9"/>
    <w:rsid w:val="002154B4"/>
    <w:rsid w:val="00221FD5"/>
    <w:rsid w:val="002226DB"/>
    <w:rsid w:val="00223222"/>
    <w:rsid w:val="00225102"/>
    <w:rsid w:val="002412E3"/>
    <w:rsid w:val="00247A5D"/>
    <w:rsid w:val="00262778"/>
    <w:rsid w:val="00263974"/>
    <w:rsid w:val="0026405C"/>
    <w:rsid w:val="002640F1"/>
    <w:rsid w:val="0028002E"/>
    <w:rsid w:val="00294A84"/>
    <w:rsid w:val="002A145E"/>
    <w:rsid w:val="002B28B3"/>
    <w:rsid w:val="002B4678"/>
    <w:rsid w:val="002B7A4C"/>
    <w:rsid w:val="002D3D41"/>
    <w:rsid w:val="002E4652"/>
    <w:rsid w:val="002F09F6"/>
    <w:rsid w:val="002F4499"/>
    <w:rsid w:val="00320E2B"/>
    <w:rsid w:val="003340AA"/>
    <w:rsid w:val="003379D7"/>
    <w:rsid w:val="00337F0C"/>
    <w:rsid w:val="003404BD"/>
    <w:rsid w:val="00341434"/>
    <w:rsid w:val="00343308"/>
    <w:rsid w:val="00381DBC"/>
    <w:rsid w:val="00385F55"/>
    <w:rsid w:val="00394FE3"/>
    <w:rsid w:val="00397CCE"/>
    <w:rsid w:val="00397FEC"/>
    <w:rsid w:val="003A4424"/>
    <w:rsid w:val="003C3F3F"/>
    <w:rsid w:val="003E0E6C"/>
    <w:rsid w:val="003E651D"/>
    <w:rsid w:val="003F5822"/>
    <w:rsid w:val="00404E78"/>
    <w:rsid w:val="00405D06"/>
    <w:rsid w:val="0042152F"/>
    <w:rsid w:val="00437CDD"/>
    <w:rsid w:val="004417A3"/>
    <w:rsid w:val="00441CEA"/>
    <w:rsid w:val="00444826"/>
    <w:rsid w:val="00463B17"/>
    <w:rsid w:val="00475D7B"/>
    <w:rsid w:val="00480419"/>
    <w:rsid w:val="00487C12"/>
    <w:rsid w:val="00492A2F"/>
    <w:rsid w:val="00496568"/>
    <w:rsid w:val="004A293D"/>
    <w:rsid w:val="004A3C75"/>
    <w:rsid w:val="004A5984"/>
    <w:rsid w:val="004B5056"/>
    <w:rsid w:val="004C0042"/>
    <w:rsid w:val="004C7EE2"/>
    <w:rsid w:val="004D1366"/>
    <w:rsid w:val="004E7EE2"/>
    <w:rsid w:val="004F042D"/>
    <w:rsid w:val="00543BFC"/>
    <w:rsid w:val="00546BAF"/>
    <w:rsid w:val="00547B8B"/>
    <w:rsid w:val="005506CD"/>
    <w:rsid w:val="0057115E"/>
    <w:rsid w:val="005768DC"/>
    <w:rsid w:val="00592606"/>
    <w:rsid w:val="00594D43"/>
    <w:rsid w:val="005B2E37"/>
    <w:rsid w:val="005C72F8"/>
    <w:rsid w:val="005D7BC5"/>
    <w:rsid w:val="005E082E"/>
    <w:rsid w:val="005E39DA"/>
    <w:rsid w:val="005E4414"/>
    <w:rsid w:val="005F50AC"/>
    <w:rsid w:val="005F5D99"/>
    <w:rsid w:val="00603158"/>
    <w:rsid w:val="006144CD"/>
    <w:rsid w:val="00621AE7"/>
    <w:rsid w:val="00626873"/>
    <w:rsid w:val="0063183C"/>
    <w:rsid w:val="00632B3C"/>
    <w:rsid w:val="00632E85"/>
    <w:rsid w:val="006460F7"/>
    <w:rsid w:val="00646302"/>
    <w:rsid w:val="006713F9"/>
    <w:rsid w:val="00683604"/>
    <w:rsid w:val="00685517"/>
    <w:rsid w:val="00692D59"/>
    <w:rsid w:val="006A3D40"/>
    <w:rsid w:val="006C6B28"/>
    <w:rsid w:val="006D21FA"/>
    <w:rsid w:val="006D3708"/>
    <w:rsid w:val="006D4085"/>
    <w:rsid w:val="006D4342"/>
    <w:rsid w:val="006E1652"/>
    <w:rsid w:val="006E503A"/>
    <w:rsid w:val="006F512D"/>
    <w:rsid w:val="00702C91"/>
    <w:rsid w:val="007104E4"/>
    <w:rsid w:val="007116F7"/>
    <w:rsid w:val="00743514"/>
    <w:rsid w:val="0075048E"/>
    <w:rsid w:val="00753844"/>
    <w:rsid w:val="00754515"/>
    <w:rsid w:val="00763575"/>
    <w:rsid w:val="00767743"/>
    <w:rsid w:val="0078028C"/>
    <w:rsid w:val="00780BA6"/>
    <w:rsid w:val="0078263F"/>
    <w:rsid w:val="007858A6"/>
    <w:rsid w:val="00790206"/>
    <w:rsid w:val="00794A29"/>
    <w:rsid w:val="00796811"/>
    <w:rsid w:val="007A4AA1"/>
    <w:rsid w:val="007A65C8"/>
    <w:rsid w:val="007B021D"/>
    <w:rsid w:val="007B5C24"/>
    <w:rsid w:val="007C33CE"/>
    <w:rsid w:val="007D1532"/>
    <w:rsid w:val="007D1B05"/>
    <w:rsid w:val="007E2EFF"/>
    <w:rsid w:val="007E4C02"/>
    <w:rsid w:val="007F14F8"/>
    <w:rsid w:val="007F5CDE"/>
    <w:rsid w:val="00801CB4"/>
    <w:rsid w:val="00820F47"/>
    <w:rsid w:val="008221DB"/>
    <w:rsid w:val="00825E4A"/>
    <w:rsid w:val="00843126"/>
    <w:rsid w:val="00850385"/>
    <w:rsid w:val="0085118E"/>
    <w:rsid w:val="00855AC3"/>
    <w:rsid w:val="0086331F"/>
    <w:rsid w:val="00875996"/>
    <w:rsid w:val="00883A5B"/>
    <w:rsid w:val="008859CC"/>
    <w:rsid w:val="008967D4"/>
    <w:rsid w:val="008B4AAC"/>
    <w:rsid w:val="008C7EA8"/>
    <w:rsid w:val="008D77E0"/>
    <w:rsid w:val="008E6BD2"/>
    <w:rsid w:val="008F3694"/>
    <w:rsid w:val="008F42FC"/>
    <w:rsid w:val="0090222F"/>
    <w:rsid w:val="009048F6"/>
    <w:rsid w:val="009204D7"/>
    <w:rsid w:val="009235E8"/>
    <w:rsid w:val="00927F54"/>
    <w:rsid w:val="009377AE"/>
    <w:rsid w:val="0094017D"/>
    <w:rsid w:val="00945456"/>
    <w:rsid w:val="009457C1"/>
    <w:rsid w:val="009474BA"/>
    <w:rsid w:val="00956102"/>
    <w:rsid w:val="009820B6"/>
    <w:rsid w:val="009C3894"/>
    <w:rsid w:val="009C410C"/>
    <w:rsid w:val="009C41D3"/>
    <w:rsid w:val="009C7E4D"/>
    <w:rsid w:val="009E763F"/>
    <w:rsid w:val="009F69BF"/>
    <w:rsid w:val="00A00A6C"/>
    <w:rsid w:val="00A040FA"/>
    <w:rsid w:val="00A40CBC"/>
    <w:rsid w:val="00A478A9"/>
    <w:rsid w:val="00A5126A"/>
    <w:rsid w:val="00A542B3"/>
    <w:rsid w:val="00A62216"/>
    <w:rsid w:val="00A62332"/>
    <w:rsid w:val="00A806A4"/>
    <w:rsid w:val="00A94947"/>
    <w:rsid w:val="00A9798F"/>
    <w:rsid w:val="00AA4D5E"/>
    <w:rsid w:val="00AB0054"/>
    <w:rsid w:val="00AB0EED"/>
    <w:rsid w:val="00AC0199"/>
    <w:rsid w:val="00AC4932"/>
    <w:rsid w:val="00AC619E"/>
    <w:rsid w:val="00AD4E83"/>
    <w:rsid w:val="00B02032"/>
    <w:rsid w:val="00B02C10"/>
    <w:rsid w:val="00B21819"/>
    <w:rsid w:val="00B2348E"/>
    <w:rsid w:val="00B33A8A"/>
    <w:rsid w:val="00B4039E"/>
    <w:rsid w:val="00B429F5"/>
    <w:rsid w:val="00B42D77"/>
    <w:rsid w:val="00B45CFC"/>
    <w:rsid w:val="00B471E3"/>
    <w:rsid w:val="00B50F4B"/>
    <w:rsid w:val="00B57CDF"/>
    <w:rsid w:val="00B63F81"/>
    <w:rsid w:val="00B77134"/>
    <w:rsid w:val="00B835EA"/>
    <w:rsid w:val="00B85695"/>
    <w:rsid w:val="00B91F72"/>
    <w:rsid w:val="00BB43C0"/>
    <w:rsid w:val="00BC03C8"/>
    <w:rsid w:val="00BD436A"/>
    <w:rsid w:val="00BE79DC"/>
    <w:rsid w:val="00BF1015"/>
    <w:rsid w:val="00C131B5"/>
    <w:rsid w:val="00C2050E"/>
    <w:rsid w:val="00C2331B"/>
    <w:rsid w:val="00C3008D"/>
    <w:rsid w:val="00C36479"/>
    <w:rsid w:val="00C558C6"/>
    <w:rsid w:val="00C64C3A"/>
    <w:rsid w:val="00CA027D"/>
    <w:rsid w:val="00CA3941"/>
    <w:rsid w:val="00CB3379"/>
    <w:rsid w:val="00CB367A"/>
    <w:rsid w:val="00CB56F6"/>
    <w:rsid w:val="00CB5C4C"/>
    <w:rsid w:val="00CC2396"/>
    <w:rsid w:val="00CF308C"/>
    <w:rsid w:val="00D02ACD"/>
    <w:rsid w:val="00D26890"/>
    <w:rsid w:val="00D45F28"/>
    <w:rsid w:val="00D55102"/>
    <w:rsid w:val="00D5732C"/>
    <w:rsid w:val="00D63684"/>
    <w:rsid w:val="00D92C1C"/>
    <w:rsid w:val="00D93657"/>
    <w:rsid w:val="00D95B9F"/>
    <w:rsid w:val="00D97470"/>
    <w:rsid w:val="00DA3B04"/>
    <w:rsid w:val="00DB1114"/>
    <w:rsid w:val="00DB3F49"/>
    <w:rsid w:val="00DC2D48"/>
    <w:rsid w:val="00DC4B6F"/>
    <w:rsid w:val="00DC73F7"/>
    <w:rsid w:val="00DD118D"/>
    <w:rsid w:val="00DD69C7"/>
    <w:rsid w:val="00DE1038"/>
    <w:rsid w:val="00DE1F4A"/>
    <w:rsid w:val="00DE38FE"/>
    <w:rsid w:val="00DF4742"/>
    <w:rsid w:val="00E152C1"/>
    <w:rsid w:val="00E27280"/>
    <w:rsid w:val="00E44836"/>
    <w:rsid w:val="00E56284"/>
    <w:rsid w:val="00E736C8"/>
    <w:rsid w:val="00E865BA"/>
    <w:rsid w:val="00E9084E"/>
    <w:rsid w:val="00EA173D"/>
    <w:rsid w:val="00EA35C4"/>
    <w:rsid w:val="00EA379D"/>
    <w:rsid w:val="00EB7818"/>
    <w:rsid w:val="00EC3A0A"/>
    <w:rsid w:val="00EC77D9"/>
    <w:rsid w:val="00ED3C4F"/>
    <w:rsid w:val="00ED48E8"/>
    <w:rsid w:val="00EE0D8D"/>
    <w:rsid w:val="00EE5C95"/>
    <w:rsid w:val="00F00FA3"/>
    <w:rsid w:val="00F10AE6"/>
    <w:rsid w:val="00F26FD4"/>
    <w:rsid w:val="00F30B6C"/>
    <w:rsid w:val="00F3212A"/>
    <w:rsid w:val="00F356EB"/>
    <w:rsid w:val="00F42117"/>
    <w:rsid w:val="00F54315"/>
    <w:rsid w:val="00F57F89"/>
    <w:rsid w:val="00F6204C"/>
    <w:rsid w:val="00F629E9"/>
    <w:rsid w:val="00F97595"/>
    <w:rsid w:val="00FA236C"/>
    <w:rsid w:val="00FB24E9"/>
    <w:rsid w:val="00FC5AA2"/>
    <w:rsid w:val="00FD6A5C"/>
    <w:rsid w:val="00FE0E89"/>
    <w:rsid w:val="00FE5D4C"/>
    <w:rsid w:val="00FE6F69"/>
    <w:rsid w:val="00FE788E"/>
    <w:rsid w:val="00FF189A"/>
    <w:rsid w:val="00FF2DF7"/>
    <w:rsid w:val="047C322B"/>
    <w:rsid w:val="05B21391"/>
    <w:rsid w:val="0A896F15"/>
    <w:rsid w:val="0B997626"/>
    <w:rsid w:val="101257F1"/>
    <w:rsid w:val="11572F4F"/>
    <w:rsid w:val="120C5BEB"/>
    <w:rsid w:val="15B07122"/>
    <w:rsid w:val="16D23FAA"/>
    <w:rsid w:val="198D06D4"/>
    <w:rsid w:val="232A61A8"/>
    <w:rsid w:val="24D70B7D"/>
    <w:rsid w:val="2C80385C"/>
    <w:rsid w:val="2ECA3591"/>
    <w:rsid w:val="320943E8"/>
    <w:rsid w:val="324259AB"/>
    <w:rsid w:val="340B4BC9"/>
    <w:rsid w:val="35DF79DE"/>
    <w:rsid w:val="37612164"/>
    <w:rsid w:val="3A1D0D46"/>
    <w:rsid w:val="3C73220E"/>
    <w:rsid w:val="41640AED"/>
    <w:rsid w:val="45A3446B"/>
    <w:rsid w:val="485D0AE1"/>
    <w:rsid w:val="48F20883"/>
    <w:rsid w:val="49382442"/>
    <w:rsid w:val="4C8F3B5D"/>
    <w:rsid w:val="50886F89"/>
    <w:rsid w:val="5E3273DC"/>
    <w:rsid w:val="60005A66"/>
    <w:rsid w:val="61CC6D41"/>
    <w:rsid w:val="63CD7297"/>
    <w:rsid w:val="675E70FE"/>
    <w:rsid w:val="67DB5DDC"/>
    <w:rsid w:val="69866FEB"/>
    <w:rsid w:val="72B07B4E"/>
    <w:rsid w:val="73BB7536"/>
    <w:rsid w:val="770555A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Layout w:type="fixed"/>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qFormat/>
    <w:uiPriority w:val="0"/>
    <w:pPr>
      <w:widowControl/>
      <w:ind w:firstLine="420" w:firstLineChars="200"/>
      <w:jc w:val="left"/>
    </w:pPr>
    <w:rPr>
      <w:kern w:val="0"/>
      <w:sz w:val="20"/>
      <w:szCs w:val="20"/>
    </w:rPr>
  </w:style>
  <w:style w:type="paragraph" w:styleId="4">
    <w:name w:val="Body Text"/>
    <w:basedOn w:val="1"/>
    <w:next w:val="5"/>
    <w:qFormat/>
    <w:uiPriority w:val="0"/>
    <w:pPr>
      <w:spacing w:line="380" w:lineRule="exact"/>
      <w:ind w:right="225" w:rightChars="107"/>
    </w:pPr>
    <w:rPr>
      <w:rFonts w:ascii="仿宋_GB2312" w:eastAsia="仿宋_GB2312"/>
      <w:sz w:val="28"/>
    </w:rPr>
  </w:style>
  <w:style w:type="paragraph" w:customStyle="1" w:styleId="5">
    <w:name w:val="默认段落"/>
    <w:basedOn w:val="1"/>
    <w:qFormat/>
    <w:uiPriority w:val="99"/>
    <w:pPr>
      <w:topLinePunct w:val="0"/>
    </w:pPr>
  </w:style>
  <w:style w:type="paragraph" w:styleId="6">
    <w:name w:val="Plain Text"/>
    <w:basedOn w:val="1"/>
    <w:qFormat/>
    <w:uiPriority w:val="0"/>
    <w:pPr>
      <w:adjustRightInd/>
      <w:spacing w:line="240" w:lineRule="auto"/>
      <w:jc w:val="both"/>
      <w:textAlignment w:val="auto"/>
    </w:pPr>
    <w:rPr>
      <w:rFonts w:ascii="宋体" w:hAnsi="Courier New" w:eastAsia="宋体"/>
      <w:kern w:val="2"/>
      <w:sz w:val="21"/>
      <w:lang w:val="en-US" w:eastAsia="zh-CN" w:bidi="ar-SA"/>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4"/>
    <w:qFormat/>
    <w:uiPriority w:val="0"/>
    <w:pPr>
      <w:spacing w:after="120"/>
      <w:ind w:firstLine="420" w:firstLineChars="100"/>
    </w:pPr>
    <w:rPr>
      <w:rFonts w:ascii="Times New Roman"/>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color w:val="FFFFFF"/>
      <w:sz w:val="18"/>
      <w:szCs w:val="18"/>
      <w:shd w:val="clear" w:fill="428BCA"/>
    </w:rPr>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000000"/>
      <w:u w:val="none"/>
    </w:rPr>
  </w:style>
  <w:style w:type="character" w:styleId="21">
    <w:name w:val="HTML Code"/>
    <w:basedOn w:val="13"/>
    <w:qFormat/>
    <w:uiPriority w:val="0"/>
    <w:rPr>
      <w:rFonts w:hint="default" w:ascii="Consolas" w:hAnsi="Consolas" w:eastAsia="Consolas" w:cs="Consolas"/>
      <w:color w:val="C7254E"/>
      <w:sz w:val="21"/>
      <w:szCs w:val="21"/>
      <w:shd w:val="clear" w:fill="F9F2F4"/>
    </w:rPr>
  </w:style>
  <w:style w:type="character" w:styleId="22">
    <w:name w:val="HTML Cite"/>
    <w:basedOn w:val="13"/>
    <w:qFormat/>
    <w:uiPriority w:val="0"/>
  </w:style>
  <w:style w:type="character" w:styleId="23">
    <w:name w:val="HTML Keyboard"/>
    <w:basedOn w:val="13"/>
    <w:qFormat/>
    <w:uiPriority w:val="0"/>
    <w:rPr>
      <w:rFonts w:hint="default" w:ascii="Consolas" w:hAnsi="Consolas" w:eastAsia="Consolas" w:cs="Consolas"/>
      <w:color w:val="FFFFFF"/>
      <w:sz w:val="21"/>
      <w:szCs w:val="21"/>
      <w:shd w:val="clear" w:fill="333333"/>
    </w:rPr>
  </w:style>
  <w:style w:type="character" w:styleId="24">
    <w:name w:val="HTML Sample"/>
    <w:basedOn w:val="13"/>
    <w:qFormat/>
    <w:uiPriority w:val="0"/>
    <w:rPr>
      <w:rFonts w:ascii="Consolas" w:hAnsi="Consolas" w:eastAsia="Consolas" w:cs="Consolas"/>
      <w:sz w:val="21"/>
      <w:szCs w:val="21"/>
    </w:rPr>
  </w:style>
  <w:style w:type="paragraph" w:customStyle="1" w:styleId="25">
    <w:name w:val="表文"/>
    <w:basedOn w:val="1"/>
    <w:qFormat/>
    <w:uiPriority w:val="0"/>
    <w:pPr>
      <w:tabs>
        <w:tab w:val="left" w:pos="1021"/>
      </w:tabs>
      <w:adjustRightInd w:val="0"/>
      <w:snapToGrid w:val="0"/>
      <w:spacing w:line="320" w:lineRule="exact"/>
      <w:jc w:val="center"/>
    </w:pPr>
    <w:rPr>
      <w:snapToGrid w:val="0"/>
      <w:kern w:val="0"/>
      <w:sz w:val="22"/>
      <w:szCs w:val="22"/>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hover10"/>
    <w:basedOn w:val="13"/>
    <w:qFormat/>
    <w:uiPriority w:val="0"/>
    <w:rPr>
      <w:color w:val="FF0000"/>
    </w:rPr>
  </w:style>
  <w:style w:type="character" w:customStyle="1" w:styleId="28">
    <w:name w:val="hover11"/>
    <w:basedOn w:val="13"/>
    <w:qFormat/>
    <w:uiPriority w:val="0"/>
    <w:rPr>
      <w:color w:val="FF0000"/>
    </w:rPr>
  </w:style>
  <w:style w:type="character" w:customStyle="1" w:styleId="29">
    <w:name w:val="hover9"/>
    <w:basedOn w:val="13"/>
    <w:qFormat/>
    <w:uiPriority w:val="0"/>
    <w:rPr>
      <w:color w:val="FF0000"/>
    </w:rPr>
  </w:style>
  <w:style w:type="character" w:customStyle="1" w:styleId="30">
    <w:name w:val="hover"/>
    <w:basedOn w:val="13"/>
    <w:qFormat/>
    <w:uiPriority w:val="0"/>
    <w:rPr>
      <w:color w:val="FF0000"/>
    </w:rPr>
  </w:style>
  <w:style w:type="paragraph" w:customStyle="1" w:styleId="31">
    <w:name w:val="标题2"/>
    <w:unhideWhenUsed/>
    <w:qFormat/>
    <w:uiPriority w:val="2"/>
    <w:pPr>
      <w:outlineLvl w:val="2"/>
    </w:pPr>
    <w:rPr>
      <w:rFonts w:ascii="Calibri" w:hAnsi="Calibri"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xlc</Company>
  <Pages>3</Pages>
  <Words>1923</Words>
  <Characters>240</Characters>
  <Lines>2</Lines>
  <Paragraphs>4</Paragraphs>
  <TotalTime>50</TotalTime>
  <ScaleCrop>false</ScaleCrop>
  <LinksUpToDate>false</LinksUpToDate>
  <CharactersWithSpaces>2159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2017-12-19T08:10:00Z</dcterms:created>
  <dc:creator>sj</dc:creator>
  <cp:lastModifiedBy>李广林</cp:lastModifiedBy>
  <cp:lastPrinted>2020-03-26T08:04:26Z</cp:lastPrinted>
  <dcterms:modified xsi:type="dcterms:W3CDTF">2020-03-26T09:12:37Z</dcterms:modified>
  <dc:title>该项目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