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2020年部门预算绩效信息</w:t>
      </w:r>
    </w:p>
    <w:p>
      <w:pPr>
        <w:ind w:firstLine="640" w:firstLineChars="200"/>
        <w:jc w:val="center"/>
        <w:rPr>
          <w:rFonts w:eastAsia="方正仿宋_GBK"/>
          <w:b/>
          <w:sz w:val="32"/>
          <w:szCs w:val="32"/>
        </w:rPr>
      </w:pPr>
      <w:bookmarkStart w:id="0" w:name="_Toc471398463"/>
    </w:p>
    <w:p>
      <w:pPr>
        <w:ind w:firstLine="640" w:firstLineChars="200"/>
        <w:jc w:val="center"/>
        <w:rPr>
          <w:rFonts w:hint="eastAsia" w:ascii="黑体" w:hAnsi="黑体" w:eastAsia="黑体"/>
          <w:sz w:val="32"/>
          <w:szCs w:val="32"/>
        </w:rPr>
      </w:pPr>
      <w:r>
        <w:rPr>
          <w:rFonts w:hint="eastAsia" w:ascii="黑体" w:hAnsi="黑体" w:eastAsia="黑体"/>
          <w:sz w:val="32"/>
          <w:szCs w:val="32"/>
        </w:rPr>
        <w:t>第一部分  部门整体绩效目标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（一）总体绩效目标</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2020年是全面建成小康社会，实现第一个百年奋斗目标收官之年，全市生态环境系统将继续深入学习贯彻党的十九大精神，坚持以习近平新时代中国特色社会主义思想为引领，以“不忘初心、牢记使命”主题教育工作为主线，以提供更多优质生态产品，满足人民日益增长的优美生态环境需要为核心，以“蓝天”“碧水”和“净土”行动为工作重点，持续加大环境污染防治力度，努力防范和化解环境风险，深入推进生态文明体制建设，统筹推进生态环境保护各项重点工作，不断提高人民群众对优美生态环境的获得感和幸福感。</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总体目标:PM2.5平均浓度和二级以上优良天数完成省定任务。二氧化硫、氮氧化物主要污染物排放总量完成较2015年分别降低20%、20%的指标任务。</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地表水Ⅲ类及以上断面比例达到70%以上；化学需氧量、氨氮两项主要污染物排放总量完成较2015年分别降低14.6%、18%。</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（二）分项绩效目标</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（一）强力推进环境空气质量持续改善。</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巩固钢铁、水泥、玻璃、电力、燃煤锅炉等超低排放改造成果，确保设施稳定运行达标排放；严控散煤复燃，2020年燃气锅炉完成低氮燃烧改造；巩固“散乱污”企业动态清零成果；加快推进具备深度治理条件的重型柴油货车安装尾气净化装置和远程排放监控设备；加强非道路机械使用的管控；严格重点用车单位重型柴油车管理；落实降尘月通报制度，指导落实施工扬尘污染治理达标验收要求；扎实推进挥发性有机物污染综合治理，落实环境监管正面清单制度，深入实施应急减排差异化管控，做好重污染天气应对。</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绩效指标：PM2.5平均浓度和二级以上优良天数完成省定任务。 二氧化硫、氮氧化物主要污染物排放总量完成较2015年分别降低20%、20%的指标任务。</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（二）着力提高重点区域流域水环境质量。</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全面加强生态环境保护，以改善渤海生态环境质量为核心，以打好渤海综合治理攻坚战为抓手，统筹陆域、海域污染物排放控制和生态系统保护修复，坚持污染减排和生态扩容两手发力，紧紧围绕国家和省委省政府确定的水污染防治目标任务，严格落实河长制、湖长制、湾长制，加快工业、农业、生活污染源和水生态系统整治，统筹饮用水、工业和生活污水、黑臭水体、河流湖库、地下水、近岸海域、纳污坑塘等8类水体治理，使全市水环境质量持续改善，为我市实现“三个台阶”、实施“四市战略”、建设国际旅游城市等重大决策部署提供有力的水环境支撑。</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绩效指标：地表水达到或优于Ⅲ类水体断面比例达到70%以上；化学需氧量、氨氮两项主要污染物排放总量完成较2015年分别降低14.6%、18%。</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（三）加快推进重点领域土壤环境质量改善。</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以改善土壤环境质量为核心，以保障人居环境安全为目标，坚持预防为主、保护优先、风险管控、安全利用的原则，聚焦农用地和建设用地两大重点，实施分类别、分用途管理。按省厅部署加强重点区域的调查评估、风险管控、治理修复等工作，组织编制我市《地下水污染防治实施方案》，加快推进地下水污染防治各项工作。</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会同相关部门联动监管，使农用地和建设用地土壤环境风险得到有效管控，保障土壤环境安全。推进实施秦皇岛市地下水饮用水水源地基础环境状况调查评估项目，为全市地下水污染防治工作探索积累经验。</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（四）加强固体废物危险废物污染防治。</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进一步摸清危险废物产生和拥有危险废物自行利用处置设施的单位底数。推进涉重金属重点行业企业排查整治，进一步挖掘重金属污染物减排空间。组织危险废物环境隐患专项排查整治，推进危险废物处置能力建设，严厉打击危险废物非法转移、倾倒和处置等违法犯罪行为。严格审核固体废物进口，坚决禁止洋垃圾入境。</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绩效指标：完成危废基础状况调查，建立危险废物重点监管单位清单。完成涉重金属重点行业企业评估。按照国家工作安排加快实现固体废物零进口。</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（五）加快完善生态环境监测监控体系。</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初步建成覆盖市县乡企业的四级生态环境监测体系，实现国控、省控、乡镇、企业自动站稳定运行，逐步完善机动车监测网络，建立移动源在线综合监管平台。建全水环境监测体系，优化地表水监测断面设置，实现主要河流国控断面、跨市界断面水质自动站全覆盖。开展环境监测数据质量监管，开展污染源、生态环境质量等监测，及时发布预警信息。</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绩效指标：初步建成大气四级生态环境监测网络，跨市、跨县界监测断面覆盖率达到100%；完成污染源、环境质量等各类监测任务。</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（六）</w:t>
      </w:r>
      <w:r>
        <w:rPr>
          <w:rFonts w:hint="eastAsia" w:ascii="仿宋" w:hAnsi="仿宋" w:eastAsia="仿宋" w:cs="仿宋"/>
          <w:sz w:val="28"/>
        </w:rPr>
        <w:tab/>
      </w:r>
      <w:r>
        <w:rPr>
          <w:rFonts w:hint="eastAsia" w:ascii="仿宋" w:hAnsi="仿宋" w:eastAsia="仿宋" w:cs="仿宋"/>
          <w:sz w:val="28"/>
        </w:rPr>
        <w:t>强化生态环境保护执法监管。</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围绕全市生态环境中心工作，持续开展各类环境执法专项行动，依法严厉打击各类环境违法行为，最大限度减少污染物排放。按照省厅工作安排，积极利用科技执法手段，提升环境执法效能。深化生态环境综合执法改革，推进生态环境综合执法队伍建设，实现县级生态环境部门“局队合一”工作模式，加快生态环境执法规范化建设。</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绩效指标：加大环境执法工作力度，双随机执法检查任务完成率100%。</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（七）</w:t>
      </w:r>
      <w:r>
        <w:rPr>
          <w:rFonts w:hint="eastAsia" w:ascii="仿宋" w:hAnsi="仿宋" w:eastAsia="仿宋" w:cs="仿宋"/>
          <w:sz w:val="28"/>
        </w:rPr>
        <w:tab/>
      </w:r>
      <w:r>
        <w:rPr>
          <w:rFonts w:hint="eastAsia" w:ascii="仿宋" w:hAnsi="仿宋" w:eastAsia="仿宋" w:cs="仿宋"/>
          <w:sz w:val="28"/>
        </w:rPr>
        <w:t>加强生态环境重点区域管理。</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绩效目标：健全生态保护红线管控机制，全面推进开展生态保护红线勘界定标工作。按照省厅卫星影像、航片、无人机等科技手段提供的点位，完成人工地面核查， 及时发现和制止各类违法违规破坏生态保护红线的开发建设活动。严格自然保护区监管，强化自然保护区监督检查，持续开展“绿盾”自然保护区监督检查专项行动，及时发现涉及自然保护区的违法违规问题。</w:t>
      </w:r>
    </w:p>
    <w:p>
      <w:pPr>
        <w:spacing w:line="500" w:lineRule="exact"/>
        <w:ind w:firstLine="560" w:firstLineChars="200"/>
        <w:jc w:val="left"/>
        <w:rPr>
          <w:rFonts w:hint="eastAsia" w:hAnsi="方正仿宋_GBK" w:eastAsia="方正仿宋_GBK" w:cs="方正仿宋_GBK"/>
          <w:sz w:val="28"/>
        </w:rPr>
      </w:pPr>
      <w:r>
        <w:rPr>
          <w:rFonts w:hint="eastAsia" w:ascii="仿宋" w:hAnsi="仿宋" w:eastAsia="仿宋" w:cs="仿宋"/>
          <w:sz w:val="28"/>
        </w:rPr>
        <w:t>绩效指标：全市生态保护红线勘界定标工作完成率100%。 完成生态保护红线、自然保护地等重点区域遥感监测点位核查100%。</w:t>
      </w:r>
      <w:r>
        <w:rPr>
          <w:rFonts w:hint="eastAsia" w:hAnsi="方正仿宋_GBK" w:eastAsia="方正仿宋_GBK" w:cs="方正仿宋_GBK"/>
          <w:sz w:val="28"/>
        </w:rPr>
        <w:t xml:space="preserve">  </w:t>
      </w:r>
    </w:p>
    <w:p>
      <w:pPr>
        <w:ind w:firstLine="645"/>
        <w:rPr>
          <w:rFonts w:hint="eastAsia" w:ascii="楷体" w:hAnsi="楷体" w:eastAsia="楷体" w:cs="楷体"/>
          <w:sz w:val="32"/>
          <w:szCs w:val="32"/>
        </w:rPr>
      </w:pPr>
      <w:r>
        <w:rPr>
          <w:rFonts w:hint="eastAsia" w:ascii="楷体" w:hAnsi="楷体" w:eastAsia="楷体" w:cs="楷体"/>
          <w:sz w:val="32"/>
          <w:szCs w:val="32"/>
        </w:rPr>
        <w:t>（三）工作保障措施</w:t>
      </w:r>
    </w:p>
    <w:p>
      <w:pPr>
        <w:spacing w:line="500" w:lineRule="exact"/>
        <w:ind w:firstLine="560" w:firstLineChars="200"/>
        <w:jc w:val="left"/>
        <w:rPr>
          <w:rFonts w:hint="eastAsia" w:ascii="仿宋" w:hAnsi="仿宋" w:eastAsia="仿宋" w:cs="仿宋"/>
          <w:sz w:val="28"/>
        </w:rPr>
      </w:pPr>
      <w:r>
        <w:rPr>
          <w:rFonts w:hint="eastAsia" w:hAnsi="方正仿宋_GBK" w:eastAsia="方正仿宋_GBK" w:cs="方正仿宋_GBK"/>
          <w:sz w:val="28"/>
        </w:rPr>
        <w:t>（</w:t>
      </w:r>
      <w:r>
        <w:rPr>
          <w:rFonts w:hint="eastAsia" w:ascii="仿宋" w:hAnsi="仿宋" w:eastAsia="仿宋" w:cs="仿宋"/>
          <w:sz w:val="28"/>
        </w:rPr>
        <w:t>一）全面打造生态环境保护铁军</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加强领导班子建设，发挥“领头羊”作用，做廉洁自律典范，做爱岗敬业标兵；强化基层党组织建设，发挥党组织战斗堡垒和党员先锋模范作用；严格落实党风廉政建设“两个责任”和“一岗双责”，形成一级抓一级，层层抓落实的工作局面；加强各项制度建设，进一步转变工作作风；加强队伍能力建设，提高发现问题、解决问题能力水平。</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（二）进一步凝聚工作合力</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严格落实生态环境保护“党政同责，一岗双责”，完善部门生态环境保护工作责任清单和生态环境执法清单，分工协作、同向发力；健全市县乡村四级网格化环境监管体系，延伸监管触角，消除监管盲区。充分发挥市生态环境局（承担6个办公室）牵头抓总和综合协调作用，建立工作联席会议、联合执法办案、通报预警约谈、目标量化考核、定期督导检查，追责问责等工作机制体系，确保各项举措落到实处。</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（三）坚决打赢三大污染防治攻坚战</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一是坚决打赢蓝天保卫战，确保到2020年底全市细颗粒物平均浓度同比下降3%。开展“禁煤区”内散煤清零行动，加强秋冬季劣质煤复燃管控；全面深化工业企业污染防治，实施重点行业超低排放改造，优化主城区产业布局，推进企业搬迁，对不能稳定达标排放的关停整治；落实建筑工地治理“八个标准”，强化道路扬尘“以克论净”考核；加大“车船油路”整治力度，重点加强重型柴油汽车和非道路移动机械治理，以及用车大户的管理；抓好港口大气污染防治专项治理；突出做好污染天气应急管控。二是全力开展碧水攻坚战，深化“河长制”，对18条入海河流实行“一河一策”治理，对57个水质监测断面“一断面一个方案”进行保障，落实215个农村污水治理、畜禽养殖污染整治、河流生态修复、城市污水管网建设、生态补水、河道保洁清淤、涉水企业监管等工程性、管控性措施，确保2020年全面消除劣V类水体，河流水质不断改善。三是扎实推进净土持久战，加快全市耕地土壤环境质量类别划分，建立耕地质量分类清单；推进重点行业企业用地调查，建立污染地块清单和优先管控名录；开展疑似污染地块调查评估，严格落实风险管控措施；开展土壤污染防治修复工程，确保土壤环境安全。</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（四）着力提高环境管理水平</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一是整合优化环境数据资源，建立环境数据大数据平台和应急指挥调度体系，提高环境管理精细化和科学化水平。二是强化环境执法软硬件建设，依托科技手段，提高执法水平；推进综合执法改革，理顺执法体系，创新执法方式，严厉打击环境违法犯罪。三是开展市县两级监控中心能力建设，打造2-3个中心实验室，完善工作机制，提升监测能力水平。四是加快制定“三线一单”，建立生态空间管控、环境准入、总量控制、污染源达标排放等全链条管理制度，推动环境质量向环境效益的转变。五是加强宣传教育，营造良好社会氛围。</w:t>
      </w:r>
    </w:p>
    <w:p>
      <w:pPr>
        <w:rPr>
          <w:rFonts w:eastAsia="方正仿宋_GBK"/>
          <w:sz w:val="32"/>
          <w:szCs w:val="32"/>
        </w:rPr>
      </w:pPr>
    </w:p>
    <w:p>
      <w:pPr>
        <w:ind w:firstLine="645"/>
        <w:rPr>
          <w:rFonts w:eastAsia="方正仿宋_GBK"/>
          <w:sz w:val="32"/>
          <w:szCs w:val="32"/>
        </w:rPr>
      </w:pPr>
    </w:p>
    <w:p>
      <w:pPr>
        <w:ind w:firstLine="645"/>
        <w:rPr>
          <w:rFonts w:eastAsia="方正仿宋_GBK"/>
          <w:sz w:val="32"/>
          <w:szCs w:val="32"/>
        </w:rPr>
      </w:pPr>
    </w:p>
    <w:p>
      <w:pPr>
        <w:ind w:firstLine="640" w:firstLineChars="200"/>
        <w:jc w:val="center"/>
        <w:rPr>
          <w:rFonts w:eastAsia="方正仿宋_GBK"/>
          <w:b/>
          <w:sz w:val="32"/>
          <w:szCs w:val="32"/>
        </w:rPr>
      </w:pPr>
    </w:p>
    <w:p>
      <w:pPr>
        <w:ind w:firstLine="640" w:firstLineChars="200"/>
        <w:jc w:val="center"/>
        <w:rPr>
          <w:rFonts w:eastAsia="方正仿宋_GBK"/>
          <w:b/>
          <w:sz w:val="32"/>
          <w:szCs w:val="32"/>
        </w:rPr>
      </w:pPr>
    </w:p>
    <w:p>
      <w:pPr>
        <w:ind w:firstLine="640" w:firstLineChars="200"/>
        <w:jc w:val="center"/>
        <w:rPr>
          <w:rFonts w:eastAsia="方正仿宋_GBK"/>
          <w:b/>
          <w:sz w:val="32"/>
          <w:szCs w:val="32"/>
        </w:rPr>
      </w:pPr>
    </w:p>
    <w:p>
      <w:pPr>
        <w:rPr>
          <w:rFonts w:eastAsia="方正仿宋_GBK"/>
          <w:b/>
          <w:sz w:val="32"/>
          <w:szCs w:val="32"/>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第二部分  专项资金绩效目标</w:t>
      </w:r>
    </w:p>
    <w:p>
      <w:pPr>
        <w:ind w:firstLine="560" w:firstLineChars="200"/>
        <w:jc w:val="left"/>
        <w:outlineLvl w:val="1"/>
        <w:rPr>
          <w:rFonts w:hint="eastAsia" w:hAnsi="宋体" w:cs="宋体"/>
          <w:b/>
          <w:sz w:val="28"/>
        </w:rPr>
      </w:pPr>
      <w:bookmarkStart w:id="1" w:name="_Toc29198132"/>
      <w:r>
        <w:rPr>
          <w:rFonts w:hint="eastAsia" w:ascii="方正仿宋_GBK" w:hAnsi="方正仿宋_GBK" w:eastAsia="方正仿宋_GBK" w:cs="方正仿宋_GBK"/>
          <w:b/>
          <w:sz w:val="28"/>
        </w:rPr>
        <w:t>1、2020年秦皇岛市饮用水水源地评估调查绩效目标表</w:t>
      </w:r>
      <w:bookmarkEnd w:id="1"/>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000-9999-JSN-0448</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2020年秦皇岛市饮用水水源地评估调查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60.00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60.00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编制饮用水水源地评估报告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p>
        </w:tc>
        <w:tc>
          <w:tcPr>
            <w:tcW w:w="1588" w:type="dxa"/>
            <w:vAlign w:val="center"/>
          </w:tcPr>
          <w:p>
            <w:pPr>
              <w:spacing w:line="300" w:lineRule="exact"/>
              <w:jc w:val="center"/>
              <w:rPr>
                <w:rFonts w:hint="eastAsia" w:ascii="仿宋" w:hAnsi="仿宋" w:eastAsia="仿宋" w:cs="仿宋"/>
                <w:b/>
              </w:rPr>
            </w:pP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1、完成方案并通过评审</w:t>
            </w:r>
          </w:p>
          <w:p>
            <w:pPr>
              <w:spacing w:line="300" w:lineRule="exact"/>
              <w:jc w:val="left"/>
              <w:rPr>
                <w:rFonts w:hint="eastAsia" w:ascii="仿宋" w:hAnsi="仿宋" w:eastAsia="仿宋" w:cs="仿宋"/>
                <w:b/>
              </w:rPr>
            </w:pPr>
            <w:r>
              <w:rPr>
                <w:rFonts w:hint="eastAsia" w:ascii="仿宋" w:hAnsi="仿宋" w:eastAsia="仿宋" w:cs="仿宋"/>
                <w:b/>
              </w:rPr>
              <w:t>2、编制饮用水水源地评估报告</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评估报告符合编制要求</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评估报告符合编制要求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符合要求</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通过专家评审</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通过专家评审</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通过评审</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按照时间节点要求完成编制</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按照时间结点要求完成编制</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按时完成</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2" w:name="_Toc29198133"/>
      <w:r>
        <w:rPr>
          <w:rFonts w:hint="eastAsia" w:ascii="方正仿宋_GBK" w:hAnsi="方正仿宋_GBK" w:eastAsia="方正仿宋_GBK" w:cs="方正仿宋_GBK"/>
          <w:b/>
          <w:sz w:val="28"/>
        </w:rPr>
        <w:t>2、大气污染防治网格化监测设备运维服务绩效目标表</w:t>
      </w:r>
      <w:bookmarkEnd w:id="2"/>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000-9999-JSN-2HF4</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大气污染防治网格化监测设备运维服务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90.00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设备维护费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95.00</w:t>
            </w:r>
          </w:p>
        </w:tc>
        <w:tc>
          <w:tcPr>
            <w:tcW w:w="1588" w:type="dxa"/>
            <w:vAlign w:val="center"/>
          </w:tcPr>
          <w:p>
            <w:pPr>
              <w:spacing w:line="300" w:lineRule="exact"/>
              <w:jc w:val="center"/>
              <w:rPr>
                <w:rFonts w:hint="eastAsia" w:ascii="仿宋" w:hAnsi="仿宋" w:eastAsia="仿宋" w:cs="仿宋"/>
                <w:b/>
              </w:rPr>
            </w:pPr>
          </w:p>
        </w:tc>
        <w:tc>
          <w:tcPr>
            <w:tcW w:w="1304" w:type="dxa"/>
            <w:vAlign w:val="center"/>
          </w:tcPr>
          <w:p>
            <w:pPr>
              <w:spacing w:line="300" w:lineRule="exact"/>
              <w:jc w:val="center"/>
              <w:rPr>
                <w:rFonts w:hint="eastAsia" w:ascii="仿宋" w:hAnsi="仿宋" w:eastAsia="仿宋" w:cs="仿宋"/>
                <w:b/>
              </w:rPr>
            </w:pP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1、定期维护网格化监测仪器，保障设备正常稳定运行。</w:t>
            </w:r>
          </w:p>
          <w:p>
            <w:pPr>
              <w:spacing w:line="300" w:lineRule="exact"/>
              <w:jc w:val="left"/>
              <w:rPr>
                <w:rFonts w:hint="eastAsia" w:ascii="仿宋" w:hAnsi="仿宋" w:eastAsia="仿宋" w:cs="仿宋"/>
                <w:b/>
              </w:rPr>
            </w:pPr>
            <w:r>
              <w:rPr>
                <w:rFonts w:hint="eastAsia" w:ascii="仿宋" w:hAnsi="仿宋" w:eastAsia="仿宋" w:cs="仿宋"/>
                <w:b/>
              </w:rPr>
              <w:t>2、保证数据稳定上传。</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网格化设备在线率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网格化设备在线率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故障响应率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故障响应率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平台稳定运行率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平台稳定运行率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仿宋" w:hAnsi="仿宋" w:eastAsia="仿宋" w:cs="仿宋"/>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3" w:name="_Toc29198134"/>
      <w:r>
        <w:rPr>
          <w:rFonts w:hint="eastAsia" w:ascii="方正仿宋_GBK" w:hAnsi="方正仿宋_GBK" w:eastAsia="方正仿宋_GBK" w:cs="方正仿宋_GBK"/>
          <w:b/>
          <w:sz w:val="28"/>
        </w:rPr>
        <w:t>3、机动车遥感监测绩效目标表</w:t>
      </w:r>
      <w:bookmarkEnd w:id="3"/>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000-9999-JSN-8XV8</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机动车遥感监测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85.00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85.00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用于开展机动车遥感检测工作的顺利开展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20.00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35.00</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20.00</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1、及时了解掌握在用机动车尾气排放现状</w:t>
            </w:r>
          </w:p>
          <w:p>
            <w:pPr>
              <w:spacing w:line="300" w:lineRule="exact"/>
              <w:jc w:val="left"/>
              <w:rPr>
                <w:rFonts w:hint="eastAsia" w:ascii="仿宋" w:hAnsi="仿宋" w:eastAsia="仿宋" w:cs="仿宋"/>
                <w:b/>
              </w:rPr>
            </w:pPr>
            <w:r>
              <w:rPr>
                <w:rFonts w:hint="eastAsia" w:ascii="仿宋" w:hAnsi="仿宋" w:eastAsia="仿宋" w:cs="仿宋"/>
                <w:b/>
              </w:rPr>
              <w:t>2、保证在用机动车遥感检测工作的顺利开展</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时效指标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按时完成</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按时完成监测任务</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按时完成监测任务，出具监测数据等</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及时掌握</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掌握在用机动车尾气排放现状</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保证遥感检测工作的顺利开展</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社会效益指标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完成环境数据分析</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保证政府及时采取对策</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降低或减少环境灾害</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4" w:name="_Toc29198135"/>
      <w:r>
        <w:rPr>
          <w:rFonts w:hint="eastAsia" w:ascii="方正仿宋_GBK" w:hAnsi="方正仿宋_GBK" w:eastAsia="方正仿宋_GBK" w:cs="方正仿宋_GBK"/>
          <w:b/>
          <w:sz w:val="28"/>
        </w:rPr>
        <w:t>4、空气自动监测站建设及运行维护项目绩效目标表</w:t>
      </w:r>
      <w:bookmarkEnd w:id="4"/>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000-9999-JSN-JFD6</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空气自动监测站建设及运行维护项目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1052.00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1052.00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用于空气站运维费用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40.00</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30.00</w:t>
            </w: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1、为全市人民群众提供空气质量健康指导为根本，通过空气自动监测的运维，有效地控制空气污染</w:t>
            </w:r>
          </w:p>
          <w:p>
            <w:pPr>
              <w:spacing w:line="300" w:lineRule="exact"/>
              <w:jc w:val="left"/>
              <w:rPr>
                <w:rFonts w:hint="eastAsia" w:ascii="仿宋" w:hAnsi="仿宋" w:eastAsia="仿宋" w:cs="仿宋"/>
                <w:b/>
              </w:rPr>
            </w:pPr>
            <w:r>
              <w:rPr>
                <w:rFonts w:hint="eastAsia" w:ascii="仿宋" w:hAnsi="仿宋" w:eastAsia="仿宋" w:cs="仿宋"/>
                <w:b/>
              </w:rPr>
              <w:t>2、建立数据传输与网格化质控监控平台，持续提高我市城市环境监测建设的能力水平，为领导决策提供有力的科学依据。</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数量指标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监测站点</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监测数据监测站点能稳定出具6参数数据</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85%站点为优，70%站点为良，60%站点为中，60%以下站点为差</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质量排名</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乡镇空气质量排名</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乡镇空气质量排名，每月出具空气质量月报，12期为优，11期为良，10期为中，少于10期为差</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社会效益指标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监测数据</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为政府决策提供环境质量数据</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环境监测数据及时准确</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5" w:name="_Toc29198136"/>
      <w:r>
        <w:rPr>
          <w:rFonts w:hint="eastAsia" w:ascii="方正仿宋_GBK" w:hAnsi="方正仿宋_GBK" w:eastAsia="方正仿宋_GBK" w:cs="方正仿宋_GBK"/>
          <w:b/>
          <w:sz w:val="28"/>
        </w:rPr>
        <w:t>5、秦皇岛市排污单位分表记电监管平台绩效目标表</w:t>
      </w:r>
      <w:bookmarkEnd w:id="5"/>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000-9999-JSN-4B88</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秦皇岛市排污单位分表记电监管平台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70.00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70.00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建设市级平台建设，并进行系统运行服务费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50.00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70.00</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1、建设全市统一的分表计电工作平台</w:t>
            </w:r>
          </w:p>
          <w:p>
            <w:pPr>
              <w:spacing w:line="300" w:lineRule="exact"/>
              <w:jc w:val="left"/>
              <w:rPr>
                <w:rFonts w:hint="eastAsia" w:ascii="仿宋" w:hAnsi="仿宋" w:eastAsia="仿宋" w:cs="仿宋"/>
                <w:b/>
              </w:rPr>
            </w:pPr>
            <w:r>
              <w:rPr>
                <w:rFonts w:hint="eastAsia" w:ascii="仿宋" w:hAnsi="仿宋" w:eastAsia="仿宋" w:cs="仿宋"/>
                <w:b/>
              </w:rPr>
              <w:t>2、通过组织企业安装终端设施，实现对企业污染防治设施的全天候监管，督促企业守法运行</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全市重点涉气企业接入平台</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全市重点涉气企业接入平台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全市重点涉气企业接入平台</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数量指标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完成市级平台建设</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搭建市本级统一的分表计电平台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1建成一套平台</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生态效益指标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企业污染防治设施正常运行</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确保企业污染防治设施正常运行</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企业污染防治设施正常运行</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社会效益指标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加强对企业监管</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通过组织企业安装终端设施，实现对企业污染防治设施的全天候监管，督促企业守法运行</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通过组织企业安装终端设施，实现对企业污染防治设施的全天候监管，督促企业守法运行</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6" w:name="_Toc29198137"/>
      <w:r>
        <w:rPr>
          <w:rFonts w:hint="eastAsia" w:ascii="方正仿宋_GBK" w:hAnsi="方正仿宋_GBK" w:eastAsia="方正仿宋_GBK" w:cs="方正仿宋_GBK"/>
          <w:b/>
          <w:sz w:val="28"/>
        </w:rPr>
        <w:t>6、秦皇岛市生态保护红线勘界定标绩效目标表</w:t>
      </w:r>
      <w:bookmarkEnd w:id="6"/>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000-9999-JSN-BF20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秦皇岛市生态保护红线勘界定标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100.00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100.00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按照省厅2020年生态保护红线勘界定标工作要求执行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p>
        </w:tc>
        <w:tc>
          <w:tcPr>
            <w:tcW w:w="1588" w:type="dxa"/>
            <w:vAlign w:val="center"/>
          </w:tcPr>
          <w:p>
            <w:pPr>
              <w:spacing w:line="300" w:lineRule="exact"/>
              <w:jc w:val="center"/>
              <w:rPr>
                <w:rFonts w:hint="eastAsia" w:ascii="仿宋" w:hAnsi="仿宋" w:eastAsia="仿宋" w:cs="仿宋"/>
                <w:b/>
              </w:rPr>
            </w:pP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50.00</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1、严格执行省生态保护红线勘界定标技术要求。指导各县区开展红线勘界定标和管理工作。</w:t>
            </w:r>
          </w:p>
          <w:p>
            <w:pPr>
              <w:spacing w:line="300" w:lineRule="exact"/>
              <w:jc w:val="left"/>
              <w:rPr>
                <w:rFonts w:hint="eastAsia" w:ascii="仿宋" w:hAnsi="仿宋" w:eastAsia="仿宋" w:cs="仿宋"/>
                <w:b/>
              </w:rPr>
            </w:pPr>
            <w:r>
              <w:rPr>
                <w:rFonts w:hint="eastAsia" w:ascii="仿宋" w:hAnsi="仿宋" w:eastAsia="仿宋" w:cs="仿宋"/>
                <w:b/>
              </w:rPr>
              <w:t>2、促进全市生态保护红线区域生态环境功能持续良好。</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时效指标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按期完成定标工作</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按上级要求时限完成戡界定标工作</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按期完成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符合国家技术规范</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对戡界定标工作进行验收</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通过验收和上级部门评估。</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生态效益指标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为生态保护提供支撑</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满足管理工作要求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满足工作需要</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7" w:name="_Toc29198138"/>
      <w:r>
        <w:rPr>
          <w:rFonts w:hint="eastAsia" w:ascii="方正仿宋_GBK" w:hAnsi="方正仿宋_GBK" w:eastAsia="方正仿宋_GBK" w:cs="方正仿宋_GBK"/>
          <w:b/>
          <w:sz w:val="28"/>
        </w:rPr>
        <w:t>7、全国第二次污染源普查绩效目标表</w:t>
      </w:r>
      <w:bookmarkEnd w:id="7"/>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000-9999-JSN-68DN</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全国第二次污染源普查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88.00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88.00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组织实施全国第二次污染源普查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c>
          <w:tcPr>
            <w:tcW w:w="1304" w:type="dxa"/>
            <w:vAlign w:val="center"/>
          </w:tcPr>
          <w:p>
            <w:pPr>
              <w:spacing w:line="300" w:lineRule="exact"/>
              <w:jc w:val="center"/>
              <w:rPr>
                <w:rFonts w:hint="eastAsia" w:ascii="仿宋" w:hAnsi="仿宋" w:eastAsia="仿宋" w:cs="仿宋"/>
                <w:b/>
              </w:rPr>
            </w:pP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1、完成第二次全国污染源普查市级任务</w:t>
            </w:r>
          </w:p>
          <w:p>
            <w:pPr>
              <w:spacing w:line="300" w:lineRule="exact"/>
              <w:jc w:val="left"/>
              <w:rPr>
                <w:rFonts w:hint="eastAsia" w:ascii="仿宋" w:hAnsi="仿宋" w:eastAsia="仿宋" w:cs="仿宋"/>
                <w:b/>
              </w:rPr>
            </w:pPr>
            <w:r>
              <w:rPr>
                <w:rFonts w:hint="eastAsia" w:ascii="仿宋" w:hAnsi="仿宋" w:eastAsia="仿宋" w:cs="仿宋"/>
                <w:b/>
              </w:rPr>
              <w:t>2、对县区普查工作进行指导</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污染源普查档案</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普查工作报告、技术报告</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普查成果</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污染源普查档案建立完备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出具质量核查与评估报告</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出具普查公报，建成数据库平台</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国家、省普查办相关要求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按要求完成</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8" w:name="_Toc29198139"/>
      <w:r>
        <w:rPr>
          <w:rFonts w:hint="eastAsia" w:ascii="方正仿宋_GBK" w:hAnsi="方正仿宋_GBK" w:eastAsia="方正仿宋_GBK" w:cs="方正仿宋_GBK"/>
          <w:b/>
          <w:sz w:val="28"/>
        </w:rPr>
        <w:t>8、生态环境综合业务数据云管理租赁服务绩效目标表</w:t>
      </w:r>
      <w:bookmarkEnd w:id="8"/>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000-9999-JSN-PNBD</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生态环境综合业务数据云管理租赁服务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70.00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70.00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租赁服务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90.00</w:t>
            </w:r>
          </w:p>
        </w:tc>
        <w:tc>
          <w:tcPr>
            <w:tcW w:w="1588" w:type="dxa"/>
            <w:vAlign w:val="center"/>
          </w:tcPr>
          <w:p>
            <w:pPr>
              <w:spacing w:line="300" w:lineRule="exact"/>
              <w:jc w:val="center"/>
              <w:rPr>
                <w:rFonts w:hint="eastAsia" w:ascii="仿宋" w:hAnsi="仿宋" w:eastAsia="仿宋" w:cs="仿宋"/>
                <w:b/>
              </w:rPr>
            </w:pPr>
          </w:p>
        </w:tc>
        <w:tc>
          <w:tcPr>
            <w:tcW w:w="1304" w:type="dxa"/>
            <w:vAlign w:val="center"/>
          </w:tcPr>
          <w:p>
            <w:pPr>
              <w:spacing w:line="300" w:lineRule="exact"/>
              <w:jc w:val="center"/>
              <w:rPr>
                <w:rFonts w:hint="eastAsia" w:ascii="仿宋" w:hAnsi="仿宋" w:eastAsia="仿宋" w:cs="仿宋"/>
                <w:b/>
              </w:rPr>
            </w:pP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1、生态环境业务相关系统稳定安全运行。</w:t>
            </w:r>
          </w:p>
          <w:p>
            <w:pPr>
              <w:spacing w:line="300" w:lineRule="exact"/>
              <w:jc w:val="left"/>
              <w:rPr>
                <w:rFonts w:hint="eastAsia" w:ascii="仿宋" w:hAnsi="仿宋" w:eastAsia="仿宋" w:cs="仿宋"/>
                <w:b/>
              </w:rPr>
            </w:pPr>
            <w:r>
              <w:rPr>
                <w:rFonts w:hint="eastAsia" w:ascii="仿宋" w:hAnsi="仿宋" w:eastAsia="仿宋" w:cs="仿宋"/>
                <w:b/>
              </w:rPr>
              <w:t>2、相关业务系统线路正常传输。</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各项服务设备稳定运行率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各项服务设备稳定运行率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异常响应率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异常响应率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安全可靠</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安全可靠</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9" w:name="_Toc29198140"/>
      <w:r>
        <w:rPr>
          <w:rFonts w:hint="eastAsia" w:ascii="方正仿宋_GBK" w:hAnsi="方正仿宋_GBK" w:eastAsia="方正仿宋_GBK" w:cs="方正仿宋_GBK"/>
          <w:b/>
          <w:sz w:val="28"/>
        </w:rPr>
        <w:t>9、仪器设备购置绩效目标表</w:t>
      </w:r>
      <w:bookmarkEnd w:id="9"/>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000-9999-JSN-0226</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仪器设备购置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100.00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100.00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用于监测设备的更新和维护以及加强环境监测的技术装备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50.00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50.00</w:t>
            </w:r>
          </w:p>
        </w:tc>
        <w:tc>
          <w:tcPr>
            <w:tcW w:w="1304" w:type="dxa"/>
            <w:vAlign w:val="center"/>
          </w:tcPr>
          <w:p>
            <w:pPr>
              <w:spacing w:line="300" w:lineRule="exact"/>
              <w:jc w:val="center"/>
              <w:rPr>
                <w:rFonts w:hint="eastAsia" w:ascii="仿宋" w:hAnsi="仿宋" w:eastAsia="仿宋" w:cs="仿宋"/>
                <w:b/>
              </w:rPr>
            </w:pP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1、通过仪器设备的补充、完善，使监控中心具有与其承担的监测任务相适应的专业能力，全面提升市级环境监测队伍业务水平。</w:t>
            </w:r>
          </w:p>
          <w:p>
            <w:pPr>
              <w:spacing w:line="300" w:lineRule="exact"/>
              <w:jc w:val="left"/>
              <w:rPr>
                <w:rFonts w:hint="eastAsia" w:ascii="仿宋" w:hAnsi="仿宋" w:eastAsia="仿宋" w:cs="仿宋"/>
                <w:b/>
              </w:rPr>
            </w:pPr>
            <w:r>
              <w:rPr>
                <w:rFonts w:hint="eastAsia" w:ascii="仿宋" w:hAnsi="仿宋" w:eastAsia="仿宋" w:cs="仿宋"/>
                <w:b/>
              </w:rPr>
              <w:t>2、此项目实施会加强环境监测技术装备，保证检测手段多样化、技术规范化，严格执行政府采购程度相关规定。</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产出指标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时效指标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完成率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按期完成采购任务</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按期完成采购任务，提升监测水平</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质量指标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完成率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按期完成采购任务</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仪器设备到位并安装、调试、培训、验收，正常使用</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生态效益指标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加强监测技术设备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为政府决策提供环境质量数据</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环境监测数据及时准确</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0" w:firstLineChars="200"/>
        <w:jc w:val="left"/>
        <w:outlineLvl w:val="1"/>
        <w:rPr>
          <w:rFonts w:hint="eastAsia" w:hAnsi="宋体" w:cs="宋体"/>
          <w:b/>
          <w:sz w:val="28"/>
        </w:rPr>
      </w:pPr>
      <w:bookmarkStart w:id="10" w:name="_Toc29198141"/>
      <w:r>
        <w:rPr>
          <w:rFonts w:hint="eastAsia" w:ascii="方正仿宋_GBK" w:hAnsi="方正仿宋_GBK" w:eastAsia="方正仿宋_GBK" w:cs="方正仿宋_GBK"/>
          <w:b/>
          <w:sz w:val="28"/>
        </w:rPr>
        <w:t>10、应急污水车车辆和污水处理设备检修及运营费用绩效目标表</w:t>
      </w:r>
      <w:bookmarkEnd w:id="10"/>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000-9999-JSN-642D</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应急污水车车辆和污水处理设备检修及运营费用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80.00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80.00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确保应急状态下，处理设施能够及时出动，按时到场，正常运行，准确提供监测数据，污水处理达到相应技术要求。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25.00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50.00</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c>
          <w:tcPr>
            <w:tcW w:w="2977" w:type="dxa"/>
            <w:gridSpan w:val="2"/>
            <w:vAlign w:val="center"/>
          </w:tcPr>
          <w:p>
            <w:pPr>
              <w:spacing w:line="300" w:lineRule="exact"/>
              <w:jc w:val="center"/>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1、确保应急状态下，处理设施能够及时出动，按时到场，正常运行。</w:t>
            </w:r>
          </w:p>
          <w:p>
            <w:pPr>
              <w:spacing w:line="300" w:lineRule="exact"/>
              <w:jc w:val="left"/>
              <w:rPr>
                <w:rFonts w:hint="eastAsia" w:ascii="仿宋" w:hAnsi="仿宋" w:eastAsia="仿宋" w:cs="仿宋"/>
                <w:b/>
              </w:rPr>
            </w:pPr>
            <w:r>
              <w:rPr>
                <w:rFonts w:hint="eastAsia" w:ascii="仿宋" w:hAnsi="仿宋" w:eastAsia="仿宋" w:cs="仿宋"/>
                <w:b/>
              </w:rPr>
              <w:t>2、对应急车辆及设备进行维修，能够正常使用。</w:t>
            </w:r>
          </w:p>
        </w:tc>
      </w:tr>
    </w:tbl>
    <w:p>
      <w:pPr>
        <w:spacing w:line="14" w:lineRule="exact"/>
        <w:ind w:firstLine="420"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出水指标出除率达到要求</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出除率达到要求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≥90出除率达标</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应急响应率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应急响应率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≥90应急响应达标</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应急设备能够满足使用要求</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维修后设备能够满足要求</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满足工作要求。</w:t>
            </w:r>
          </w:p>
        </w:tc>
        <w:tc>
          <w:tcPr>
            <w:tcW w:w="1701" w:type="dxa"/>
            <w:vAlign w:val="center"/>
          </w:tcPr>
          <w:p>
            <w:pPr>
              <w:spacing w:line="300" w:lineRule="exact"/>
              <w:jc w:val="left"/>
              <w:rPr>
                <w:rFonts w:hint="eastAsia" w:ascii="仿宋" w:hAnsi="仿宋" w:eastAsia="仿宋" w:cs="仿宋"/>
                <w:b/>
              </w:rPr>
            </w:pPr>
          </w:p>
        </w:tc>
      </w:tr>
    </w:tbl>
    <w:p>
      <w:pPr>
        <w:spacing w:line="300" w:lineRule="exact"/>
        <w:ind w:firstLine="420" w:firstLineChars="200"/>
        <w:jc w:val="left"/>
        <w:rPr>
          <w:rFonts w:hint="eastAsia" w:ascii="方正书宋_GBK" w:hAnsi="方正书宋_GBK" w:eastAsia="方正书宋_GBK" w:cs="方正书宋_GBK"/>
          <w:b/>
        </w:rPr>
        <w:sectPr>
          <w:pgSz w:w="11906" w:h="16838"/>
          <w:pgMar w:top="1701" w:right="1474" w:bottom="1588" w:left="1474" w:header="851" w:footer="1247" w:gutter="0"/>
          <w:cols w:space="720" w:num="1"/>
          <w:docGrid w:type="linesAndChars" w:linePitch="312" w:charSpace="0"/>
        </w:sectPr>
      </w:pPr>
    </w:p>
    <w:p>
      <w:pPr>
        <w:ind w:firstLine="562" w:firstLineChars="200"/>
        <w:jc w:val="left"/>
        <w:outlineLvl w:val="1"/>
        <w:rPr>
          <w:rFonts w:hint="eastAsia" w:hAnsi="宋体" w:cs="宋体"/>
          <w:b/>
          <w:sz w:val="28"/>
        </w:rPr>
      </w:pPr>
      <w:bookmarkStart w:id="11" w:name="_Toc29198142"/>
      <w:r>
        <w:rPr>
          <w:rFonts w:hint="eastAsia" w:ascii="方正仿宋_GBK" w:hAnsi="方正仿宋_GBK" w:eastAsia="方正仿宋_GBK" w:cs="方正仿宋_GBK"/>
          <w:b/>
          <w:sz w:val="28"/>
        </w:rPr>
        <w:t>11、重点污染源视频监控线路及视频设备维护绩效目标表</w:t>
      </w:r>
      <w:bookmarkEnd w:id="11"/>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b/>
              </w:rPr>
            </w:pPr>
            <w:r>
              <w:rPr>
                <w:rFonts w:hint="eastAsia" w:ascii="仿宋" w:hAnsi="仿宋" w:eastAsia="仿宋" w:cs="仿宋"/>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vAlign w:val="center"/>
          </w:tcPr>
          <w:p>
            <w:pPr>
              <w:spacing w:line="300" w:lineRule="exact"/>
              <w:jc w:val="left"/>
              <w:rPr>
                <w:rFonts w:hint="eastAsia" w:ascii="仿宋" w:hAnsi="仿宋" w:eastAsia="仿宋" w:cs="仿宋"/>
                <w:b/>
              </w:rPr>
            </w:pPr>
            <w:r>
              <w:rPr>
                <w:rFonts w:hint="eastAsia" w:ascii="仿宋" w:hAnsi="仿宋" w:eastAsia="仿宋" w:cs="仿宋"/>
                <w:b/>
              </w:rPr>
              <w:t>000-9999-JSN-6VR2</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专项资金名称</w:t>
            </w:r>
          </w:p>
        </w:tc>
        <w:tc>
          <w:tcPr>
            <w:tcW w:w="4281" w:type="dxa"/>
            <w:gridSpan w:val="3"/>
            <w:vAlign w:val="center"/>
          </w:tcPr>
          <w:p>
            <w:pPr>
              <w:spacing w:line="300" w:lineRule="exact"/>
              <w:jc w:val="left"/>
              <w:rPr>
                <w:rFonts w:hint="eastAsia" w:ascii="仿宋" w:hAnsi="仿宋" w:eastAsia="仿宋" w:cs="仿宋"/>
                <w:b/>
              </w:rPr>
            </w:pPr>
            <w:r>
              <w:rPr>
                <w:rFonts w:hint="eastAsia" w:ascii="仿宋" w:hAnsi="仿宋" w:eastAsia="仿宋" w:cs="仿宋"/>
                <w:b/>
              </w:rPr>
              <w:t>重点污染源视频监控线路及视频设备维护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20.00</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vAlign w:val="center"/>
          </w:tcPr>
          <w:p>
            <w:pPr>
              <w:spacing w:line="300" w:lineRule="exact"/>
              <w:jc w:val="left"/>
              <w:rPr>
                <w:rFonts w:hint="eastAsia" w:ascii="仿宋" w:hAnsi="仿宋" w:eastAsia="仿宋" w:cs="仿宋"/>
                <w:b/>
              </w:rPr>
            </w:pPr>
            <w:r>
              <w:rPr>
                <w:rFonts w:hint="eastAsia" w:ascii="仿宋" w:hAnsi="仿宋" w:eastAsia="仿宋" w:cs="仿宋"/>
                <w:b/>
              </w:rPr>
              <w:t>20.00</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8279" w:type="dxa"/>
            <w:gridSpan w:val="6"/>
            <w:vAlign w:val="center"/>
          </w:tcPr>
          <w:p>
            <w:pPr>
              <w:spacing w:line="300" w:lineRule="exact"/>
              <w:jc w:val="left"/>
              <w:rPr>
                <w:rFonts w:hint="eastAsia" w:ascii="仿宋" w:hAnsi="仿宋" w:eastAsia="仿宋" w:cs="仿宋"/>
                <w:b/>
              </w:rPr>
            </w:pPr>
            <w:r>
              <w:rPr>
                <w:rFonts w:hint="eastAsia" w:ascii="仿宋" w:hAnsi="仿宋" w:eastAsia="仿宋" w:cs="仿宋"/>
                <w:b/>
              </w:rPr>
              <w:t>设备维护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8" w:type="dxa"/>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hint="eastAsia" w:ascii="仿宋" w:hAnsi="仿宋" w:eastAsia="仿宋" w:cs="仿宋"/>
                <w:b/>
                <w:sz w:val="28"/>
              </w:rPr>
            </w:pPr>
          </w:p>
        </w:tc>
        <w:tc>
          <w:tcPr>
            <w:tcW w:w="2410"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90.00</w:t>
            </w:r>
          </w:p>
        </w:tc>
        <w:tc>
          <w:tcPr>
            <w:tcW w:w="1588" w:type="dxa"/>
            <w:vAlign w:val="center"/>
          </w:tcPr>
          <w:p>
            <w:pPr>
              <w:spacing w:line="300" w:lineRule="exact"/>
              <w:jc w:val="center"/>
              <w:rPr>
                <w:rFonts w:hint="eastAsia" w:ascii="仿宋" w:hAnsi="仿宋" w:eastAsia="仿宋" w:cs="仿宋"/>
                <w:b/>
              </w:rPr>
            </w:pPr>
          </w:p>
        </w:tc>
        <w:tc>
          <w:tcPr>
            <w:tcW w:w="1304" w:type="dxa"/>
            <w:vAlign w:val="center"/>
          </w:tcPr>
          <w:p>
            <w:pPr>
              <w:spacing w:line="300" w:lineRule="exact"/>
              <w:jc w:val="center"/>
              <w:rPr>
                <w:rFonts w:hint="eastAsia" w:ascii="仿宋" w:hAnsi="仿宋" w:eastAsia="仿宋" w:cs="仿宋"/>
                <w:b/>
              </w:rPr>
            </w:pPr>
          </w:p>
        </w:tc>
        <w:tc>
          <w:tcPr>
            <w:tcW w:w="2977" w:type="dxa"/>
            <w:gridSpan w:val="2"/>
            <w:vAlign w:val="center"/>
          </w:tcPr>
          <w:p>
            <w:pPr>
              <w:spacing w:line="300" w:lineRule="exact"/>
              <w:jc w:val="center"/>
              <w:rPr>
                <w:rFonts w:hint="eastAsia" w:ascii="仿宋" w:hAnsi="仿宋" w:eastAsia="仿宋" w:cs="仿宋"/>
                <w:b/>
              </w:rPr>
            </w:pPr>
            <w:r>
              <w:rPr>
                <w:rFonts w:hint="eastAsia" w:ascii="仿宋" w:hAnsi="仿宋" w:eastAsia="仿宋" w:cs="仿宋"/>
                <w:b/>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9" w:type="dxa"/>
            <w:gridSpan w:val="6"/>
            <w:tcBorders>
              <w:bottom w:val="nil"/>
            </w:tcBorders>
            <w:vAlign w:val="center"/>
          </w:tcPr>
          <w:p>
            <w:pPr>
              <w:spacing w:line="300" w:lineRule="exact"/>
              <w:jc w:val="left"/>
              <w:rPr>
                <w:rFonts w:hint="eastAsia" w:ascii="仿宋" w:hAnsi="仿宋" w:eastAsia="仿宋" w:cs="仿宋"/>
                <w:b/>
              </w:rPr>
            </w:pPr>
            <w:r>
              <w:rPr>
                <w:rFonts w:hint="eastAsia" w:ascii="仿宋" w:hAnsi="仿宋" w:eastAsia="仿宋" w:cs="仿宋"/>
                <w:b/>
              </w:rPr>
              <w:t>1、保证污染源监控摄像头稳定运行</w:t>
            </w:r>
          </w:p>
          <w:p>
            <w:pPr>
              <w:spacing w:line="300" w:lineRule="exact"/>
              <w:jc w:val="left"/>
              <w:rPr>
                <w:rFonts w:hint="eastAsia" w:ascii="仿宋" w:hAnsi="仿宋" w:eastAsia="仿宋" w:cs="仿宋"/>
                <w:b/>
              </w:rPr>
            </w:pPr>
            <w:r>
              <w:rPr>
                <w:rFonts w:hint="eastAsia" w:ascii="仿宋" w:hAnsi="仿宋" w:eastAsia="仿宋" w:cs="仿宋"/>
                <w:b/>
              </w:rPr>
              <w:t>2、保证污染源监控线路稳定传输。</w:t>
            </w:r>
          </w:p>
        </w:tc>
      </w:tr>
    </w:tbl>
    <w:p>
      <w:pPr>
        <w:spacing w:line="14" w:lineRule="exact"/>
        <w:ind w:firstLine="422" w:firstLineChars="200"/>
        <w:jc w:val="center"/>
        <w:rPr>
          <w:rFonts w:hint="eastAsia" w:ascii="仿宋" w:hAnsi="仿宋" w:eastAsia="仿宋" w:cs="仿宋"/>
          <w:b/>
        </w:rPr>
      </w:pPr>
      <w:r>
        <w:rPr>
          <w:rFonts w:hint="eastAsia" w:ascii="仿宋" w:hAnsi="仿宋" w:eastAsia="仿宋" w:cs="仿宋"/>
          <w:b/>
        </w:rPr>
        <w:t xml:space="preserve"> </w:t>
      </w:r>
    </w:p>
    <w:tbl>
      <w:tblPr>
        <w:tblStyle w:val="2"/>
        <w:tblW w:w="9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2" w:type="dxa"/>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效果指标</w:t>
            </w: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视频监控设备在线率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视频监控设备在线率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运维响应率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运维响应率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仿宋" w:hAnsi="仿宋" w:eastAsia="仿宋" w:cs="仿宋"/>
                <w:b/>
              </w:rPr>
            </w:pPr>
          </w:p>
        </w:tc>
        <w:tc>
          <w:tcPr>
            <w:tcW w:w="1134" w:type="dxa"/>
            <w:vAlign w:val="center"/>
          </w:tcPr>
          <w:p>
            <w:pPr>
              <w:spacing w:line="300" w:lineRule="exact"/>
              <w:jc w:val="left"/>
              <w:rPr>
                <w:rFonts w:hint="eastAsia" w:ascii="仿宋" w:hAnsi="仿宋" w:eastAsia="仿宋" w:cs="仿宋"/>
                <w:b/>
              </w:rPr>
            </w:pPr>
            <w:r>
              <w:rPr>
                <w:rFonts w:hint="eastAsia" w:ascii="仿宋" w:hAnsi="仿宋" w:eastAsia="仿宋" w:cs="仿宋"/>
                <w:b/>
              </w:rPr>
              <w:t>可持续影响指标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设备运转率</w:t>
            </w:r>
          </w:p>
        </w:tc>
        <w:tc>
          <w:tcPr>
            <w:tcW w:w="2892" w:type="dxa"/>
            <w:vAlign w:val="center"/>
          </w:tcPr>
          <w:p>
            <w:pPr>
              <w:spacing w:line="300" w:lineRule="exact"/>
              <w:jc w:val="left"/>
              <w:rPr>
                <w:rFonts w:hint="eastAsia" w:ascii="仿宋" w:hAnsi="仿宋" w:eastAsia="仿宋" w:cs="仿宋"/>
                <w:b/>
              </w:rPr>
            </w:pPr>
            <w:r>
              <w:rPr>
                <w:rFonts w:hint="eastAsia" w:ascii="仿宋" w:hAnsi="仿宋" w:eastAsia="仿宋" w:cs="仿宋"/>
                <w:b/>
              </w:rPr>
              <w:t>设备运转率</w:t>
            </w:r>
          </w:p>
        </w:tc>
        <w:tc>
          <w:tcPr>
            <w:tcW w:w="1276" w:type="dxa"/>
            <w:vAlign w:val="center"/>
          </w:tcPr>
          <w:p>
            <w:pPr>
              <w:spacing w:line="300" w:lineRule="exact"/>
              <w:jc w:val="left"/>
              <w:rPr>
                <w:rFonts w:hint="eastAsia" w:ascii="仿宋" w:hAnsi="仿宋" w:eastAsia="仿宋" w:cs="仿宋"/>
                <w:b/>
              </w:rPr>
            </w:pPr>
            <w:r>
              <w:rPr>
                <w:rFonts w:hint="eastAsia" w:ascii="仿宋" w:hAnsi="仿宋" w:eastAsia="仿宋" w:cs="仿宋"/>
                <w:b/>
              </w:rPr>
              <w:t>≥90%</w:t>
            </w:r>
          </w:p>
        </w:tc>
        <w:tc>
          <w:tcPr>
            <w:tcW w:w="1701" w:type="dxa"/>
            <w:vAlign w:val="center"/>
          </w:tcPr>
          <w:p>
            <w:pPr>
              <w:spacing w:line="300" w:lineRule="exact"/>
              <w:jc w:val="left"/>
              <w:rPr>
                <w:rFonts w:hint="eastAsia" w:ascii="仿宋" w:hAnsi="仿宋" w:eastAsia="仿宋" w:cs="仿宋"/>
                <w:b/>
              </w:rPr>
            </w:pPr>
          </w:p>
        </w:tc>
      </w:tr>
    </w:tbl>
    <w:p>
      <w:pPr>
        <w:spacing w:line="14" w:lineRule="exact"/>
        <w:ind w:firstLine="420" w:firstLineChars="200"/>
        <w:jc w:val="center"/>
        <w:rPr>
          <w:rFonts w:hAnsi="宋体"/>
        </w:rPr>
      </w:pPr>
      <w:bookmarkStart w:id="12" w:name="_GoBack"/>
      <w:bookmarkEnd w:id="12"/>
    </w:p>
    <w:bookmarkEnd w:id="0"/>
    <w:p>
      <w:pPr>
        <w:spacing w:line="400" w:lineRule="exact"/>
        <w:ind w:firstLine="561"/>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hakuyoxingshu7000"/>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1B"/>
    <w:rsid w:val="00272428"/>
    <w:rsid w:val="009E131B"/>
    <w:rsid w:val="0C16421A"/>
    <w:rsid w:val="4ACB0219"/>
    <w:rsid w:val="661D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2416</Words>
  <Characters>13776</Characters>
  <Lines>114</Lines>
  <Paragraphs>32</Paragraphs>
  <TotalTime>2</TotalTime>
  <ScaleCrop>false</ScaleCrop>
  <LinksUpToDate>false</LinksUpToDate>
  <CharactersWithSpaces>16160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2020-02-04T15:30:00Z</dcterms:created>
  <dc:creator>Administrator</dc:creator>
  <cp:lastModifiedBy>默然</cp:lastModifiedBy>
  <cp:lastPrinted>2020-02-06T02:54:21Z</cp:lastPrinted>
  <dcterms:modified xsi:type="dcterms:W3CDTF">2020-02-06T03:35:10Z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